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C83DB" w14:textId="2ED3E2C9" w:rsidR="00722364" w:rsidRPr="00306DA1" w:rsidRDefault="005A4EDC" w:rsidP="007A1DA0">
      <w:pPr>
        <w:jc w:val="both"/>
        <w:rPr>
          <w:b/>
          <w:bCs/>
        </w:rPr>
      </w:pPr>
      <w:r w:rsidRPr="00306DA1">
        <w:rPr>
          <w:b/>
          <w:bCs/>
        </w:rPr>
        <w:t>BOOK REVIEW</w:t>
      </w:r>
    </w:p>
    <w:p w14:paraId="0FC4E341" w14:textId="09C77070" w:rsidR="002A32CF" w:rsidRPr="00306DA1" w:rsidRDefault="005A4EDC" w:rsidP="007A1DA0">
      <w:pPr>
        <w:jc w:val="both"/>
      </w:pPr>
      <w:r w:rsidRPr="00306DA1">
        <w:rPr>
          <w:i/>
          <w:iCs/>
        </w:rPr>
        <w:t>Social Security Outside the Realm of the Employment Contract</w:t>
      </w:r>
      <w:r w:rsidRPr="00306DA1">
        <w:t xml:space="preserve"> </w:t>
      </w:r>
      <w:r w:rsidR="006E0160" w:rsidRPr="00306DA1">
        <w:t>is</w:t>
      </w:r>
      <w:r w:rsidRPr="00306DA1">
        <w:t xml:space="preserve"> a </w:t>
      </w:r>
      <w:r w:rsidR="00EF1572" w:rsidRPr="00306DA1">
        <w:t xml:space="preserve">welcome </w:t>
      </w:r>
      <w:r w:rsidRPr="00306DA1">
        <w:t>addition to the growing literature on work-related social security</w:t>
      </w:r>
      <w:r w:rsidR="00032A54" w:rsidRPr="00306DA1">
        <w:t xml:space="preserve">. </w:t>
      </w:r>
      <w:r w:rsidR="00157932" w:rsidRPr="00306DA1">
        <w:t>T</w:t>
      </w:r>
      <w:r w:rsidR="00032A54" w:rsidRPr="00306DA1">
        <w:t xml:space="preserve">he </w:t>
      </w:r>
      <w:r w:rsidR="00664169" w:rsidRPr="00306DA1">
        <w:t xml:space="preserve">book </w:t>
      </w:r>
      <w:r w:rsidR="00032A54" w:rsidRPr="00306DA1">
        <w:t>focus</w:t>
      </w:r>
      <w:r w:rsidR="00664169" w:rsidRPr="00306DA1">
        <w:t>es</w:t>
      </w:r>
      <w:r w:rsidR="00032A54" w:rsidRPr="00306DA1">
        <w:t xml:space="preserve"> on the challenges of</w:t>
      </w:r>
      <w:r w:rsidR="009F4346" w:rsidRPr="00306DA1">
        <w:t xml:space="preserve"> providing adequate social security and social protection </w:t>
      </w:r>
      <w:r w:rsidR="0058027B" w:rsidRPr="00306DA1">
        <w:t xml:space="preserve">for people </w:t>
      </w:r>
      <w:r w:rsidR="009F4346" w:rsidRPr="00306DA1">
        <w:t xml:space="preserve">in informal </w:t>
      </w:r>
      <w:r w:rsidR="006E58E7" w:rsidRPr="00306DA1">
        <w:t>work</w:t>
      </w:r>
      <w:r w:rsidR="00533F69" w:rsidRPr="00306DA1">
        <w:t>.</w:t>
      </w:r>
      <w:r w:rsidR="008D0AE4" w:rsidRPr="00306DA1">
        <w:t xml:space="preserve"> </w:t>
      </w:r>
      <w:r w:rsidR="00FE0AEA" w:rsidRPr="00306DA1">
        <w:t>T</w:t>
      </w:r>
      <w:r w:rsidR="0058027B" w:rsidRPr="00306DA1">
        <w:t xml:space="preserve">he editors offer </w:t>
      </w:r>
      <w:r w:rsidR="00FE7AB8" w:rsidRPr="00306DA1">
        <w:t xml:space="preserve">many </w:t>
      </w:r>
      <w:r w:rsidR="0058027B" w:rsidRPr="00306DA1">
        <w:t>interesting perspective</w:t>
      </w:r>
      <w:r w:rsidR="00FE7AB8" w:rsidRPr="00306DA1">
        <w:t>s</w:t>
      </w:r>
      <w:r w:rsidR="00FE0AEA" w:rsidRPr="00306DA1">
        <w:t xml:space="preserve"> from the outset</w:t>
      </w:r>
      <w:r w:rsidR="008D0AE4" w:rsidRPr="00306DA1">
        <w:t xml:space="preserve">. </w:t>
      </w:r>
      <w:r w:rsidR="00441C1B" w:rsidRPr="00306DA1">
        <w:t>They suggest that i</w:t>
      </w:r>
      <w:r w:rsidR="00420794" w:rsidRPr="00306DA1">
        <w:t xml:space="preserve">n the </w:t>
      </w:r>
      <w:r w:rsidR="0058027B" w:rsidRPr="00306DA1">
        <w:t>‘</w:t>
      </w:r>
      <w:r w:rsidR="008C4E33" w:rsidRPr="00306DA1">
        <w:t>global South</w:t>
      </w:r>
      <w:r w:rsidR="0058027B" w:rsidRPr="00306DA1">
        <w:t xml:space="preserve">’ the main obstacle is that </w:t>
      </w:r>
      <w:r w:rsidR="008D0AE4" w:rsidRPr="00306DA1">
        <w:t xml:space="preserve">most </w:t>
      </w:r>
      <w:r w:rsidR="008C4E33" w:rsidRPr="00306DA1">
        <w:t xml:space="preserve">work </w:t>
      </w:r>
      <w:r w:rsidR="00420794" w:rsidRPr="00306DA1">
        <w:t>is</w:t>
      </w:r>
      <w:r w:rsidR="00441C1B" w:rsidRPr="00306DA1">
        <w:t xml:space="preserve"> </w:t>
      </w:r>
      <w:r w:rsidR="00420794" w:rsidRPr="00306DA1">
        <w:t>done</w:t>
      </w:r>
      <w:r w:rsidR="008C4E33" w:rsidRPr="00306DA1">
        <w:t xml:space="preserve"> in an informal economy which</w:t>
      </w:r>
      <w:r w:rsidR="009F4346" w:rsidRPr="00306DA1">
        <w:t>,</w:t>
      </w:r>
      <w:r w:rsidR="008C4E33" w:rsidRPr="00306DA1">
        <w:t xml:space="preserve"> by </w:t>
      </w:r>
      <w:r w:rsidR="009F4346" w:rsidRPr="00306DA1">
        <w:t xml:space="preserve">its </w:t>
      </w:r>
      <w:r w:rsidR="008C4E33" w:rsidRPr="00306DA1">
        <w:t>nature</w:t>
      </w:r>
      <w:r w:rsidR="009F4346" w:rsidRPr="00306DA1">
        <w:t>,</w:t>
      </w:r>
      <w:r w:rsidR="00CA5785" w:rsidRPr="00306DA1">
        <w:t xml:space="preserve"> is</w:t>
      </w:r>
      <w:r w:rsidR="008C4E33" w:rsidRPr="00306DA1">
        <w:t xml:space="preserve"> </w:t>
      </w:r>
      <w:r w:rsidR="009F4346" w:rsidRPr="00306DA1">
        <w:t>‘</w:t>
      </w:r>
      <w:r w:rsidR="008C4E33" w:rsidRPr="00306DA1">
        <w:t>hard to reach</w:t>
      </w:r>
      <w:r w:rsidR="009F4346" w:rsidRPr="00306DA1">
        <w:t>’</w:t>
      </w:r>
      <w:r w:rsidR="001D4807" w:rsidRPr="00306DA1">
        <w:t>, thereby leaving</w:t>
      </w:r>
      <w:r w:rsidR="00664169" w:rsidRPr="00306DA1">
        <w:t xml:space="preserve"> much of it</w:t>
      </w:r>
      <w:r w:rsidR="00441C1B" w:rsidRPr="00306DA1">
        <w:t xml:space="preserve"> </w:t>
      </w:r>
      <w:r w:rsidR="0058027B" w:rsidRPr="00306DA1">
        <w:t xml:space="preserve">uncovered in social security terms. In the </w:t>
      </w:r>
      <w:r w:rsidR="00420794" w:rsidRPr="00306DA1">
        <w:t>‘global North’</w:t>
      </w:r>
      <w:r w:rsidR="00B92C67" w:rsidRPr="00306DA1">
        <w:t xml:space="preserve"> </w:t>
      </w:r>
      <w:r w:rsidR="00157932" w:rsidRPr="00306DA1">
        <w:t xml:space="preserve">they see </w:t>
      </w:r>
      <w:r w:rsidR="009F4346" w:rsidRPr="00306DA1">
        <w:t xml:space="preserve">the standard employment contract – originally a useful device for social insurance purposes </w:t>
      </w:r>
      <w:r w:rsidR="00157932" w:rsidRPr="00306DA1">
        <w:t>–</w:t>
      </w:r>
      <w:r w:rsidR="009F4346" w:rsidRPr="00306DA1">
        <w:t xml:space="preserve"> </w:t>
      </w:r>
      <w:r w:rsidR="00157932" w:rsidRPr="00306DA1">
        <w:t xml:space="preserve">as </w:t>
      </w:r>
      <w:r w:rsidR="009F4346" w:rsidRPr="00306DA1">
        <w:t xml:space="preserve">is ‘in retreat’. </w:t>
      </w:r>
    </w:p>
    <w:p w14:paraId="063CB62D" w14:textId="30411BD9" w:rsidR="007A1DA0" w:rsidRPr="00306DA1" w:rsidRDefault="00B92C67" w:rsidP="007A1DA0">
      <w:pPr>
        <w:jc w:val="both"/>
        <w:rPr>
          <w:rFonts w:cstheme="minorHAnsi"/>
          <w:shd w:val="clear" w:color="auto" w:fill="FFFFFF"/>
        </w:rPr>
      </w:pPr>
      <w:r w:rsidRPr="00306DA1">
        <w:t xml:space="preserve">Despite measures from </w:t>
      </w:r>
      <w:r w:rsidR="008D0AE4" w:rsidRPr="00306DA1">
        <w:t xml:space="preserve">international and regional </w:t>
      </w:r>
      <w:r w:rsidRPr="00306DA1">
        <w:t>standard-setting organisations like the International Labour Organisation (ILO), the African Union (AU), and the European Union (EU)</w:t>
      </w:r>
      <w:r w:rsidR="00613D6C" w:rsidRPr="00306DA1">
        <w:t xml:space="preserve">, </w:t>
      </w:r>
      <w:r w:rsidR="008D0AE4" w:rsidRPr="00306DA1">
        <w:t xml:space="preserve">many of the goals </w:t>
      </w:r>
      <w:r w:rsidR="00F636CF" w:rsidRPr="00306DA1">
        <w:t xml:space="preserve">they have </w:t>
      </w:r>
      <w:r w:rsidR="008D0AE4" w:rsidRPr="00306DA1">
        <w:t xml:space="preserve">set </w:t>
      </w:r>
      <w:r w:rsidR="00F22F1A" w:rsidRPr="00306DA1">
        <w:t>for</w:t>
      </w:r>
      <w:r w:rsidR="001A460D" w:rsidRPr="00306DA1">
        <w:t xml:space="preserve"> supporting</w:t>
      </w:r>
      <w:r w:rsidR="00F22F1A" w:rsidRPr="00306DA1">
        <w:t xml:space="preserve"> such groups and the</w:t>
      </w:r>
      <w:bookmarkStart w:id="0" w:name="_GoBack"/>
      <w:bookmarkEnd w:id="0"/>
      <w:r w:rsidR="00F22F1A" w:rsidRPr="00306DA1">
        <w:t xml:space="preserve">ir families </w:t>
      </w:r>
      <w:r w:rsidR="008D0AE4" w:rsidRPr="00306DA1">
        <w:t>are not being met</w:t>
      </w:r>
      <w:r w:rsidR="00FC10E5" w:rsidRPr="00306DA1">
        <w:t xml:space="preserve">. </w:t>
      </w:r>
    </w:p>
    <w:p w14:paraId="11B003BA" w14:textId="42CE2EA4" w:rsidR="005A4EDC" w:rsidRPr="00306DA1" w:rsidRDefault="00590032" w:rsidP="007A1DA0">
      <w:pPr>
        <w:jc w:val="both"/>
        <w:rPr>
          <w:iCs/>
        </w:rPr>
      </w:pPr>
      <w:r w:rsidRPr="00306DA1">
        <w:rPr>
          <w:iCs/>
        </w:rPr>
        <w:t xml:space="preserve">The </w:t>
      </w:r>
      <w:r w:rsidR="00F22F1A" w:rsidRPr="00306DA1">
        <w:rPr>
          <w:iCs/>
        </w:rPr>
        <w:t xml:space="preserve">remit for the book’s contributing authors was to </w:t>
      </w:r>
      <w:r w:rsidR="00D74A8C" w:rsidRPr="00306DA1">
        <w:rPr>
          <w:iCs/>
        </w:rPr>
        <w:t>‘</w:t>
      </w:r>
      <w:r w:rsidRPr="00306DA1">
        <w:rPr>
          <w:iCs/>
        </w:rPr>
        <w:t xml:space="preserve">reflect on </w:t>
      </w:r>
      <w:r w:rsidR="00F22F1A" w:rsidRPr="00306DA1">
        <w:rPr>
          <w:iCs/>
        </w:rPr>
        <w:t xml:space="preserve">a </w:t>
      </w:r>
      <w:r w:rsidRPr="00306DA1">
        <w:rPr>
          <w:iCs/>
        </w:rPr>
        <w:t xml:space="preserve">pressing issue </w:t>
      </w:r>
      <w:r w:rsidR="00F22F1A" w:rsidRPr="00306DA1">
        <w:rPr>
          <w:iCs/>
        </w:rPr>
        <w:t>with respect to social security and workers outside employment’, or</w:t>
      </w:r>
      <w:r w:rsidR="001A460D" w:rsidRPr="00306DA1">
        <w:rPr>
          <w:iCs/>
        </w:rPr>
        <w:t xml:space="preserve"> to</w:t>
      </w:r>
      <w:r w:rsidR="00F22F1A" w:rsidRPr="00306DA1">
        <w:rPr>
          <w:iCs/>
        </w:rPr>
        <w:t xml:space="preserve"> </w:t>
      </w:r>
      <w:r w:rsidR="00D74A8C" w:rsidRPr="00306DA1">
        <w:rPr>
          <w:iCs/>
        </w:rPr>
        <w:t>‘</w:t>
      </w:r>
      <w:r w:rsidR="00F22F1A" w:rsidRPr="00306DA1">
        <w:rPr>
          <w:iCs/>
        </w:rPr>
        <w:t>present a</w:t>
      </w:r>
      <w:r w:rsidR="00D74A8C" w:rsidRPr="00306DA1">
        <w:rPr>
          <w:iCs/>
        </w:rPr>
        <w:t xml:space="preserve"> </w:t>
      </w:r>
      <w:r w:rsidR="00F22F1A" w:rsidRPr="00306DA1">
        <w:rPr>
          <w:iCs/>
        </w:rPr>
        <w:t xml:space="preserve">telling case study’ </w:t>
      </w:r>
      <w:r w:rsidRPr="00306DA1">
        <w:rPr>
          <w:iCs/>
        </w:rPr>
        <w:t xml:space="preserve">from the countries or regions with which they </w:t>
      </w:r>
      <w:r w:rsidR="00F22F1A" w:rsidRPr="00306DA1">
        <w:rPr>
          <w:iCs/>
        </w:rPr>
        <w:t>we</w:t>
      </w:r>
      <w:r w:rsidRPr="00306DA1">
        <w:rPr>
          <w:iCs/>
        </w:rPr>
        <w:t xml:space="preserve">re familiar. </w:t>
      </w:r>
      <w:r w:rsidR="001A460D" w:rsidRPr="00306DA1">
        <w:rPr>
          <w:iCs/>
        </w:rPr>
        <w:t xml:space="preserve">In the event, the </w:t>
      </w:r>
      <w:r w:rsidR="00533F69" w:rsidRPr="00306DA1">
        <w:rPr>
          <w:iCs/>
        </w:rPr>
        <w:t>project has resulted in</w:t>
      </w:r>
      <w:r w:rsidR="00AB56EE" w:rsidRPr="00306DA1">
        <w:rPr>
          <w:iCs/>
        </w:rPr>
        <w:t xml:space="preserve"> twelve excellent chapters</w:t>
      </w:r>
      <w:r w:rsidR="00552258" w:rsidRPr="00306DA1">
        <w:rPr>
          <w:iCs/>
        </w:rPr>
        <w:t>,</w:t>
      </w:r>
      <w:r w:rsidR="00AB56EE" w:rsidRPr="00306DA1">
        <w:rPr>
          <w:iCs/>
        </w:rPr>
        <w:t xml:space="preserve"> grouped in </w:t>
      </w:r>
      <w:r w:rsidRPr="00306DA1">
        <w:rPr>
          <w:iCs/>
        </w:rPr>
        <w:t xml:space="preserve">four </w:t>
      </w:r>
      <w:r w:rsidR="00F853AA" w:rsidRPr="00306DA1">
        <w:rPr>
          <w:iCs/>
        </w:rPr>
        <w:t>parts</w:t>
      </w:r>
      <w:r w:rsidRPr="00306DA1">
        <w:rPr>
          <w:iCs/>
        </w:rPr>
        <w:t>:</w:t>
      </w:r>
    </w:p>
    <w:p w14:paraId="1DF11DEC" w14:textId="20DE9098" w:rsidR="00590032" w:rsidRPr="00306DA1" w:rsidRDefault="00590032" w:rsidP="00590032">
      <w:pPr>
        <w:pStyle w:val="ListParagraph"/>
        <w:numPr>
          <w:ilvl w:val="0"/>
          <w:numId w:val="2"/>
        </w:numPr>
        <w:jc w:val="both"/>
        <w:rPr>
          <w:iCs/>
        </w:rPr>
      </w:pPr>
      <w:r w:rsidRPr="00306DA1">
        <w:rPr>
          <w:iCs/>
        </w:rPr>
        <w:t>General Reflections</w:t>
      </w:r>
      <w:r w:rsidR="00DC510A" w:rsidRPr="00306DA1">
        <w:rPr>
          <w:iCs/>
        </w:rPr>
        <w:t xml:space="preserve"> (</w:t>
      </w:r>
      <w:r w:rsidR="00DC510A" w:rsidRPr="00306DA1">
        <w:rPr>
          <w:i/>
        </w:rPr>
        <w:t>chapters 1-4</w:t>
      </w:r>
      <w:r w:rsidR="00DC510A" w:rsidRPr="00306DA1">
        <w:rPr>
          <w:iCs/>
        </w:rPr>
        <w:t>)</w:t>
      </w:r>
      <w:r w:rsidRPr="00306DA1">
        <w:rPr>
          <w:iCs/>
        </w:rPr>
        <w:t xml:space="preserve"> </w:t>
      </w:r>
    </w:p>
    <w:p w14:paraId="703CC559" w14:textId="62930A8F" w:rsidR="00590032" w:rsidRPr="00306DA1" w:rsidRDefault="00590032" w:rsidP="00590032">
      <w:pPr>
        <w:pStyle w:val="ListParagraph"/>
        <w:numPr>
          <w:ilvl w:val="0"/>
          <w:numId w:val="2"/>
        </w:numPr>
        <w:jc w:val="both"/>
        <w:rPr>
          <w:iCs/>
        </w:rPr>
      </w:pPr>
      <w:r w:rsidRPr="00306DA1">
        <w:rPr>
          <w:iCs/>
        </w:rPr>
        <w:t>Thematic Reflections</w:t>
      </w:r>
      <w:r w:rsidR="00DC510A" w:rsidRPr="00306DA1">
        <w:rPr>
          <w:iCs/>
        </w:rPr>
        <w:t xml:space="preserve"> (</w:t>
      </w:r>
      <w:r w:rsidR="00DC510A" w:rsidRPr="00306DA1">
        <w:rPr>
          <w:i/>
        </w:rPr>
        <w:t>chapters 5, 6</w:t>
      </w:r>
      <w:r w:rsidR="00DC510A" w:rsidRPr="00306DA1">
        <w:rPr>
          <w:iCs/>
        </w:rPr>
        <w:t>)</w:t>
      </w:r>
    </w:p>
    <w:p w14:paraId="7B98C1E9" w14:textId="62BA181F" w:rsidR="00590032" w:rsidRPr="00306DA1" w:rsidRDefault="00590032" w:rsidP="00590032">
      <w:pPr>
        <w:pStyle w:val="ListParagraph"/>
        <w:numPr>
          <w:ilvl w:val="0"/>
          <w:numId w:val="2"/>
        </w:numPr>
        <w:jc w:val="both"/>
        <w:rPr>
          <w:iCs/>
        </w:rPr>
      </w:pPr>
      <w:r w:rsidRPr="00306DA1">
        <w:rPr>
          <w:iCs/>
        </w:rPr>
        <w:t>Regional Overviews</w:t>
      </w:r>
      <w:r w:rsidR="00DC510A" w:rsidRPr="00306DA1">
        <w:rPr>
          <w:iCs/>
        </w:rPr>
        <w:t xml:space="preserve"> (</w:t>
      </w:r>
      <w:r w:rsidR="00DC510A" w:rsidRPr="00306DA1">
        <w:rPr>
          <w:i/>
        </w:rPr>
        <w:t>chapters 7-9</w:t>
      </w:r>
      <w:r w:rsidR="00DC510A" w:rsidRPr="00306DA1">
        <w:rPr>
          <w:iCs/>
        </w:rPr>
        <w:t>)</w:t>
      </w:r>
    </w:p>
    <w:p w14:paraId="419B5221" w14:textId="0893DFB5" w:rsidR="00590032" w:rsidRPr="00306DA1" w:rsidRDefault="00590032" w:rsidP="00590032">
      <w:pPr>
        <w:pStyle w:val="ListParagraph"/>
        <w:numPr>
          <w:ilvl w:val="0"/>
          <w:numId w:val="2"/>
        </w:numPr>
        <w:jc w:val="both"/>
        <w:rPr>
          <w:iCs/>
        </w:rPr>
      </w:pPr>
      <w:r w:rsidRPr="00306DA1">
        <w:rPr>
          <w:iCs/>
        </w:rPr>
        <w:t>National Case Studies</w:t>
      </w:r>
      <w:r w:rsidR="00DC510A" w:rsidRPr="00306DA1">
        <w:rPr>
          <w:iCs/>
        </w:rPr>
        <w:t xml:space="preserve"> (</w:t>
      </w:r>
      <w:r w:rsidR="00DC510A" w:rsidRPr="00306DA1">
        <w:rPr>
          <w:i/>
        </w:rPr>
        <w:t>chapters 10-12</w:t>
      </w:r>
      <w:r w:rsidR="00DC510A" w:rsidRPr="00306DA1">
        <w:rPr>
          <w:iCs/>
        </w:rPr>
        <w:t>)</w:t>
      </w:r>
    </w:p>
    <w:p w14:paraId="59CA59EF" w14:textId="0BD7C760" w:rsidR="001146F4" w:rsidRPr="00306DA1" w:rsidRDefault="00157932" w:rsidP="00590032">
      <w:pPr>
        <w:jc w:val="both"/>
        <w:rPr>
          <w:iCs/>
        </w:rPr>
      </w:pPr>
      <w:r w:rsidRPr="00306DA1">
        <w:rPr>
          <w:iCs/>
        </w:rPr>
        <w:t>S</w:t>
      </w:r>
      <w:r w:rsidR="007D55E6" w:rsidRPr="00306DA1">
        <w:rPr>
          <w:iCs/>
        </w:rPr>
        <w:t xml:space="preserve">ome </w:t>
      </w:r>
      <w:r w:rsidR="00AB56EE" w:rsidRPr="00306DA1">
        <w:rPr>
          <w:iCs/>
        </w:rPr>
        <w:t xml:space="preserve">of the </w:t>
      </w:r>
      <w:r w:rsidR="006A7F15" w:rsidRPr="00306DA1">
        <w:rPr>
          <w:iCs/>
        </w:rPr>
        <w:t xml:space="preserve">chosen </w:t>
      </w:r>
      <w:r w:rsidR="00AB56EE" w:rsidRPr="00306DA1">
        <w:rPr>
          <w:iCs/>
        </w:rPr>
        <w:t xml:space="preserve">issues </w:t>
      </w:r>
      <w:r w:rsidR="001A460D" w:rsidRPr="00306DA1">
        <w:rPr>
          <w:iCs/>
        </w:rPr>
        <w:t>are</w:t>
      </w:r>
      <w:r w:rsidRPr="00306DA1">
        <w:rPr>
          <w:iCs/>
        </w:rPr>
        <w:t xml:space="preserve"> </w:t>
      </w:r>
      <w:r w:rsidR="00352029" w:rsidRPr="00306DA1">
        <w:rPr>
          <w:iCs/>
        </w:rPr>
        <w:t>country or region-</w:t>
      </w:r>
      <w:r w:rsidR="007D55E6" w:rsidRPr="00306DA1">
        <w:rPr>
          <w:iCs/>
        </w:rPr>
        <w:t>specific</w:t>
      </w:r>
      <w:r w:rsidR="001D4807" w:rsidRPr="00306DA1">
        <w:rPr>
          <w:iCs/>
        </w:rPr>
        <w:t>. Nevertheless</w:t>
      </w:r>
      <w:r w:rsidR="007D55E6" w:rsidRPr="00306DA1">
        <w:rPr>
          <w:iCs/>
        </w:rPr>
        <w:t xml:space="preserve">, </w:t>
      </w:r>
      <w:r w:rsidR="00D74A8C" w:rsidRPr="00306DA1">
        <w:rPr>
          <w:iCs/>
        </w:rPr>
        <w:t xml:space="preserve">they often </w:t>
      </w:r>
      <w:r w:rsidRPr="00306DA1">
        <w:rPr>
          <w:iCs/>
        </w:rPr>
        <w:t xml:space="preserve">deal with </w:t>
      </w:r>
      <w:r w:rsidR="007D55E6" w:rsidRPr="00306DA1">
        <w:rPr>
          <w:iCs/>
        </w:rPr>
        <w:t>concerns</w:t>
      </w:r>
      <w:r w:rsidR="00D74A8C" w:rsidRPr="00306DA1">
        <w:rPr>
          <w:iCs/>
        </w:rPr>
        <w:t xml:space="preserve"> of </w:t>
      </w:r>
      <w:r w:rsidR="001D4807" w:rsidRPr="00306DA1">
        <w:rPr>
          <w:iCs/>
        </w:rPr>
        <w:t xml:space="preserve">much </w:t>
      </w:r>
      <w:r w:rsidR="00D74A8C" w:rsidRPr="00306DA1">
        <w:rPr>
          <w:iCs/>
        </w:rPr>
        <w:t>wider relevance</w:t>
      </w:r>
      <w:r w:rsidRPr="00306DA1">
        <w:rPr>
          <w:iCs/>
        </w:rPr>
        <w:t>.</w:t>
      </w:r>
      <w:r w:rsidR="007D55E6" w:rsidRPr="00306DA1">
        <w:rPr>
          <w:iCs/>
        </w:rPr>
        <w:t xml:space="preserve"> Not least </w:t>
      </w:r>
      <w:r w:rsidRPr="00306DA1">
        <w:rPr>
          <w:iCs/>
        </w:rPr>
        <w:t xml:space="preserve">of these </w:t>
      </w:r>
      <w:r w:rsidR="007D55E6" w:rsidRPr="00306DA1">
        <w:rPr>
          <w:iCs/>
        </w:rPr>
        <w:t xml:space="preserve">is </w:t>
      </w:r>
      <w:r w:rsidR="00D74A8C" w:rsidRPr="00306DA1">
        <w:rPr>
          <w:iCs/>
        </w:rPr>
        <w:t xml:space="preserve">that, </w:t>
      </w:r>
      <w:r w:rsidR="006A7F15" w:rsidRPr="00306DA1">
        <w:rPr>
          <w:iCs/>
        </w:rPr>
        <w:t xml:space="preserve">against a backdrop of decreasing formal employment, </w:t>
      </w:r>
      <w:r w:rsidR="006E58E7" w:rsidRPr="00306DA1">
        <w:rPr>
          <w:iCs/>
        </w:rPr>
        <w:t>the</w:t>
      </w:r>
      <w:r w:rsidR="005611F1" w:rsidRPr="00306DA1">
        <w:rPr>
          <w:iCs/>
        </w:rPr>
        <w:t xml:space="preserve"> borderlines between ‘formal’ and ‘informal’ </w:t>
      </w:r>
      <w:r w:rsidR="00CE674D" w:rsidRPr="00306DA1">
        <w:rPr>
          <w:iCs/>
        </w:rPr>
        <w:t xml:space="preserve">work </w:t>
      </w:r>
      <w:r w:rsidR="001A460D" w:rsidRPr="00306DA1">
        <w:rPr>
          <w:iCs/>
        </w:rPr>
        <w:t xml:space="preserve">are </w:t>
      </w:r>
      <w:r w:rsidR="00384191" w:rsidRPr="00306DA1">
        <w:rPr>
          <w:iCs/>
        </w:rPr>
        <w:t xml:space="preserve">becoming </w:t>
      </w:r>
      <w:r w:rsidR="001A460D" w:rsidRPr="00306DA1">
        <w:rPr>
          <w:iCs/>
        </w:rPr>
        <w:t>increasingly</w:t>
      </w:r>
      <w:r w:rsidR="00A04F5E" w:rsidRPr="00306DA1">
        <w:rPr>
          <w:iCs/>
        </w:rPr>
        <w:t xml:space="preserve"> </w:t>
      </w:r>
      <w:r w:rsidR="005611F1" w:rsidRPr="00306DA1">
        <w:rPr>
          <w:iCs/>
        </w:rPr>
        <w:t>blurred</w:t>
      </w:r>
      <w:r w:rsidR="006A7F15" w:rsidRPr="00306DA1">
        <w:rPr>
          <w:iCs/>
        </w:rPr>
        <w:t>. Pe</w:t>
      </w:r>
      <w:r w:rsidR="005611F1" w:rsidRPr="00306DA1">
        <w:rPr>
          <w:iCs/>
        </w:rPr>
        <w:t xml:space="preserve">ople </w:t>
      </w:r>
      <w:r w:rsidR="00FE7AB8" w:rsidRPr="00306DA1">
        <w:rPr>
          <w:iCs/>
        </w:rPr>
        <w:t xml:space="preserve">now </w:t>
      </w:r>
      <w:r w:rsidR="005611F1" w:rsidRPr="00306DA1">
        <w:rPr>
          <w:iCs/>
        </w:rPr>
        <w:t xml:space="preserve">move </w:t>
      </w:r>
      <w:r w:rsidR="00D74A8C" w:rsidRPr="00306DA1">
        <w:rPr>
          <w:iCs/>
        </w:rPr>
        <w:t xml:space="preserve">(or are expected to move) </w:t>
      </w:r>
      <w:r w:rsidR="005611F1" w:rsidRPr="00306DA1">
        <w:rPr>
          <w:iCs/>
        </w:rPr>
        <w:t>between these categories more readily</w:t>
      </w:r>
      <w:r w:rsidR="00384191" w:rsidRPr="00306DA1">
        <w:rPr>
          <w:iCs/>
        </w:rPr>
        <w:t>, making</w:t>
      </w:r>
      <w:r w:rsidR="00FE7AB8" w:rsidRPr="00306DA1">
        <w:rPr>
          <w:iCs/>
        </w:rPr>
        <w:t xml:space="preserve"> th</w:t>
      </w:r>
      <w:r w:rsidR="005611F1" w:rsidRPr="00306DA1">
        <w:rPr>
          <w:iCs/>
        </w:rPr>
        <w:t>e development of suitable social security responses exceptionally complex</w:t>
      </w:r>
      <w:r w:rsidR="00567F1D" w:rsidRPr="00306DA1">
        <w:rPr>
          <w:iCs/>
        </w:rPr>
        <w:t xml:space="preserve">. </w:t>
      </w:r>
      <w:proofErr w:type="gramStart"/>
      <w:r w:rsidR="00AB56EE" w:rsidRPr="00306DA1">
        <w:rPr>
          <w:iCs/>
        </w:rPr>
        <w:t>A number of</w:t>
      </w:r>
      <w:proofErr w:type="gramEnd"/>
      <w:r w:rsidR="00AB56EE" w:rsidRPr="00306DA1">
        <w:rPr>
          <w:iCs/>
        </w:rPr>
        <w:t xml:space="preserve"> </w:t>
      </w:r>
      <w:r w:rsidR="00567F1D" w:rsidRPr="00306DA1">
        <w:rPr>
          <w:iCs/>
        </w:rPr>
        <w:t xml:space="preserve">contributors highlight how social security programmes designed for a very different world of work </w:t>
      </w:r>
      <w:r w:rsidR="006A7F15" w:rsidRPr="00306DA1">
        <w:rPr>
          <w:iCs/>
        </w:rPr>
        <w:t xml:space="preserve">have ceased to </w:t>
      </w:r>
      <w:r w:rsidR="003A05C4" w:rsidRPr="00306DA1">
        <w:rPr>
          <w:iCs/>
        </w:rPr>
        <w:t>function effectively</w:t>
      </w:r>
      <w:r w:rsidR="006A7F15" w:rsidRPr="00306DA1">
        <w:rPr>
          <w:iCs/>
        </w:rPr>
        <w:t xml:space="preserve"> </w:t>
      </w:r>
      <w:r w:rsidR="001A460D" w:rsidRPr="00306DA1">
        <w:rPr>
          <w:iCs/>
        </w:rPr>
        <w:t>under</w:t>
      </w:r>
      <w:r w:rsidR="006A7F15" w:rsidRPr="00306DA1">
        <w:rPr>
          <w:iCs/>
        </w:rPr>
        <w:t xml:space="preserve"> </w:t>
      </w:r>
      <w:r w:rsidR="00D74A8C" w:rsidRPr="00306DA1">
        <w:rPr>
          <w:iCs/>
        </w:rPr>
        <w:t>modern conditions</w:t>
      </w:r>
      <w:r w:rsidR="00533F69" w:rsidRPr="00306DA1">
        <w:rPr>
          <w:iCs/>
        </w:rPr>
        <w:t>. An</w:t>
      </w:r>
      <w:r w:rsidR="00D74A8C" w:rsidRPr="00306DA1">
        <w:rPr>
          <w:iCs/>
        </w:rPr>
        <w:t xml:space="preserve"> obvious example </w:t>
      </w:r>
      <w:r w:rsidR="00533F69" w:rsidRPr="00306DA1">
        <w:rPr>
          <w:iCs/>
        </w:rPr>
        <w:t>is that</w:t>
      </w:r>
      <w:r w:rsidR="00D74A8C" w:rsidRPr="00306DA1">
        <w:rPr>
          <w:iCs/>
        </w:rPr>
        <w:t xml:space="preserve"> </w:t>
      </w:r>
      <w:r w:rsidR="00533F69" w:rsidRPr="00306DA1">
        <w:rPr>
          <w:iCs/>
        </w:rPr>
        <w:t xml:space="preserve">most </w:t>
      </w:r>
      <w:r w:rsidR="00D74A8C" w:rsidRPr="00306DA1">
        <w:rPr>
          <w:iCs/>
        </w:rPr>
        <w:t xml:space="preserve">contribution-based schemes </w:t>
      </w:r>
      <w:r w:rsidR="00533F69" w:rsidRPr="00306DA1">
        <w:rPr>
          <w:iCs/>
        </w:rPr>
        <w:t xml:space="preserve">still </w:t>
      </w:r>
      <w:r w:rsidR="00D74A8C" w:rsidRPr="00306DA1">
        <w:rPr>
          <w:iCs/>
        </w:rPr>
        <w:t xml:space="preserve">require </w:t>
      </w:r>
      <w:r w:rsidR="00C47594" w:rsidRPr="00306DA1">
        <w:rPr>
          <w:iCs/>
        </w:rPr>
        <w:t>contributors to be in stable, continuous employment in which they are earning enough to be able to maintain contributions</w:t>
      </w:r>
      <w:r w:rsidR="006A7F15" w:rsidRPr="00306DA1">
        <w:rPr>
          <w:iCs/>
        </w:rPr>
        <w:t xml:space="preserve">. </w:t>
      </w:r>
      <w:r w:rsidR="00C47594" w:rsidRPr="00306DA1">
        <w:rPr>
          <w:iCs/>
        </w:rPr>
        <w:t>The reality is that m</w:t>
      </w:r>
      <w:r w:rsidR="001D4807" w:rsidRPr="00306DA1">
        <w:rPr>
          <w:iCs/>
        </w:rPr>
        <w:t>uch of the employment on offer is anything but stable or continuous</w:t>
      </w:r>
      <w:r w:rsidR="003A05C4" w:rsidRPr="00306DA1">
        <w:rPr>
          <w:iCs/>
        </w:rPr>
        <w:t>. This</w:t>
      </w:r>
      <w:r w:rsidR="001D4807" w:rsidRPr="00306DA1">
        <w:rPr>
          <w:iCs/>
        </w:rPr>
        <w:t xml:space="preserve"> renders many </w:t>
      </w:r>
      <w:r w:rsidR="00C47594" w:rsidRPr="00306DA1">
        <w:rPr>
          <w:iCs/>
        </w:rPr>
        <w:t xml:space="preserve">contributory systems </w:t>
      </w:r>
      <w:r w:rsidR="001D4807" w:rsidRPr="00306DA1">
        <w:rPr>
          <w:iCs/>
        </w:rPr>
        <w:t>unfit for purpose, or un</w:t>
      </w:r>
      <w:r w:rsidR="00AB56EE" w:rsidRPr="00306DA1">
        <w:rPr>
          <w:iCs/>
        </w:rPr>
        <w:t xml:space="preserve">able to deliver </w:t>
      </w:r>
      <w:r w:rsidR="00C21F8C" w:rsidRPr="00306DA1">
        <w:rPr>
          <w:iCs/>
        </w:rPr>
        <w:t>adequate social security coverage</w:t>
      </w:r>
      <w:r w:rsidR="00C47594" w:rsidRPr="00306DA1">
        <w:rPr>
          <w:iCs/>
        </w:rPr>
        <w:t xml:space="preserve"> other than in tandem with non-contributory social assistance</w:t>
      </w:r>
      <w:r w:rsidR="00C21F8C" w:rsidRPr="00306DA1">
        <w:rPr>
          <w:iCs/>
        </w:rPr>
        <w:t xml:space="preserve">. </w:t>
      </w:r>
      <w:r w:rsidR="001D4807" w:rsidRPr="00306DA1">
        <w:rPr>
          <w:iCs/>
        </w:rPr>
        <w:t>It is certainly the case that the</w:t>
      </w:r>
      <w:r w:rsidR="00AF50B3" w:rsidRPr="00306DA1">
        <w:rPr>
          <w:iCs/>
        </w:rPr>
        <w:t xml:space="preserve"> Beveridge model </w:t>
      </w:r>
      <w:r w:rsidR="00D33080" w:rsidRPr="00306DA1">
        <w:rPr>
          <w:iCs/>
        </w:rPr>
        <w:t xml:space="preserve">did </w:t>
      </w:r>
      <w:r w:rsidR="00882B3B" w:rsidRPr="00306DA1">
        <w:rPr>
          <w:iCs/>
        </w:rPr>
        <w:t>not envisage</w:t>
      </w:r>
      <w:r w:rsidR="00D33080" w:rsidRPr="00306DA1">
        <w:rPr>
          <w:iCs/>
        </w:rPr>
        <w:t xml:space="preserve"> </w:t>
      </w:r>
      <w:r w:rsidR="00AF50B3" w:rsidRPr="00306DA1">
        <w:rPr>
          <w:iCs/>
        </w:rPr>
        <w:t>people in paid employment</w:t>
      </w:r>
      <w:r w:rsidR="00882B3B" w:rsidRPr="00306DA1">
        <w:rPr>
          <w:iCs/>
        </w:rPr>
        <w:t xml:space="preserve"> </w:t>
      </w:r>
      <w:r w:rsidR="00F26B74" w:rsidRPr="00306DA1">
        <w:rPr>
          <w:iCs/>
        </w:rPr>
        <w:t>being</w:t>
      </w:r>
      <w:r w:rsidR="00882B3B" w:rsidRPr="00306DA1">
        <w:rPr>
          <w:iCs/>
        </w:rPr>
        <w:t xml:space="preserve"> poor</w:t>
      </w:r>
      <w:r w:rsidR="001A460D" w:rsidRPr="00306DA1">
        <w:rPr>
          <w:iCs/>
        </w:rPr>
        <w:t>. This part of the discussion</w:t>
      </w:r>
      <w:r w:rsidR="001D4807" w:rsidRPr="00306DA1">
        <w:rPr>
          <w:iCs/>
        </w:rPr>
        <w:t>,</w:t>
      </w:r>
      <w:r w:rsidR="001A460D" w:rsidRPr="00306DA1">
        <w:rPr>
          <w:iCs/>
        </w:rPr>
        <w:t xml:space="preserve"> in </w:t>
      </w:r>
      <w:r w:rsidR="001A460D" w:rsidRPr="00306DA1">
        <w:rPr>
          <w:i/>
        </w:rPr>
        <w:t>General Reflections</w:t>
      </w:r>
      <w:r w:rsidR="001D4807" w:rsidRPr="00306DA1">
        <w:rPr>
          <w:iCs/>
        </w:rPr>
        <w:t>,</w:t>
      </w:r>
      <w:r w:rsidR="00882B3B" w:rsidRPr="00306DA1">
        <w:rPr>
          <w:iCs/>
        </w:rPr>
        <w:t xml:space="preserve"> </w:t>
      </w:r>
      <w:r w:rsidR="00C21F8C" w:rsidRPr="00306DA1">
        <w:rPr>
          <w:iCs/>
        </w:rPr>
        <w:t>touches on the</w:t>
      </w:r>
      <w:r w:rsidR="00900C7A" w:rsidRPr="00306DA1">
        <w:rPr>
          <w:iCs/>
        </w:rPr>
        <w:t xml:space="preserve"> topical</w:t>
      </w:r>
      <w:r w:rsidR="00D33080" w:rsidRPr="00306DA1">
        <w:rPr>
          <w:iCs/>
        </w:rPr>
        <w:t xml:space="preserve">, </w:t>
      </w:r>
      <w:r w:rsidR="001A460D" w:rsidRPr="00306DA1">
        <w:rPr>
          <w:iCs/>
        </w:rPr>
        <w:t>but</w:t>
      </w:r>
      <w:r w:rsidR="006A20EB" w:rsidRPr="00306DA1">
        <w:rPr>
          <w:iCs/>
        </w:rPr>
        <w:t xml:space="preserve"> </w:t>
      </w:r>
      <w:r w:rsidR="00900C7A" w:rsidRPr="00306DA1">
        <w:rPr>
          <w:iCs/>
        </w:rPr>
        <w:t>contentious</w:t>
      </w:r>
      <w:r w:rsidR="00D33080" w:rsidRPr="00306DA1">
        <w:rPr>
          <w:iCs/>
        </w:rPr>
        <w:t xml:space="preserve">, </w:t>
      </w:r>
      <w:r w:rsidR="00C21F8C" w:rsidRPr="00306DA1">
        <w:rPr>
          <w:iCs/>
        </w:rPr>
        <w:t xml:space="preserve">idea of </w:t>
      </w:r>
      <w:r w:rsidR="006A20EB" w:rsidRPr="00306DA1">
        <w:rPr>
          <w:iCs/>
        </w:rPr>
        <w:t xml:space="preserve">a </w:t>
      </w:r>
      <w:r w:rsidR="00900C7A" w:rsidRPr="00306DA1">
        <w:rPr>
          <w:iCs/>
        </w:rPr>
        <w:t xml:space="preserve">universal basic income </w:t>
      </w:r>
      <w:r w:rsidR="00F26B74" w:rsidRPr="00306DA1">
        <w:rPr>
          <w:iCs/>
        </w:rPr>
        <w:t>which can overcome</w:t>
      </w:r>
      <w:r w:rsidR="00DC510A" w:rsidRPr="00306DA1">
        <w:rPr>
          <w:iCs/>
        </w:rPr>
        <w:t xml:space="preserve"> </w:t>
      </w:r>
      <w:r w:rsidR="006A20EB" w:rsidRPr="00306DA1">
        <w:rPr>
          <w:iCs/>
        </w:rPr>
        <w:t xml:space="preserve">status and other </w:t>
      </w:r>
      <w:r w:rsidR="00900C7A" w:rsidRPr="00306DA1">
        <w:rPr>
          <w:iCs/>
        </w:rPr>
        <w:t xml:space="preserve">barriers </w:t>
      </w:r>
      <w:r w:rsidR="00C47594" w:rsidRPr="00306DA1">
        <w:rPr>
          <w:iCs/>
        </w:rPr>
        <w:t xml:space="preserve">typically </w:t>
      </w:r>
      <w:r w:rsidR="00EB6234" w:rsidRPr="00306DA1">
        <w:rPr>
          <w:iCs/>
        </w:rPr>
        <w:t>faced by workers</w:t>
      </w:r>
      <w:r w:rsidR="00C47594" w:rsidRPr="00306DA1">
        <w:rPr>
          <w:iCs/>
        </w:rPr>
        <w:t xml:space="preserve"> in the informal economy</w:t>
      </w:r>
      <w:r w:rsidR="00F26B74" w:rsidRPr="00306DA1">
        <w:rPr>
          <w:iCs/>
        </w:rPr>
        <w:t>, and what the book in its sub-title calls ‘employee-like workers’</w:t>
      </w:r>
      <w:r w:rsidR="00EB6234" w:rsidRPr="00306DA1">
        <w:rPr>
          <w:iCs/>
        </w:rPr>
        <w:t>.</w:t>
      </w:r>
      <w:r w:rsidR="00D020EA" w:rsidRPr="00306DA1">
        <w:rPr>
          <w:iCs/>
        </w:rPr>
        <w:t xml:space="preserve"> Such a scheme would be expensive, </w:t>
      </w:r>
      <w:r w:rsidR="00F26B74" w:rsidRPr="00306DA1">
        <w:rPr>
          <w:iCs/>
        </w:rPr>
        <w:t xml:space="preserve">of course, </w:t>
      </w:r>
      <w:r w:rsidR="00D020EA" w:rsidRPr="00306DA1">
        <w:rPr>
          <w:iCs/>
        </w:rPr>
        <w:t xml:space="preserve">which is why leading economists like Paul Krugman </w:t>
      </w:r>
      <w:r w:rsidR="00FC15F0" w:rsidRPr="00306DA1">
        <w:rPr>
          <w:iCs/>
        </w:rPr>
        <w:t xml:space="preserve">say that such schemes are likely to be </w:t>
      </w:r>
      <w:r w:rsidR="00F26B74" w:rsidRPr="00306DA1">
        <w:rPr>
          <w:iCs/>
        </w:rPr>
        <w:t xml:space="preserve">either </w:t>
      </w:r>
      <w:r w:rsidR="00FC15F0" w:rsidRPr="00306DA1">
        <w:rPr>
          <w:iCs/>
        </w:rPr>
        <w:t xml:space="preserve">too expensive, </w:t>
      </w:r>
      <w:r w:rsidR="003A05C4" w:rsidRPr="00306DA1">
        <w:rPr>
          <w:iCs/>
        </w:rPr>
        <w:t xml:space="preserve">financially and </w:t>
      </w:r>
      <w:r w:rsidR="00FC15F0" w:rsidRPr="00306DA1">
        <w:rPr>
          <w:iCs/>
        </w:rPr>
        <w:t xml:space="preserve">politically, or </w:t>
      </w:r>
      <w:r w:rsidR="00F26B74" w:rsidRPr="00306DA1">
        <w:rPr>
          <w:iCs/>
        </w:rPr>
        <w:t>inadequate in the level of support they could deliver</w:t>
      </w:r>
      <w:r w:rsidR="00FC15F0" w:rsidRPr="00306DA1">
        <w:rPr>
          <w:iCs/>
        </w:rPr>
        <w:t xml:space="preserve"> (‘What will cause the next recession: Paul Krugman on UBI and more’, CNBC 22</w:t>
      </w:r>
      <w:r w:rsidR="00FC15F0" w:rsidRPr="00306DA1">
        <w:rPr>
          <w:iCs/>
          <w:vertAlign w:val="superscript"/>
        </w:rPr>
        <w:t>nd</w:t>
      </w:r>
      <w:r w:rsidR="00FC15F0" w:rsidRPr="00306DA1">
        <w:rPr>
          <w:iCs/>
        </w:rPr>
        <w:t xml:space="preserve"> April 2019).</w:t>
      </w:r>
    </w:p>
    <w:p w14:paraId="583E2D5E" w14:textId="6F6F105C" w:rsidR="002A1A9D" w:rsidRPr="00306DA1" w:rsidRDefault="006114FE" w:rsidP="00590032">
      <w:pPr>
        <w:jc w:val="both"/>
        <w:rPr>
          <w:iCs/>
        </w:rPr>
      </w:pPr>
      <w:r w:rsidRPr="00306DA1">
        <w:rPr>
          <w:iCs/>
        </w:rPr>
        <w:t xml:space="preserve">The scale of the challenges </w:t>
      </w:r>
      <w:r w:rsidR="00FC15F0" w:rsidRPr="00306DA1">
        <w:rPr>
          <w:iCs/>
        </w:rPr>
        <w:t xml:space="preserve">for social security systems in the informal economy </w:t>
      </w:r>
      <w:r w:rsidR="002A1A9D" w:rsidRPr="00306DA1">
        <w:rPr>
          <w:iCs/>
        </w:rPr>
        <w:t xml:space="preserve">can vary greatly, </w:t>
      </w:r>
      <w:r w:rsidRPr="00306DA1">
        <w:rPr>
          <w:iCs/>
        </w:rPr>
        <w:t>as considered in the valuable contribution</w:t>
      </w:r>
      <w:r w:rsidR="0043644C" w:rsidRPr="00306DA1">
        <w:rPr>
          <w:iCs/>
        </w:rPr>
        <w:t>s</w:t>
      </w:r>
      <w:r w:rsidRPr="00306DA1">
        <w:rPr>
          <w:iCs/>
        </w:rPr>
        <w:t xml:space="preserve"> about </w:t>
      </w:r>
      <w:r w:rsidR="0043644C" w:rsidRPr="00306DA1">
        <w:rPr>
          <w:iCs/>
        </w:rPr>
        <w:t>South Africa where the unemployment rate is over 27 per cent</w:t>
      </w:r>
      <w:r w:rsidR="002A1A9D" w:rsidRPr="00306DA1">
        <w:rPr>
          <w:iCs/>
        </w:rPr>
        <w:t>;</w:t>
      </w:r>
      <w:r w:rsidR="0043644C" w:rsidRPr="00306DA1">
        <w:rPr>
          <w:iCs/>
        </w:rPr>
        <w:t xml:space="preserve"> and </w:t>
      </w:r>
      <w:r w:rsidRPr="00306DA1">
        <w:rPr>
          <w:iCs/>
        </w:rPr>
        <w:t xml:space="preserve">Latin America where </w:t>
      </w:r>
      <w:r w:rsidR="00FA3A2C" w:rsidRPr="00306DA1">
        <w:rPr>
          <w:iCs/>
        </w:rPr>
        <w:t>info</w:t>
      </w:r>
      <w:r w:rsidR="000B3400" w:rsidRPr="00306DA1">
        <w:rPr>
          <w:iCs/>
        </w:rPr>
        <w:t>rmal working</w:t>
      </w:r>
      <w:r w:rsidRPr="00306DA1">
        <w:rPr>
          <w:iCs/>
        </w:rPr>
        <w:t xml:space="preserve"> impacts on</w:t>
      </w:r>
      <w:r w:rsidR="000B3400" w:rsidRPr="00306DA1">
        <w:rPr>
          <w:iCs/>
        </w:rPr>
        <w:t xml:space="preserve"> an estimated 50 per cent of the economically active population</w:t>
      </w:r>
      <w:r w:rsidR="0043644C" w:rsidRPr="00306DA1">
        <w:rPr>
          <w:iCs/>
        </w:rPr>
        <w:t xml:space="preserve"> (</w:t>
      </w:r>
      <w:r w:rsidR="00352029" w:rsidRPr="00306DA1">
        <w:rPr>
          <w:iCs/>
        </w:rPr>
        <w:t xml:space="preserve">and </w:t>
      </w:r>
      <w:r w:rsidR="000B3400" w:rsidRPr="00306DA1">
        <w:rPr>
          <w:iCs/>
        </w:rPr>
        <w:t>reaching as high as 60 per cent in some countries</w:t>
      </w:r>
      <w:r w:rsidR="0043644C" w:rsidRPr="00306DA1">
        <w:rPr>
          <w:iCs/>
        </w:rPr>
        <w:t>)</w:t>
      </w:r>
      <w:r w:rsidR="000B3400" w:rsidRPr="00306DA1">
        <w:rPr>
          <w:iCs/>
        </w:rPr>
        <w:t>.</w:t>
      </w:r>
      <w:r w:rsidR="00A27530" w:rsidRPr="00306DA1">
        <w:rPr>
          <w:iCs/>
        </w:rPr>
        <w:t xml:space="preserve"> </w:t>
      </w:r>
      <w:r w:rsidR="00FA3A2C" w:rsidRPr="00306DA1">
        <w:rPr>
          <w:iCs/>
        </w:rPr>
        <w:t>Other c</w:t>
      </w:r>
      <w:r w:rsidR="002A1A9D" w:rsidRPr="00306DA1">
        <w:rPr>
          <w:iCs/>
        </w:rPr>
        <w:t xml:space="preserve">ommon themes </w:t>
      </w:r>
      <w:r w:rsidR="00FC15F0" w:rsidRPr="00306DA1">
        <w:rPr>
          <w:iCs/>
        </w:rPr>
        <w:t xml:space="preserve">in the book </w:t>
      </w:r>
      <w:r w:rsidR="002A1A9D" w:rsidRPr="00306DA1">
        <w:rPr>
          <w:iCs/>
        </w:rPr>
        <w:t xml:space="preserve">include the impact of gender, the feminisation of poverty, and the </w:t>
      </w:r>
      <w:r w:rsidR="00352029" w:rsidRPr="00306DA1">
        <w:rPr>
          <w:iCs/>
        </w:rPr>
        <w:t>reality that</w:t>
      </w:r>
      <w:r w:rsidR="002A1A9D" w:rsidRPr="00306DA1">
        <w:rPr>
          <w:iCs/>
        </w:rPr>
        <w:t xml:space="preserve"> </w:t>
      </w:r>
      <w:r w:rsidR="002A1A9D" w:rsidRPr="00306DA1">
        <w:rPr>
          <w:iCs/>
        </w:rPr>
        <w:lastRenderedPageBreak/>
        <w:t xml:space="preserve">women are </w:t>
      </w:r>
      <w:r w:rsidR="00DB3784" w:rsidRPr="00306DA1">
        <w:rPr>
          <w:iCs/>
        </w:rPr>
        <w:t>disproportionately represented in part-time,</w:t>
      </w:r>
      <w:r w:rsidR="002A1A9D" w:rsidRPr="00306DA1">
        <w:rPr>
          <w:iCs/>
        </w:rPr>
        <w:t xml:space="preserve"> atypical</w:t>
      </w:r>
      <w:r w:rsidR="00DB3784" w:rsidRPr="00306DA1">
        <w:rPr>
          <w:iCs/>
        </w:rPr>
        <w:t xml:space="preserve"> work, and in low-paid/higher risk sectors. </w:t>
      </w:r>
    </w:p>
    <w:p w14:paraId="335FA989" w14:textId="4143AD48" w:rsidR="00E845C0" w:rsidRPr="00306DA1" w:rsidRDefault="00E845C0" w:rsidP="00E845C0">
      <w:pPr>
        <w:jc w:val="both"/>
        <w:rPr>
          <w:rFonts w:cstheme="minorHAnsi"/>
          <w:iCs/>
        </w:rPr>
      </w:pPr>
      <w:r w:rsidRPr="00306DA1">
        <w:rPr>
          <w:iCs/>
        </w:rPr>
        <w:t xml:space="preserve">This begs the question whether, and to what extent, measures from standard-setting bodies </w:t>
      </w:r>
      <w:r w:rsidR="004F6D0F" w:rsidRPr="00306DA1">
        <w:rPr>
          <w:iCs/>
        </w:rPr>
        <w:t xml:space="preserve">like the ILO </w:t>
      </w:r>
      <w:r w:rsidR="009C220B" w:rsidRPr="00306DA1">
        <w:rPr>
          <w:iCs/>
        </w:rPr>
        <w:t xml:space="preserve">are making much </w:t>
      </w:r>
      <w:r w:rsidR="00EF5C63" w:rsidRPr="00306DA1">
        <w:rPr>
          <w:iCs/>
        </w:rPr>
        <w:t xml:space="preserve">difference in the face </w:t>
      </w:r>
      <w:r w:rsidR="00BF746C" w:rsidRPr="00306DA1">
        <w:rPr>
          <w:iCs/>
        </w:rPr>
        <w:t xml:space="preserve">of </w:t>
      </w:r>
      <w:r w:rsidR="00EF5C63" w:rsidRPr="00306DA1">
        <w:rPr>
          <w:iCs/>
        </w:rPr>
        <w:t>the</w:t>
      </w:r>
      <w:r w:rsidR="009C220B" w:rsidRPr="00306DA1">
        <w:rPr>
          <w:iCs/>
        </w:rPr>
        <w:t xml:space="preserve"> radical transformations </w:t>
      </w:r>
      <w:r w:rsidR="00EF5C63" w:rsidRPr="00306DA1">
        <w:rPr>
          <w:iCs/>
        </w:rPr>
        <w:t xml:space="preserve">being </w:t>
      </w:r>
      <w:r w:rsidR="009C220B" w:rsidRPr="00306DA1">
        <w:rPr>
          <w:iCs/>
        </w:rPr>
        <w:t>seen in the world’s labour markets</w:t>
      </w:r>
      <w:r w:rsidR="00BF746C" w:rsidRPr="00306DA1">
        <w:rPr>
          <w:iCs/>
        </w:rPr>
        <w:t>. M</w:t>
      </w:r>
      <w:r w:rsidRPr="00306DA1">
        <w:rPr>
          <w:rFonts w:cstheme="minorHAnsi"/>
          <w:iCs/>
        </w:rPr>
        <w:t>easures like</w:t>
      </w:r>
      <w:r w:rsidR="00B47002" w:rsidRPr="00306DA1">
        <w:rPr>
          <w:rFonts w:cstheme="minorHAnsi"/>
          <w:iCs/>
        </w:rPr>
        <w:t xml:space="preserve"> the </w:t>
      </w:r>
      <w:r w:rsidRPr="00306DA1">
        <w:rPr>
          <w:rFonts w:cstheme="minorHAnsi"/>
          <w:iCs/>
        </w:rPr>
        <w:t>Social Protection Floors Recommendation</w:t>
      </w:r>
      <w:r w:rsidR="00B47002" w:rsidRPr="00306DA1">
        <w:rPr>
          <w:rFonts w:cstheme="minorHAnsi"/>
          <w:iCs/>
        </w:rPr>
        <w:t xml:space="preserve"> </w:t>
      </w:r>
      <w:r w:rsidR="004F6D0F" w:rsidRPr="00306DA1">
        <w:rPr>
          <w:rFonts w:cstheme="minorHAnsi"/>
          <w:iCs/>
        </w:rPr>
        <w:t xml:space="preserve">2012, No. </w:t>
      </w:r>
      <w:r w:rsidR="00B47002" w:rsidRPr="00306DA1">
        <w:rPr>
          <w:rFonts w:cstheme="minorHAnsi"/>
          <w:iCs/>
        </w:rPr>
        <w:t>202</w:t>
      </w:r>
      <w:r w:rsidR="009C220B" w:rsidRPr="00306DA1">
        <w:rPr>
          <w:rFonts w:cstheme="minorHAnsi"/>
          <w:iCs/>
        </w:rPr>
        <w:t>;</w:t>
      </w:r>
      <w:r w:rsidRPr="00306DA1">
        <w:rPr>
          <w:rFonts w:cstheme="minorHAnsi"/>
          <w:iCs/>
        </w:rPr>
        <w:t xml:space="preserve"> and </w:t>
      </w:r>
      <w:r w:rsidR="009773EE" w:rsidRPr="00306DA1">
        <w:rPr>
          <w:rFonts w:cstheme="minorHAnsi"/>
          <w:iCs/>
        </w:rPr>
        <w:t xml:space="preserve">the </w:t>
      </w:r>
      <w:r w:rsidRPr="00306DA1">
        <w:rPr>
          <w:rFonts w:cstheme="minorHAnsi"/>
          <w:iCs/>
        </w:rPr>
        <w:t>Transition from the Informal to the Formal Economy</w:t>
      </w:r>
      <w:r w:rsidR="00B47002" w:rsidRPr="00306DA1">
        <w:rPr>
          <w:rFonts w:cstheme="minorHAnsi"/>
          <w:iCs/>
        </w:rPr>
        <w:t xml:space="preserve"> </w:t>
      </w:r>
      <w:r w:rsidR="004F6D0F" w:rsidRPr="00306DA1">
        <w:rPr>
          <w:rFonts w:cstheme="minorHAnsi"/>
          <w:iCs/>
        </w:rPr>
        <w:t xml:space="preserve">Recommendation </w:t>
      </w:r>
      <w:r w:rsidR="00B47002" w:rsidRPr="00306DA1">
        <w:rPr>
          <w:rFonts w:cstheme="minorHAnsi"/>
          <w:iCs/>
        </w:rPr>
        <w:t>2015</w:t>
      </w:r>
      <w:r w:rsidR="004F6D0F" w:rsidRPr="00306DA1">
        <w:rPr>
          <w:rFonts w:cstheme="minorHAnsi"/>
          <w:iCs/>
        </w:rPr>
        <w:t>, No. 20</w:t>
      </w:r>
      <w:r w:rsidR="00EF5C63" w:rsidRPr="00306DA1">
        <w:rPr>
          <w:rFonts w:cstheme="minorHAnsi"/>
          <w:iCs/>
        </w:rPr>
        <w:t xml:space="preserve">4, </w:t>
      </w:r>
      <w:r w:rsidR="009C220B" w:rsidRPr="00306DA1">
        <w:rPr>
          <w:rFonts w:cstheme="minorHAnsi"/>
          <w:iCs/>
        </w:rPr>
        <w:t>provid</w:t>
      </w:r>
      <w:r w:rsidR="00EF5C63" w:rsidRPr="00306DA1">
        <w:rPr>
          <w:rFonts w:cstheme="minorHAnsi"/>
          <w:iCs/>
        </w:rPr>
        <w:t>ing</w:t>
      </w:r>
      <w:r w:rsidR="009C220B" w:rsidRPr="00306DA1">
        <w:rPr>
          <w:rFonts w:cstheme="minorHAnsi"/>
          <w:iCs/>
        </w:rPr>
        <w:t xml:space="preserve"> guidance on State measures to facilitate the transition of workers and economic units from the informal to the formal economy, and to prevent the </w:t>
      </w:r>
      <w:r w:rsidR="003A05C4" w:rsidRPr="00306DA1">
        <w:rPr>
          <w:rFonts w:cstheme="minorHAnsi"/>
          <w:iCs/>
        </w:rPr>
        <w:t>‘</w:t>
      </w:r>
      <w:r w:rsidR="009C220B" w:rsidRPr="00306DA1">
        <w:rPr>
          <w:rFonts w:cstheme="minorHAnsi"/>
          <w:iCs/>
        </w:rPr>
        <w:t>informalisation</w:t>
      </w:r>
      <w:r w:rsidR="003A05C4" w:rsidRPr="00306DA1">
        <w:rPr>
          <w:rFonts w:cstheme="minorHAnsi"/>
          <w:iCs/>
        </w:rPr>
        <w:t>’</w:t>
      </w:r>
      <w:r w:rsidR="009C220B" w:rsidRPr="00306DA1">
        <w:rPr>
          <w:rFonts w:cstheme="minorHAnsi"/>
          <w:iCs/>
        </w:rPr>
        <w:t xml:space="preserve"> of formal economy jobs. </w:t>
      </w:r>
      <w:r w:rsidR="00EF5C63" w:rsidRPr="00306DA1">
        <w:rPr>
          <w:iCs/>
        </w:rPr>
        <w:t>C</w:t>
      </w:r>
      <w:r w:rsidRPr="00306DA1">
        <w:rPr>
          <w:iCs/>
        </w:rPr>
        <w:t xml:space="preserve">onsideration </w:t>
      </w:r>
      <w:r w:rsidR="009773EE" w:rsidRPr="00306DA1">
        <w:rPr>
          <w:iCs/>
        </w:rPr>
        <w:t>also needs to be given to the</w:t>
      </w:r>
      <w:r w:rsidRPr="00306DA1">
        <w:t xml:space="preserve"> </w:t>
      </w:r>
      <w:r w:rsidR="00EF5C63" w:rsidRPr="00306DA1">
        <w:t xml:space="preserve">more recent </w:t>
      </w:r>
      <w:r w:rsidRPr="00306DA1">
        <w:t xml:space="preserve">work of the ILO’s </w:t>
      </w:r>
      <w:r w:rsidRPr="00306DA1">
        <w:rPr>
          <w:rFonts w:cstheme="minorHAnsi"/>
          <w:iCs/>
        </w:rPr>
        <w:t>Global Commission on the Future of Work,</w:t>
      </w:r>
      <w:r w:rsidRPr="00306DA1">
        <w:rPr>
          <w:rFonts w:cstheme="minorHAnsi"/>
          <w:i/>
        </w:rPr>
        <w:t xml:space="preserve"> </w:t>
      </w:r>
      <w:r w:rsidRPr="00306DA1">
        <w:rPr>
          <w:rFonts w:cstheme="minorHAnsi"/>
          <w:iCs/>
        </w:rPr>
        <w:t xml:space="preserve">and </w:t>
      </w:r>
      <w:r w:rsidR="008E7E7B" w:rsidRPr="00306DA1">
        <w:rPr>
          <w:rFonts w:cstheme="minorHAnsi"/>
          <w:iCs/>
        </w:rPr>
        <w:t xml:space="preserve">its </w:t>
      </w:r>
      <w:r w:rsidR="00552258" w:rsidRPr="00306DA1">
        <w:rPr>
          <w:rFonts w:cstheme="minorHAnsi"/>
          <w:iCs/>
        </w:rPr>
        <w:t>conclusions</w:t>
      </w:r>
      <w:r w:rsidR="008E7E7B" w:rsidRPr="00306DA1">
        <w:rPr>
          <w:rFonts w:cstheme="minorHAnsi"/>
          <w:iCs/>
        </w:rPr>
        <w:t xml:space="preserve"> in </w:t>
      </w:r>
      <w:r w:rsidR="00257D73" w:rsidRPr="00306DA1">
        <w:rPr>
          <w:rFonts w:cstheme="minorHAnsi"/>
          <w:i/>
        </w:rPr>
        <w:t>Work for a Brighter Future</w:t>
      </w:r>
      <w:r w:rsidR="00257D73" w:rsidRPr="00306DA1">
        <w:rPr>
          <w:rFonts w:cstheme="minorHAnsi"/>
          <w:iCs/>
        </w:rPr>
        <w:t xml:space="preserve"> (January 2019). </w:t>
      </w:r>
      <w:r w:rsidR="00EF5C63" w:rsidRPr="00306DA1">
        <w:rPr>
          <w:rFonts w:cstheme="minorHAnsi"/>
          <w:iCs/>
        </w:rPr>
        <w:t>R</w:t>
      </w:r>
      <w:r w:rsidR="004864BF" w:rsidRPr="00306DA1">
        <w:rPr>
          <w:rFonts w:cstheme="minorHAnsi"/>
          <w:iCs/>
        </w:rPr>
        <w:t>ecommendations on the need to invest</w:t>
      </w:r>
      <w:r w:rsidR="003A05C4" w:rsidRPr="00306DA1">
        <w:rPr>
          <w:rFonts w:cstheme="minorHAnsi"/>
          <w:iCs/>
        </w:rPr>
        <w:t xml:space="preserve"> more</w:t>
      </w:r>
      <w:r w:rsidR="004864BF" w:rsidRPr="00306DA1">
        <w:rPr>
          <w:rFonts w:cstheme="minorHAnsi"/>
          <w:iCs/>
        </w:rPr>
        <w:t xml:space="preserve"> in peoples’ capabilities</w:t>
      </w:r>
      <w:r w:rsidR="009773EE" w:rsidRPr="00306DA1">
        <w:rPr>
          <w:rFonts w:cstheme="minorHAnsi"/>
          <w:iCs/>
        </w:rPr>
        <w:t>,</w:t>
      </w:r>
      <w:r w:rsidR="00F26B74" w:rsidRPr="00306DA1">
        <w:rPr>
          <w:rFonts w:cstheme="minorHAnsi"/>
          <w:iCs/>
        </w:rPr>
        <w:t xml:space="preserve"> </w:t>
      </w:r>
      <w:r w:rsidR="00EF5C63" w:rsidRPr="00306DA1">
        <w:rPr>
          <w:rFonts w:cstheme="minorHAnsi"/>
          <w:iCs/>
        </w:rPr>
        <w:t xml:space="preserve">and </w:t>
      </w:r>
      <w:r w:rsidR="00F26B74" w:rsidRPr="00306DA1">
        <w:rPr>
          <w:rFonts w:cstheme="minorHAnsi"/>
          <w:iCs/>
        </w:rPr>
        <w:t xml:space="preserve">the importance of </w:t>
      </w:r>
      <w:r w:rsidR="003A05C4" w:rsidRPr="00306DA1">
        <w:rPr>
          <w:rFonts w:cstheme="minorHAnsi"/>
          <w:iCs/>
        </w:rPr>
        <w:t>developing</w:t>
      </w:r>
      <w:r w:rsidR="004864BF" w:rsidRPr="00306DA1">
        <w:rPr>
          <w:rFonts w:cstheme="minorHAnsi"/>
          <w:iCs/>
        </w:rPr>
        <w:t xml:space="preserve"> </w:t>
      </w:r>
      <w:r w:rsidR="00F26B74" w:rsidRPr="00306DA1">
        <w:rPr>
          <w:rFonts w:cstheme="minorHAnsi"/>
          <w:iCs/>
        </w:rPr>
        <w:t xml:space="preserve">work </w:t>
      </w:r>
      <w:r w:rsidR="004864BF" w:rsidRPr="00306DA1">
        <w:rPr>
          <w:rFonts w:cstheme="minorHAnsi"/>
          <w:iCs/>
        </w:rPr>
        <w:t>institutions and</w:t>
      </w:r>
      <w:r w:rsidR="003A05C4" w:rsidRPr="00306DA1">
        <w:rPr>
          <w:rFonts w:cstheme="minorHAnsi"/>
          <w:iCs/>
        </w:rPr>
        <w:t xml:space="preserve"> </w:t>
      </w:r>
      <w:r w:rsidR="00BF746C" w:rsidRPr="00306DA1">
        <w:rPr>
          <w:rFonts w:cstheme="minorHAnsi"/>
          <w:iCs/>
        </w:rPr>
        <w:t>support for</w:t>
      </w:r>
      <w:r w:rsidR="004864BF" w:rsidRPr="00306DA1">
        <w:rPr>
          <w:rFonts w:cstheme="minorHAnsi"/>
          <w:iCs/>
        </w:rPr>
        <w:t xml:space="preserve"> decent and sustainable </w:t>
      </w:r>
      <w:r w:rsidR="00F26B74" w:rsidRPr="00306DA1">
        <w:rPr>
          <w:rFonts w:cstheme="minorHAnsi"/>
          <w:iCs/>
        </w:rPr>
        <w:t>employment</w:t>
      </w:r>
      <w:r w:rsidR="00EF5C63" w:rsidRPr="00306DA1">
        <w:rPr>
          <w:rFonts w:cstheme="minorHAnsi"/>
          <w:iCs/>
        </w:rPr>
        <w:t>, are particularly relevant</w:t>
      </w:r>
      <w:r w:rsidR="004864BF" w:rsidRPr="00306DA1">
        <w:rPr>
          <w:rFonts w:cstheme="minorHAnsi"/>
          <w:iCs/>
        </w:rPr>
        <w:t xml:space="preserve">. It also </w:t>
      </w:r>
      <w:r w:rsidR="00F26B74" w:rsidRPr="00306DA1">
        <w:rPr>
          <w:rFonts w:cstheme="minorHAnsi"/>
          <w:iCs/>
        </w:rPr>
        <w:t>has a lot to say about</w:t>
      </w:r>
      <w:r w:rsidR="004864BF" w:rsidRPr="00306DA1">
        <w:rPr>
          <w:rFonts w:cstheme="minorHAnsi"/>
          <w:iCs/>
        </w:rPr>
        <w:t xml:space="preserve"> </w:t>
      </w:r>
      <w:r w:rsidR="00271FBB" w:rsidRPr="00306DA1">
        <w:rPr>
          <w:rFonts w:cstheme="minorHAnsi"/>
          <w:iCs/>
        </w:rPr>
        <w:t xml:space="preserve">gender </w:t>
      </w:r>
      <w:r w:rsidR="004864BF" w:rsidRPr="00306DA1">
        <w:rPr>
          <w:rFonts w:cstheme="minorHAnsi"/>
          <w:iCs/>
        </w:rPr>
        <w:t>in</w:t>
      </w:r>
      <w:r w:rsidR="00271FBB" w:rsidRPr="00306DA1">
        <w:rPr>
          <w:rFonts w:cstheme="minorHAnsi"/>
          <w:iCs/>
        </w:rPr>
        <w:t>equalities</w:t>
      </w:r>
      <w:r w:rsidR="004864BF" w:rsidRPr="00306DA1">
        <w:rPr>
          <w:rFonts w:cstheme="minorHAnsi"/>
          <w:iCs/>
        </w:rPr>
        <w:t xml:space="preserve"> and empowerment</w:t>
      </w:r>
      <w:r w:rsidR="00552258" w:rsidRPr="00306DA1">
        <w:rPr>
          <w:rFonts w:cstheme="minorHAnsi"/>
          <w:iCs/>
        </w:rPr>
        <w:t xml:space="preserve"> (a theme </w:t>
      </w:r>
      <w:r w:rsidR="00F26B74" w:rsidRPr="00306DA1">
        <w:rPr>
          <w:rFonts w:cstheme="minorHAnsi"/>
          <w:iCs/>
        </w:rPr>
        <w:t xml:space="preserve">previously </w:t>
      </w:r>
      <w:r w:rsidR="00552258" w:rsidRPr="00306DA1">
        <w:rPr>
          <w:rFonts w:cstheme="minorHAnsi"/>
          <w:iCs/>
        </w:rPr>
        <w:t>explored</w:t>
      </w:r>
      <w:r w:rsidR="00271FBB" w:rsidRPr="00306DA1">
        <w:rPr>
          <w:rFonts w:cstheme="minorHAnsi"/>
          <w:iCs/>
        </w:rPr>
        <w:t xml:space="preserve"> in </w:t>
      </w:r>
      <w:r w:rsidR="003A05C4" w:rsidRPr="00306DA1">
        <w:rPr>
          <w:rFonts w:cstheme="minorHAnsi"/>
          <w:iCs/>
        </w:rPr>
        <w:t xml:space="preserve">key </w:t>
      </w:r>
      <w:r w:rsidR="00552258" w:rsidRPr="00306DA1">
        <w:rPr>
          <w:rFonts w:cstheme="minorHAnsi"/>
          <w:iCs/>
        </w:rPr>
        <w:t xml:space="preserve">Commission </w:t>
      </w:r>
      <w:r w:rsidR="00271FBB" w:rsidRPr="00306DA1">
        <w:rPr>
          <w:rFonts w:cstheme="minorHAnsi"/>
          <w:iCs/>
        </w:rPr>
        <w:t xml:space="preserve">papers like </w:t>
      </w:r>
      <w:r w:rsidRPr="00306DA1">
        <w:rPr>
          <w:rFonts w:cstheme="minorHAnsi"/>
          <w:i/>
          <w:iCs/>
          <w:shd w:val="clear" w:color="auto" w:fill="FFFFFF"/>
        </w:rPr>
        <w:t>Empowering Women Working in the Informal Economy</w:t>
      </w:r>
      <w:r w:rsidRPr="00306DA1">
        <w:rPr>
          <w:rFonts w:cstheme="minorHAnsi"/>
          <w:shd w:val="clear" w:color="auto" w:fill="FFFFFF"/>
        </w:rPr>
        <w:t>: Brief 4, ILO Global Commission on the Future of Work, 20</w:t>
      </w:r>
      <w:r w:rsidRPr="00306DA1">
        <w:rPr>
          <w:rFonts w:cstheme="minorHAnsi"/>
          <w:shd w:val="clear" w:color="auto" w:fill="FFFFFF"/>
          <w:vertAlign w:val="superscript"/>
        </w:rPr>
        <w:t>th</w:t>
      </w:r>
      <w:r w:rsidRPr="00306DA1">
        <w:rPr>
          <w:rFonts w:cstheme="minorHAnsi"/>
          <w:shd w:val="clear" w:color="auto" w:fill="FFFFFF"/>
        </w:rPr>
        <w:t xml:space="preserve"> February 2018).</w:t>
      </w:r>
    </w:p>
    <w:p w14:paraId="3DBC5B24" w14:textId="488E004C" w:rsidR="006C09BD" w:rsidRPr="00306DA1" w:rsidRDefault="00AE7D94" w:rsidP="00452315">
      <w:pPr>
        <w:jc w:val="both"/>
        <w:rPr>
          <w:rFonts w:cstheme="minorHAnsi"/>
        </w:rPr>
      </w:pPr>
      <w:r w:rsidRPr="00306DA1">
        <w:rPr>
          <w:iCs/>
        </w:rPr>
        <w:t xml:space="preserve">The editors </w:t>
      </w:r>
      <w:r w:rsidR="00552258" w:rsidRPr="00306DA1">
        <w:rPr>
          <w:iCs/>
        </w:rPr>
        <w:t>end</w:t>
      </w:r>
      <w:r w:rsidRPr="00306DA1">
        <w:rPr>
          <w:iCs/>
        </w:rPr>
        <w:t xml:space="preserve"> with a</w:t>
      </w:r>
      <w:r w:rsidR="00EF5C63" w:rsidRPr="00306DA1">
        <w:rPr>
          <w:iCs/>
        </w:rPr>
        <w:t xml:space="preserve"> helpful</w:t>
      </w:r>
      <w:r w:rsidRPr="00306DA1">
        <w:rPr>
          <w:iCs/>
        </w:rPr>
        <w:t xml:space="preserve"> epilogue and </w:t>
      </w:r>
      <w:r w:rsidR="009773EE" w:rsidRPr="00306DA1">
        <w:rPr>
          <w:iCs/>
        </w:rPr>
        <w:t xml:space="preserve">summary of </w:t>
      </w:r>
      <w:r w:rsidR="00F26B74" w:rsidRPr="00306DA1">
        <w:rPr>
          <w:iCs/>
        </w:rPr>
        <w:t xml:space="preserve">some of the </w:t>
      </w:r>
      <w:r w:rsidR="00DB3784" w:rsidRPr="00306DA1">
        <w:rPr>
          <w:iCs/>
        </w:rPr>
        <w:t xml:space="preserve">‘lessons’ </w:t>
      </w:r>
      <w:r w:rsidRPr="00306DA1">
        <w:rPr>
          <w:iCs/>
        </w:rPr>
        <w:t>t</w:t>
      </w:r>
      <w:r w:rsidR="00110C40" w:rsidRPr="00306DA1">
        <w:rPr>
          <w:iCs/>
        </w:rPr>
        <w:t>o</w:t>
      </w:r>
      <w:r w:rsidR="00DB3784" w:rsidRPr="00306DA1">
        <w:rPr>
          <w:iCs/>
        </w:rPr>
        <w:t xml:space="preserve"> be </w:t>
      </w:r>
      <w:r w:rsidR="00A3570A" w:rsidRPr="00306DA1">
        <w:rPr>
          <w:iCs/>
        </w:rPr>
        <w:t xml:space="preserve">extracted from </w:t>
      </w:r>
      <w:r w:rsidR="00552258" w:rsidRPr="00306DA1">
        <w:rPr>
          <w:iCs/>
        </w:rPr>
        <w:t xml:space="preserve">the </w:t>
      </w:r>
      <w:r w:rsidR="009773EE" w:rsidRPr="00306DA1">
        <w:rPr>
          <w:iCs/>
        </w:rPr>
        <w:t>contributors’ work.</w:t>
      </w:r>
      <w:r w:rsidRPr="00306DA1">
        <w:rPr>
          <w:iCs/>
        </w:rPr>
        <w:t xml:space="preserve"> </w:t>
      </w:r>
      <w:r w:rsidR="00712EA1" w:rsidRPr="00306DA1">
        <w:rPr>
          <w:iCs/>
        </w:rPr>
        <w:t>On a</w:t>
      </w:r>
      <w:r w:rsidR="003A05C4" w:rsidRPr="00306DA1">
        <w:rPr>
          <w:iCs/>
        </w:rPr>
        <w:t>n</w:t>
      </w:r>
      <w:r w:rsidR="00552258" w:rsidRPr="00306DA1">
        <w:rPr>
          <w:iCs/>
        </w:rPr>
        <w:t xml:space="preserve"> </w:t>
      </w:r>
      <w:r w:rsidR="00D76AAC" w:rsidRPr="00306DA1">
        <w:rPr>
          <w:iCs/>
        </w:rPr>
        <w:t>upbeat</w:t>
      </w:r>
      <w:r w:rsidR="00712EA1" w:rsidRPr="00306DA1">
        <w:rPr>
          <w:iCs/>
        </w:rPr>
        <w:t xml:space="preserve"> </w:t>
      </w:r>
      <w:r w:rsidR="00552258" w:rsidRPr="00306DA1">
        <w:rPr>
          <w:iCs/>
        </w:rPr>
        <w:t>note</w:t>
      </w:r>
      <w:r w:rsidR="00712EA1" w:rsidRPr="00306DA1">
        <w:rPr>
          <w:iCs/>
        </w:rPr>
        <w:t>, they</w:t>
      </w:r>
      <w:r w:rsidR="00E81327" w:rsidRPr="00306DA1">
        <w:rPr>
          <w:iCs/>
        </w:rPr>
        <w:t xml:space="preserve"> conclude that the</w:t>
      </w:r>
      <w:r w:rsidR="002241F3" w:rsidRPr="00306DA1">
        <w:rPr>
          <w:iCs/>
        </w:rPr>
        <w:t xml:space="preserve"> importance of a system of social protection </w:t>
      </w:r>
      <w:r w:rsidR="00545086" w:rsidRPr="00306DA1">
        <w:rPr>
          <w:iCs/>
        </w:rPr>
        <w:t>to deal with</w:t>
      </w:r>
      <w:r w:rsidR="002241F3" w:rsidRPr="00306DA1">
        <w:rPr>
          <w:iCs/>
        </w:rPr>
        <w:t xml:space="preserve"> universally recognised risks </w:t>
      </w:r>
      <w:r w:rsidR="00110C40" w:rsidRPr="00306DA1">
        <w:rPr>
          <w:iCs/>
        </w:rPr>
        <w:t>now meets with</w:t>
      </w:r>
      <w:r w:rsidR="002241F3" w:rsidRPr="00306DA1">
        <w:rPr>
          <w:iCs/>
        </w:rPr>
        <w:t xml:space="preserve"> </w:t>
      </w:r>
      <w:r w:rsidR="00485D74" w:rsidRPr="00306DA1">
        <w:rPr>
          <w:iCs/>
        </w:rPr>
        <w:t>‘</w:t>
      </w:r>
      <w:r w:rsidR="002241F3" w:rsidRPr="00306DA1">
        <w:rPr>
          <w:iCs/>
        </w:rPr>
        <w:t>wide acceptance</w:t>
      </w:r>
      <w:r w:rsidR="00485D74" w:rsidRPr="00306DA1">
        <w:rPr>
          <w:iCs/>
        </w:rPr>
        <w:t>’</w:t>
      </w:r>
      <w:r w:rsidR="00545086" w:rsidRPr="00306DA1">
        <w:rPr>
          <w:iCs/>
        </w:rPr>
        <w:t xml:space="preserve">. </w:t>
      </w:r>
      <w:r w:rsidR="009F46C4" w:rsidRPr="00306DA1">
        <w:rPr>
          <w:iCs/>
        </w:rPr>
        <w:t>I</w:t>
      </w:r>
      <w:r w:rsidR="0086328A" w:rsidRPr="00306DA1">
        <w:rPr>
          <w:iCs/>
        </w:rPr>
        <w:t xml:space="preserve">n another </w:t>
      </w:r>
      <w:r w:rsidR="003A05C4" w:rsidRPr="00306DA1">
        <w:rPr>
          <w:iCs/>
        </w:rPr>
        <w:t>somewhat</w:t>
      </w:r>
      <w:r w:rsidR="00EF5C63" w:rsidRPr="00306DA1">
        <w:rPr>
          <w:iCs/>
        </w:rPr>
        <w:t xml:space="preserve"> </w:t>
      </w:r>
      <w:r w:rsidR="0086328A" w:rsidRPr="00306DA1">
        <w:rPr>
          <w:iCs/>
        </w:rPr>
        <w:t>optimistic comment</w:t>
      </w:r>
      <w:r w:rsidR="00545086" w:rsidRPr="00306DA1">
        <w:rPr>
          <w:iCs/>
        </w:rPr>
        <w:t>,</w:t>
      </w:r>
      <w:r w:rsidR="0086328A" w:rsidRPr="00306DA1">
        <w:rPr>
          <w:iCs/>
        </w:rPr>
        <w:t xml:space="preserve"> </w:t>
      </w:r>
      <w:r w:rsidR="009F46C4" w:rsidRPr="00306DA1">
        <w:rPr>
          <w:iCs/>
        </w:rPr>
        <w:t xml:space="preserve">they add </w:t>
      </w:r>
      <w:r w:rsidR="0086328A" w:rsidRPr="00306DA1">
        <w:rPr>
          <w:iCs/>
        </w:rPr>
        <w:t>that</w:t>
      </w:r>
      <w:r w:rsidR="00A3570A" w:rsidRPr="00306DA1">
        <w:rPr>
          <w:iCs/>
        </w:rPr>
        <w:t xml:space="preserve"> a</w:t>
      </w:r>
      <w:r w:rsidR="002241F3" w:rsidRPr="00306DA1">
        <w:rPr>
          <w:iCs/>
        </w:rPr>
        <w:t xml:space="preserve"> growing number of countries </w:t>
      </w:r>
      <w:r w:rsidR="0086328A" w:rsidRPr="00306DA1">
        <w:rPr>
          <w:iCs/>
        </w:rPr>
        <w:t xml:space="preserve">are </w:t>
      </w:r>
      <w:r w:rsidR="00A3570A" w:rsidRPr="00306DA1">
        <w:rPr>
          <w:iCs/>
        </w:rPr>
        <w:t xml:space="preserve">incorporating </w:t>
      </w:r>
      <w:r w:rsidR="002241F3" w:rsidRPr="00306DA1">
        <w:rPr>
          <w:iCs/>
        </w:rPr>
        <w:t>social security into human rights</w:t>
      </w:r>
      <w:r w:rsidR="00545086" w:rsidRPr="00306DA1">
        <w:rPr>
          <w:iCs/>
        </w:rPr>
        <w:t xml:space="preserve"> systems</w:t>
      </w:r>
      <w:r w:rsidR="002241F3" w:rsidRPr="00306DA1">
        <w:rPr>
          <w:iCs/>
        </w:rPr>
        <w:t>.</w:t>
      </w:r>
      <w:r w:rsidR="00AB4B33" w:rsidRPr="00306DA1">
        <w:rPr>
          <w:iCs/>
        </w:rPr>
        <w:t xml:space="preserve"> </w:t>
      </w:r>
      <w:r w:rsidR="00EF5C63" w:rsidRPr="00306DA1">
        <w:rPr>
          <w:iCs/>
        </w:rPr>
        <w:t>The pendulum swings both ways, however; and in</w:t>
      </w:r>
      <w:r w:rsidR="00A3570A" w:rsidRPr="00306DA1">
        <w:rPr>
          <w:iCs/>
        </w:rPr>
        <w:t xml:space="preserve"> a</w:t>
      </w:r>
      <w:r w:rsidR="009773EE" w:rsidRPr="00306DA1">
        <w:rPr>
          <w:iCs/>
        </w:rPr>
        <w:t>n altogether</w:t>
      </w:r>
      <w:r w:rsidR="0086328A" w:rsidRPr="00306DA1">
        <w:rPr>
          <w:iCs/>
        </w:rPr>
        <w:t xml:space="preserve"> </w:t>
      </w:r>
      <w:r w:rsidR="000B0BC9" w:rsidRPr="00306DA1">
        <w:rPr>
          <w:iCs/>
        </w:rPr>
        <w:t>gloomier assessment</w:t>
      </w:r>
      <w:r w:rsidR="00EF5C63" w:rsidRPr="00306DA1">
        <w:rPr>
          <w:iCs/>
        </w:rPr>
        <w:t xml:space="preserve"> - </w:t>
      </w:r>
      <w:r w:rsidR="00A3570A" w:rsidRPr="00306DA1">
        <w:rPr>
          <w:iCs/>
        </w:rPr>
        <w:t xml:space="preserve">gleaned from </w:t>
      </w:r>
      <w:r w:rsidR="00452315" w:rsidRPr="00306DA1">
        <w:rPr>
          <w:iCs/>
        </w:rPr>
        <w:t xml:space="preserve">all </w:t>
      </w:r>
      <w:r w:rsidR="009F46C4" w:rsidRPr="00306DA1">
        <w:rPr>
          <w:iCs/>
        </w:rPr>
        <w:t>twelve</w:t>
      </w:r>
      <w:r w:rsidR="00452315" w:rsidRPr="00306DA1">
        <w:rPr>
          <w:iCs/>
        </w:rPr>
        <w:t xml:space="preserve"> </w:t>
      </w:r>
      <w:r w:rsidR="00A3570A" w:rsidRPr="00306DA1">
        <w:rPr>
          <w:iCs/>
        </w:rPr>
        <w:t>chapters</w:t>
      </w:r>
      <w:r w:rsidR="00EF5C63" w:rsidRPr="00306DA1">
        <w:rPr>
          <w:iCs/>
        </w:rPr>
        <w:t xml:space="preserve"> -</w:t>
      </w:r>
      <w:r w:rsidR="00452315" w:rsidRPr="00306DA1">
        <w:rPr>
          <w:iCs/>
        </w:rPr>
        <w:t xml:space="preserve"> </w:t>
      </w:r>
      <w:r w:rsidR="00545086" w:rsidRPr="00306DA1">
        <w:rPr>
          <w:iCs/>
        </w:rPr>
        <w:t xml:space="preserve">they identify a </w:t>
      </w:r>
      <w:r w:rsidR="009773EE" w:rsidRPr="00306DA1">
        <w:rPr>
          <w:iCs/>
        </w:rPr>
        <w:t xml:space="preserve">potent </w:t>
      </w:r>
      <w:r w:rsidR="0086328A" w:rsidRPr="00306DA1">
        <w:rPr>
          <w:iCs/>
        </w:rPr>
        <w:t>trio of</w:t>
      </w:r>
      <w:r w:rsidR="009773EE" w:rsidRPr="00306DA1">
        <w:rPr>
          <w:iCs/>
        </w:rPr>
        <w:t xml:space="preserve"> </w:t>
      </w:r>
      <w:r w:rsidR="00452315" w:rsidRPr="00306DA1">
        <w:rPr>
          <w:iCs/>
        </w:rPr>
        <w:t xml:space="preserve">obstacles </w:t>
      </w:r>
      <w:r w:rsidR="0086328A" w:rsidRPr="00306DA1">
        <w:rPr>
          <w:iCs/>
        </w:rPr>
        <w:t xml:space="preserve">to </w:t>
      </w:r>
      <w:r w:rsidR="00EF5C63" w:rsidRPr="00306DA1">
        <w:rPr>
          <w:iCs/>
        </w:rPr>
        <w:t xml:space="preserve">prospects for effective </w:t>
      </w:r>
      <w:r w:rsidR="00485D74" w:rsidRPr="00306DA1">
        <w:rPr>
          <w:iCs/>
        </w:rPr>
        <w:t xml:space="preserve">social security </w:t>
      </w:r>
      <w:r w:rsidR="00452315" w:rsidRPr="00306DA1">
        <w:rPr>
          <w:iCs/>
        </w:rPr>
        <w:t>coverage. The first</w:t>
      </w:r>
      <w:r w:rsidR="00485D74" w:rsidRPr="00306DA1">
        <w:rPr>
          <w:iCs/>
        </w:rPr>
        <w:t xml:space="preserve"> is the ‘individualisation of workers and the fragmentation of the labour market’</w:t>
      </w:r>
      <w:r w:rsidR="00452315" w:rsidRPr="00306DA1">
        <w:rPr>
          <w:iCs/>
        </w:rPr>
        <w:t xml:space="preserve"> </w:t>
      </w:r>
      <w:r w:rsidR="00485D74" w:rsidRPr="00306DA1">
        <w:rPr>
          <w:iCs/>
        </w:rPr>
        <w:t xml:space="preserve">– something </w:t>
      </w:r>
      <w:r w:rsidR="00545086" w:rsidRPr="00306DA1">
        <w:rPr>
          <w:iCs/>
        </w:rPr>
        <w:t xml:space="preserve">which, in turn, has </w:t>
      </w:r>
      <w:r w:rsidR="009F46C4" w:rsidRPr="00306DA1">
        <w:rPr>
          <w:iCs/>
        </w:rPr>
        <w:t xml:space="preserve">been </w:t>
      </w:r>
      <w:r w:rsidR="00545086" w:rsidRPr="00306DA1">
        <w:rPr>
          <w:iCs/>
        </w:rPr>
        <w:t>contribut</w:t>
      </w:r>
      <w:r w:rsidR="009F46C4" w:rsidRPr="00306DA1">
        <w:rPr>
          <w:iCs/>
        </w:rPr>
        <w:t>ing</w:t>
      </w:r>
      <w:r w:rsidR="00545086" w:rsidRPr="00306DA1">
        <w:rPr>
          <w:iCs/>
        </w:rPr>
        <w:t xml:space="preserve"> to</w:t>
      </w:r>
      <w:r w:rsidR="00110C40" w:rsidRPr="00306DA1">
        <w:rPr>
          <w:iCs/>
        </w:rPr>
        <w:t xml:space="preserve"> </w:t>
      </w:r>
      <w:r w:rsidR="009F46C4" w:rsidRPr="00306DA1">
        <w:rPr>
          <w:iCs/>
        </w:rPr>
        <w:t xml:space="preserve">a </w:t>
      </w:r>
      <w:r w:rsidR="00485D74" w:rsidRPr="00306DA1">
        <w:rPr>
          <w:iCs/>
        </w:rPr>
        <w:t>dwindling trade union membership</w:t>
      </w:r>
      <w:r w:rsidR="00545086" w:rsidRPr="00306DA1">
        <w:rPr>
          <w:iCs/>
        </w:rPr>
        <w:t xml:space="preserve"> in both the developed and developing worlds</w:t>
      </w:r>
      <w:r w:rsidR="005260C2" w:rsidRPr="00306DA1">
        <w:rPr>
          <w:iCs/>
        </w:rPr>
        <w:t>. This</w:t>
      </w:r>
      <w:r w:rsidR="009F46C4" w:rsidRPr="00306DA1">
        <w:rPr>
          <w:iCs/>
        </w:rPr>
        <w:t xml:space="preserve"> is ‘troublesome’</w:t>
      </w:r>
      <w:r w:rsidR="0086328A" w:rsidRPr="00306DA1">
        <w:rPr>
          <w:iCs/>
        </w:rPr>
        <w:t xml:space="preserve"> given</w:t>
      </w:r>
      <w:r w:rsidR="00110C40" w:rsidRPr="00306DA1">
        <w:rPr>
          <w:iCs/>
        </w:rPr>
        <w:t xml:space="preserve"> </w:t>
      </w:r>
      <w:r w:rsidR="003A05C4" w:rsidRPr="00306DA1">
        <w:rPr>
          <w:iCs/>
        </w:rPr>
        <w:t xml:space="preserve">the importance of </w:t>
      </w:r>
      <w:r w:rsidR="00110C40" w:rsidRPr="00306DA1">
        <w:rPr>
          <w:iCs/>
        </w:rPr>
        <w:t>trade unions</w:t>
      </w:r>
      <w:r w:rsidR="003A05C4" w:rsidRPr="00306DA1">
        <w:rPr>
          <w:iCs/>
        </w:rPr>
        <w:t>, for example</w:t>
      </w:r>
      <w:r w:rsidR="00110C40" w:rsidRPr="00306DA1">
        <w:rPr>
          <w:iCs/>
        </w:rPr>
        <w:t xml:space="preserve"> as ‘carriers of social insurance schemes</w:t>
      </w:r>
      <w:r w:rsidR="00A62C1F" w:rsidRPr="00306DA1">
        <w:rPr>
          <w:iCs/>
        </w:rPr>
        <w:t>’</w:t>
      </w:r>
      <w:r w:rsidR="00110C40" w:rsidRPr="00306DA1">
        <w:rPr>
          <w:iCs/>
        </w:rPr>
        <w:t>. A</w:t>
      </w:r>
      <w:r w:rsidR="009F46C4" w:rsidRPr="00306DA1">
        <w:rPr>
          <w:iCs/>
        </w:rPr>
        <w:t xml:space="preserve"> further</w:t>
      </w:r>
      <w:r w:rsidR="0086328A" w:rsidRPr="00306DA1">
        <w:rPr>
          <w:iCs/>
        </w:rPr>
        <w:t xml:space="preserve"> concern</w:t>
      </w:r>
      <w:r w:rsidR="009F46C4" w:rsidRPr="00306DA1">
        <w:rPr>
          <w:iCs/>
        </w:rPr>
        <w:t xml:space="preserve"> (they say)</w:t>
      </w:r>
      <w:r w:rsidR="0086328A" w:rsidRPr="00306DA1">
        <w:rPr>
          <w:iCs/>
        </w:rPr>
        <w:t xml:space="preserve"> is with the</w:t>
      </w:r>
      <w:r w:rsidR="00110C40" w:rsidRPr="00306DA1">
        <w:rPr>
          <w:iCs/>
        </w:rPr>
        <w:t xml:space="preserve"> ‘power shift’ between labour and capital resulting from the internationalisation and digitisation of labour</w:t>
      </w:r>
      <w:r w:rsidR="0086328A" w:rsidRPr="00306DA1">
        <w:rPr>
          <w:iCs/>
        </w:rPr>
        <w:t>. T</w:t>
      </w:r>
      <w:r w:rsidR="00A62C1F" w:rsidRPr="00306DA1">
        <w:rPr>
          <w:iCs/>
        </w:rPr>
        <w:t>hat puts the question of how to ensure</w:t>
      </w:r>
      <w:r w:rsidR="00FD69BE" w:rsidRPr="00306DA1">
        <w:rPr>
          <w:iCs/>
        </w:rPr>
        <w:t xml:space="preserve"> there is</w:t>
      </w:r>
      <w:r w:rsidR="00A62C1F" w:rsidRPr="00306DA1">
        <w:rPr>
          <w:iCs/>
        </w:rPr>
        <w:t xml:space="preserve"> a </w:t>
      </w:r>
      <w:proofErr w:type="gramStart"/>
      <w:r w:rsidR="00110C40" w:rsidRPr="00306DA1">
        <w:rPr>
          <w:iCs/>
        </w:rPr>
        <w:t>sufficient</w:t>
      </w:r>
      <w:proofErr w:type="gramEnd"/>
      <w:r w:rsidR="00110C40" w:rsidRPr="00306DA1">
        <w:rPr>
          <w:iCs/>
        </w:rPr>
        <w:t xml:space="preserve"> base to finance social security systems</w:t>
      </w:r>
      <w:r w:rsidR="00A62C1F" w:rsidRPr="00306DA1">
        <w:rPr>
          <w:iCs/>
        </w:rPr>
        <w:t xml:space="preserve"> even higher on the political agenda.</w:t>
      </w:r>
    </w:p>
    <w:p w14:paraId="24F1A617" w14:textId="53BF44C3" w:rsidR="004F3D81" w:rsidRPr="00306DA1" w:rsidRDefault="004F3D81" w:rsidP="007739FB">
      <w:pPr>
        <w:spacing w:after="32"/>
        <w:jc w:val="both"/>
        <w:rPr>
          <w:rFonts w:cstheme="minorHAnsi"/>
        </w:rPr>
      </w:pPr>
      <w:r w:rsidRPr="00306DA1">
        <w:rPr>
          <w:b/>
          <w:bCs/>
          <w:i/>
          <w:iCs/>
        </w:rPr>
        <w:t>Social Security Outside the Realm of the Employment Contract: Informal Work and Employee-Like Workers</w:t>
      </w:r>
      <w:r w:rsidRPr="00306DA1">
        <w:rPr>
          <w:i/>
          <w:iCs/>
        </w:rPr>
        <w:t xml:space="preserve"> </w:t>
      </w:r>
      <w:r w:rsidRPr="00306DA1">
        <w:t xml:space="preserve">by </w:t>
      </w:r>
      <w:proofErr w:type="spellStart"/>
      <w:r w:rsidRPr="00306DA1">
        <w:t>Mies</w:t>
      </w:r>
      <w:proofErr w:type="spellEnd"/>
      <w:r w:rsidRPr="00306DA1">
        <w:t xml:space="preserve"> </w:t>
      </w:r>
      <w:proofErr w:type="spellStart"/>
      <w:r w:rsidRPr="00306DA1">
        <w:t>Westerveld</w:t>
      </w:r>
      <w:proofErr w:type="spellEnd"/>
      <w:r w:rsidRPr="00306DA1">
        <w:t xml:space="preserve"> and Marius Olivier (editors) and contributors, Cheltenham, UK and Northampton, USA, Edward Elgar, 2019, xx and 275 pp, ISBN 978 1 78811 339 7 (</w:t>
      </w:r>
      <w:r w:rsidR="000720E7" w:rsidRPr="00306DA1">
        <w:t>C</w:t>
      </w:r>
      <w:r w:rsidRPr="00306DA1">
        <w:t>ased); 978 1 78811 340 3 (eBook).</w:t>
      </w:r>
    </w:p>
    <w:p w14:paraId="4524D2CC" w14:textId="77777777" w:rsidR="00AB56EE" w:rsidRPr="00306DA1" w:rsidRDefault="00AB56EE" w:rsidP="005C43B6">
      <w:pPr>
        <w:spacing w:after="32"/>
        <w:ind w:left="-15"/>
        <w:jc w:val="both"/>
        <w:rPr>
          <w:rFonts w:cstheme="minorHAnsi"/>
        </w:rPr>
      </w:pPr>
    </w:p>
    <w:p w14:paraId="7F95D4FA" w14:textId="1CCED096" w:rsidR="006C09BD" w:rsidRPr="00306DA1" w:rsidRDefault="00AB56EE" w:rsidP="005C43B6">
      <w:pPr>
        <w:spacing w:after="32"/>
        <w:ind w:left="-15"/>
        <w:jc w:val="both"/>
        <w:rPr>
          <w:rFonts w:cstheme="minorHAnsi"/>
        </w:rPr>
      </w:pPr>
      <w:r w:rsidRPr="00306DA1">
        <w:rPr>
          <w:rFonts w:cstheme="minorHAnsi"/>
        </w:rPr>
        <w:t>Keith Puttick</w:t>
      </w:r>
    </w:p>
    <w:p w14:paraId="640C4DCA" w14:textId="5D30F7B6" w:rsidR="00AB56EE" w:rsidRPr="00306DA1" w:rsidRDefault="00AB56EE" w:rsidP="005C43B6">
      <w:pPr>
        <w:spacing w:after="32"/>
        <w:ind w:left="-15"/>
        <w:jc w:val="both"/>
        <w:rPr>
          <w:rFonts w:cstheme="minorHAnsi"/>
        </w:rPr>
      </w:pPr>
      <w:r w:rsidRPr="00306DA1">
        <w:rPr>
          <w:rFonts w:cstheme="minorHAnsi"/>
        </w:rPr>
        <w:t>Staffordshire University</w:t>
      </w:r>
    </w:p>
    <w:p w14:paraId="6E7F7A95" w14:textId="2B8E9314" w:rsidR="006C09BD" w:rsidRPr="00306DA1" w:rsidRDefault="006C09BD" w:rsidP="005C43B6">
      <w:pPr>
        <w:spacing w:after="32"/>
        <w:ind w:left="-15"/>
        <w:jc w:val="both"/>
        <w:rPr>
          <w:rFonts w:cstheme="minorHAnsi"/>
        </w:rPr>
      </w:pPr>
    </w:p>
    <w:p w14:paraId="17AD1DF1" w14:textId="77777777" w:rsidR="006C09BD" w:rsidRPr="00306DA1" w:rsidRDefault="006C09BD" w:rsidP="005C43B6">
      <w:pPr>
        <w:spacing w:after="32"/>
        <w:ind w:left="-15"/>
        <w:jc w:val="both"/>
        <w:rPr>
          <w:rFonts w:cstheme="minorHAnsi"/>
        </w:rPr>
      </w:pPr>
    </w:p>
    <w:p w14:paraId="14BC3A2C" w14:textId="77777777" w:rsidR="000743E1" w:rsidRPr="00306DA1" w:rsidRDefault="000743E1" w:rsidP="005C43B6">
      <w:pPr>
        <w:spacing w:after="32"/>
        <w:ind w:left="-15"/>
        <w:jc w:val="both"/>
        <w:rPr>
          <w:rFonts w:cstheme="minorHAnsi"/>
        </w:rPr>
      </w:pPr>
    </w:p>
    <w:p w14:paraId="54E69221" w14:textId="77777777" w:rsidR="000743E1" w:rsidRDefault="000743E1" w:rsidP="005C43B6">
      <w:pPr>
        <w:spacing w:after="32"/>
        <w:ind w:left="-15"/>
        <w:jc w:val="both"/>
        <w:rPr>
          <w:rFonts w:cstheme="minorHAnsi"/>
        </w:rPr>
      </w:pPr>
    </w:p>
    <w:sectPr w:rsidR="00074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24A1A" w14:textId="77777777" w:rsidR="00DF2E1B" w:rsidRDefault="00DF2E1B" w:rsidP="005C43B6">
      <w:pPr>
        <w:spacing w:after="0" w:line="240" w:lineRule="auto"/>
      </w:pPr>
      <w:r>
        <w:separator/>
      </w:r>
    </w:p>
  </w:endnote>
  <w:endnote w:type="continuationSeparator" w:id="0">
    <w:p w14:paraId="3894273A" w14:textId="77777777" w:rsidR="00DF2E1B" w:rsidRDefault="00DF2E1B" w:rsidP="005C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0AF5" w14:textId="77777777" w:rsidR="00DF2E1B" w:rsidRDefault="00DF2E1B" w:rsidP="005C43B6">
      <w:pPr>
        <w:spacing w:after="0" w:line="240" w:lineRule="auto"/>
      </w:pPr>
      <w:r>
        <w:separator/>
      </w:r>
    </w:p>
  </w:footnote>
  <w:footnote w:type="continuationSeparator" w:id="0">
    <w:p w14:paraId="792BE2E0" w14:textId="77777777" w:rsidR="00DF2E1B" w:rsidRDefault="00DF2E1B" w:rsidP="005C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2E0"/>
    <w:multiLevelType w:val="hybridMultilevel"/>
    <w:tmpl w:val="13F03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BC1"/>
    <w:multiLevelType w:val="multilevel"/>
    <w:tmpl w:val="9CFC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11459"/>
    <w:multiLevelType w:val="hybridMultilevel"/>
    <w:tmpl w:val="BFEE7FF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B6"/>
    <w:rsid w:val="00004ED2"/>
    <w:rsid w:val="0002731A"/>
    <w:rsid w:val="00032A54"/>
    <w:rsid w:val="00065831"/>
    <w:rsid w:val="000720E7"/>
    <w:rsid w:val="000743E1"/>
    <w:rsid w:val="0008195F"/>
    <w:rsid w:val="00087CF1"/>
    <w:rsid w:val="000B0BC9"/>
    <w:rsid w:val="000B3400"/>
    <w:rsid w:val="00110C40"/>
    <w:rsid w:val="001146F4"/>
    <w:rsid w:val="00117E78"/>
    <w:rsid w:val="00157932"/>
    <w:rsid w:val="00174D4E"/>
    <w:rsid w:val="00194D9D"/>
    <w:rsid w:val="001A460D"/>
    <w:rsid w:val="001D4807"/>
    <w:rsid w:val="001E7AF2"/>
    <w:rsid w:val="001F45AF"/>
    <w:rsid w:val="001F4F4E"/>
    <w:rsid w:val="002241F3"/>
    <w:rsid w:val="00234D86"/>
    <w:rsid w:val="0023526D"/>
    <w:rsid w:val="00257D73"/>
    <w:rsid w:val="00264491"/>
    <w:rsid w:val="00271FBB"/>
    <w:rsid w:val="002726A4"/>
    <w:rsid w:val="00276F0C"/>
    <w:rsid w:val="002A1A9D"/>
    <w:rsid w:val="002A32CF"/>
    <w:rsid w:val="002A3A18"/>
    <w:rsid w:val="002B324F"/>
    <w:rsid w:val="002B57F8"/>
    <w:rsid w:val="00305ECE"/>
    <w:rsid w:val="00306DA1"/>
    <w:rsid w:val="003323FD"/>
    <w:rsid w:val="00344665"/>
    <w:rsid w:val="00352029"/>
    <w:rsid w:val="003529BC"/>
    <w:rsid w:val="00384191"/>
    <w:rsid w:val="00394E01"/>
    <w:rsid w:val="003A05C4"/>
    <w:rsid w:val="003E7C87"/>
    <w:rsid w:val="003F1DBE"/>
    <w:rsid w:val="003F5A75"/>
    <w:rsid w:val="00420794"/>
    <w:rsid w:val="0043644C"/>
    <w:rsid w:val="00441C1B"/>
    <w:rsid w:val="00452315"/>
    <w:rsid w:val="00452D18"/>
    <w:rsid w:val="004720D6"/>
    <w:rsid w:val="00485D74"/>
    <w:rsid w:val="004864BF"/>
    <w:rsid w:val="0049149F"/>
    <w:rsid w:val="004B5F17"/>
    <w:rsid w:val="004D4D81"/>
    <w:rsid w:val="004F3D81"/>
    <w:rsid w:val="004F6145"/>
    <w:rsid w:val="004F6D0F"/>
    <w:rsid w:val="005260C2"/>
    <w:rsid w:val="00533F69"/>
    <w:rsid w:val="00545086"/>
    <w:rsid w:val="00546A78"/>
    <w:rsid w:val="00552258"/>
    <w:rsid w:val="005611F1"/>
    <w:rsid w:val="00567F1D"/>
    <w:rsid w:val="0058027B"/>
    <w:rsid w:val="00590032"/>
    <w:rsid w:val="005A4EDC"/>
    <w:rsid w:val="005B1AD1"/>
    <w:rsid w:val="005B54AA"/>
    <w:rsid w:val="005C43B6"/>
    <w:rsid w:val="005E66FB"/>
    <w:rsid w:val="005F1673"/>
    <w:rsid w:val="00607E61"/>
    <w:rsid w:val="006114FE"/>
    <w:rsid w:val="00613D6C"/>
    <w:rsid w:val="00623B89"/>
    <w:rsid w:val="0065245D"/>
    <w:rsid w:val="00664169"/>
    <w:rsid w:val="006671F0"/>
    <w:rsid w:val="00696DCD"/>
    <w:rsid w:val="006A20EB"/>
    <w:rsid w:val="006A7F15"/>
    <w:rsid w:val="006C09BD"/>
    <w:rsid w:val="006E0160"/>
    <w:rsid w:val="006E4AFA"/>
    <w:rsid w:val="006E58E7"/>
    <w:rsid w:val="006F3B66"/>
    <w:rsid w:val="00703ACF"/>
    <w:rsid w:val="00712EA1"/>
    <w:rsid w:val="00714280"/>
    <w:rsid w:val="00722364"/>
    <w:rsid w:val="00725DB5"/>
    <w:rsid w:val="007739FB"/>
    <w:rsid w:val="00773BBE"/>
    <w:rsid w:val="00774650"/>
    <w:rsid w:val="007858AC"/>
    <w:rsid w:val="007A1DA0"/>
    <w:rsid w:val="007C12D6"/>
    <w:rsid w:val="007C6D95"/>
    <w:rsid w:val="007D4753"/>
    <w:rsid w:val="007D55E6"/>
    <w:rsid w:val="00823742"/>
    <w:rsid w:val="0086328A"/>
    <w:rsid w:val="00882B3B"/>
    <w:rsid w:val="008A63A6"/>
    <w:rsid w:val="008C4E33"/>
    <w:rsid w:val="008D0AE4"/>
    <w:rsid w:val="008D165B"/>
    <w:rsid w:val="008D7318"/>
    <w:rsid w:val="008E7E7B"/>
    <w:rsid w:val="00900C7A"/>
    <w:rsid w:val="00912FAF"/>
    <w:rsid w:val="009773EE"/>
    <w:rsid w:val="009879A1"/>
    <w:rsid w:val="009B1C1E"/>
    <w:rsid w:val="009C220B"/>
    <w:rsid w:val="009F4346"/>
    <w:rsid w:val="009F46C4"/>
    <w:rsid w:val="00A04F5E"/>
    <w:rsid w:val="00A27530"/>
    <w:rsid w:val="00A3570A"/>
    <w:rsid w:val="00A42901"/>
    <w:rsid w:val="00A612E1"/>
    <w:rsid w:val="00A62C1F"/>
    <w:rsid w:val="00A73FD5"/>
    <w:rsid w:val="00AA3F4F"/>
    <w:rsid w:val="00AB4B33"/>
    <w:rsid w:val="00AB56EE"/>
    <w:rsid w:val="00AB7F00"/>
    <w:rsid w:val="00AD56A6"/>
    <w:rsid w:val="00AE1A46"/>
    <w:rsid w:val="00AE7D94"/>
    <w:rsid w:val="00AF50B3"/>
    <w:rsid w:val="00B05168"/>
    <w:rsid w:val="00B334B8"/>
    <w:rsid w:val="00B406C3"/>
    <w:rsid w:val="00B47002"/>
    <w:rsid w:val="00B90BF9"/>
    <w:rsid w:val="00B92C67"/>
    <w:rsid w:val="00BF746C"/>
    <w:rsid w:val="00C21F8C"/>
    <w:rsid w:val="00C47594"/>
    <w:rsid w:val="00C620E6"/>
    <w:rsid w:val="00C82D46"/>
    <w:rsid w:val="00C97D43"/>
    <w:rsid w:val="00CA5785"/>
    <w:rsid w:val="00CA6E48"/>
    <w:rsid w:val="00CB7DC8"/>
    <w:rsid w:val="00CD2EDD"/>
    <w:rsid w:val="00CE674D"/>
    <w:rsid w:val="00D00D77"/>
    <w:rsid w:val="00D020EA"/>
    <w:rsid w:val="00D06F7E"/>
    <w:rsid w:val="00D33080"/>
    <w:rsid w:val="00D62D8E"/>
    <w:rsid w:val="00D74A8C"/>
    <w:rsid w:val="00D76AAC"/>
    <w:rsid w:val="00D80076"/>
    <w:rsid w:val="00DB3784"/>
    <w:rsid w:val="00DC2D0F"/>
    <w:rsid w:val="00DC510A"/>
    <w:rsid w:val="00DC5F36"/>
    <w:rsid w:val="00DD39A9"/>
    <w:rsid w:val="00DF2E1B"/>
    <w:rsid w:val="00DF5628"/>
    <w:rsid w:val="00E070E5"/>
    <w:rsid w:val="00E81327"/>
    <w:rsid w:val="00E845C0"/>
    <w:rsid w:val="00EA4966"/>
    <w:rsid w:val="00EB6234"/>
    <w:rsid w:val="00EB63AF"/>
    <w:rsid w:val="00EC4720"/>
    <w:rsid w:val="00EC51A6"/>
    <w:rsid w:val="00ED70AF"/>
    <w:rsid w:val="00EE5EF5"/>
    <w:rsid w:val="00EF1572"/>
    <w:rsid w:val="00EF1D0F"/>
    <w:rsid w:val="00EF5C63"/>
    <w:rsid w:val="00EF6677"/>
    <w:rsid w:val="00F068AF"/>
    <w:rsid w:val="00F11E3A"/>
    <w:rsid w:val="00F1479B"/>
    <w:rsid w:val="00F22F1A"/>
    <w:rsid w:val="00F24182"/>
    <w:rsid w:val="00F26B74"/>
    <w:rsid w:val="00F304DF"/>
    <w:rsid w:val="00F6267E"/>
    <w:rsid w:val="00F636CF"/>
    <w:rsid w:val="00F853AA"/>
    <w:rsid w:val="00FA3A2C"/>
    <w:rsid w:val="00FC10E5"/>
    <w:rsid w:val="00FC15F0"/>
    <w:rsid w:val="00FC4A2F"/>
    <w:rsid w:val="00FD69BE"/>
    <w:rsid w:val="00FE0AEA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B1BE"/>
  <w15:chartTrackingRefBased/>
  <w15:docId w15:val="{1C49D8D3-EAB8-4171-A722-CFF1515A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43B6"/>
  </w:style>
  <w:style w:type="paragraph" w:styleId="Heading1">
    <w:name w:val="heading 1"/>
    <w:next w:val="Normal"/>
    <w:link w:val="Heading1Char"/>
    <w:uiPriority w:val="9"/>
    <w:qFormat/>
    <w:rsid w:val="005C43B6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B6"/>
    <w:rPr>
      <w:rFonts w:ascii="Times New Roman" w:eastAsia="Times New Roman" w:hAnsi="Times New Roman" w:cs="Times New Roman"/>
      <w:b/>
      <w:color w:val="000000"/>
      <w:sz w:val="28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5C43B6"/>
    <w:pPr>
      <w:spacing w:after="4" w:line="248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16"/>
      <w:lang w:eastAsia="en-GB"/>
    </w:rPr>
  </w:style>
  <w:style w:type="character" w:customStyle="1" w:styleId="footnotedescriptionChar">
    <w:name w:val="footnote description Char"/>
    <w:link w:val="footnotedescription"/>
    <w:rsid w:val="005C43B6"/>
    <w:rPr>
      <w:rFonts w:ascii="Times New Roman" w:eastAsia="Times New Roman" w:hAnsi="Times New Roman" w:cs="Times New Roman"/>
      <w:color w:val="000000"/>
      <w:sz w:val="16"/>
      <w:lang w:eastAsia="en-GB"/>
    </w:rPr>
  </w:style>
  <w:style w:type="character" w:customStyle="1" w:styleId="footnotemark">
    <w:name w:val="footnote mark"/>
    <w:hidden/>
    <w:rsid w:val="005C43B6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ListParagraph">
    <w:name w:val="List Paragraph"/>
    <w:basedOn w:val="Normal"/>
    <w:uiPriority w:val="34"/>
    <w:qFormat/>
    <w:rsid w:val="006E4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Puttick</dc:creator>
  <cp:keywords/>
  <dc:description/>
  <cp:lastModifiedBy>Ian Henn</cp:lastModifiedBy>
  <cp:revision>2</cp:revision>
  <dcterms:created xsi:type="dcterms:W3CDTF">2019-10-25T11:40:00Z</dcterms:created>
  <dcterms:modified xsi:type="dcterms:W3CDTF">2019-10-25T11:40:00Z</dcterms:modified>
</cp:coreProperties>
</file>