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5EB52" w14:textId="7451E0EE" w:rsidR="009408EE" w:rsidRPr="00061A5F" w:rsidRDefault="009408EE" w:rsidP="007F5D0E">
      <w:pPr>
        <w:pStyle w:val="Heading1"/>
        <w:spacing w:before="0" w:line="276" w:lineRule="auto"/>
        <w:jc w:val="both"/>
        <w:rPr>
          <w:sz w:val="32"/>
        </w:rPr>
      </w:pPr>
      <w:bookmarkStart w:id="0" w:name="_Toc421105238"/>
      <w:bookmarkStart w:id="1" w:name="_Hlk8926616"/>
      <w:bookmarkStart w:id="2" w:name="_Hlk8916382"/>
      <w:r w:rsidRPr="00061A5F">
        <w:rPr>
          <w:sz w:val="32"/>
        </w:rPr>
        <w:t xml:space="preserve">The </w:t>
      </w:r>
      <w:r w:rsidR="00C350F1" w:rsidRPr="00061A5F">
        <w:rPr>
          <w:sz w:val="32"/>
        </w:rPr>
        <w:t>E</w:t>
      </w:r>
      <w:r w:rsidRPr="00061A5F">
        <w:rPr>
          <w:sz w:val="32"/>
        </w:rPr>
        <w:t xml:space="preserve">ffect of </w:t>
      </w:r>
      <w:r w:rsidR="00C350F1" w:rsidRPr="00061A5F">
        <w:rPr>
          <w:sz w:val="32"/>
        </w:rPr>
        <w:t>C</w:t>
      </w:r>
      <w:r w:rsidRPr="00061A5F">
        <w:rPr>
          <w:sz w:val="32"/>
        </w:rPr>
        <w:t xml:space="preserve">urrency </w:t>
      </w:r>
      <w:r w:rsidR="00C350F1" w:rsidRPr="00061A5F">
        <w:rPr>
          <w:sz w:val="32"/>
        </w:rPr>
        <w:t>B</w:t>
      </w:r>
      <w:r w:rsidRPr="00061A5F">
        <w:rPr>
          <w:sz w:val="32"/>
        </w:rPr>
        <w:t xml:space="preserve">oard </w:t>
      </w:r>
      <w:r w:rsidR="00C350F1" w:rsidRPr="00061A5F">
        <w:rPr>
          <w:sz w:val="32"/>
        </w:rPr>
        <w:t>A</w:t>
      </w:r>
      <w:r w:rsidRPr="00061A5F">
        <w:rPr>
          <w:sz w:val="32"/>
        </w:rPr>
        <w:t xml:space="preserve">rrangements on </w:t>
      </w:r>
      <w:r w:rsidR="00C350F1" w:rsidRPr="00061A5F">
        <w:rPr>
          <w:sz w:val="32"/>
        </w:rPr>
        <w:t>I</w:t>
      </w:r>
      <w:r w:rsidRPr="00061A5F">
        <w:rPr>
          <w:sz w:val="32"/>
        </w:rPr>
        <w:t xml:space="preserve">nflation </w:t>
      </w:r>
      <w:r w:rsidR="00C350F1" w:rsidRPr="00061A5F">
        <w:rPr>
          <w:sz w:val="32"/>
        </w:rPr>
        <w:t>P</w:t>
      </w:r>
      <w:r w:rsidRPr="00061A5F">
        <w:rPr>
          <w:sz w:val="32"/>
        </w:rPr>
        <w:t>erformance</w:t>
      </w:r>
      <w:bookmarkEnd w:id="0"/>
      <w:r w:rsidR="00644763" w:rsidRPr="00061A5F">
        <w:rPr>
          <w:sz w:val="32"/>
        </w:rPr>
        <w:t xml:space="preserve"> in </w:t>
      </w:r>
      <w:r w:rsidR="00C350F1" w:rsidRPr="00061A5F">
        <w:rPr>
          <w:sz w:val="32"/>
        </w:rPr>
        <w:t>T</w:t>
      </w:r>
      <w:r w:rsidR="00644763" w:rsidRPr="00061A5F">
        <w:rPr>
          <w:sz w:val="32"/>
        </w:rPr>
        <w:t xml:space="preserve">ransition </w:t>
      </w:r>
      <w:r w:rsidR="00C350F1" w:rsidRPr="00061A5F">
        <w:rPr>
          <w:sz w:val="32"/>
        </w:rPr>
        <w:t>C</w:t>
      </w:r>
      <w:r w:rsidR="00644763" w:rsidRPr="00061A5F">
        <w:rPr>
          <w:sz w:val="32"/>
        </w:rPr>
        <w:t xml:space="preserve">ountries </w:t>
      </w:r>
      <w:r w:rsidR="006054E5" w:rsidRPr="00061A5F">
        <w:rPr>
          <w:sz w:val="32"/>
        </w:rPr>
        <w:t xml:space="preserve">before and during the Global </w:t>
      </w:r>
      <w:r w:rsidR="00CA6553" w:rsidRPr="00061A5F">
        <w:rPr>
          <w:sz w:val="32"/>
        </w:rPr>
        <w:t>F</w:t>
      </w:r>
      <w:r w:rsidR="006054E5" w:rsidRPr="00061A5F">
        <w:rPr>
          <w:sz w:val="32"/>
        </w:rPr>
        <w:t xml:space="preserve">inancial </w:t>
      </w:r>
      <w:r w:rsidR="00CA6553" w:rsidRPr="00061A5F">
        <w:rPr>
          <w:sz w:val="32"/>
        </w:rPr>
        <w:t>C</w:t>
      </w:r>
      <w:r w:rsidR="006054E5" w:rsidRPr="00061A5F">
        <w:rPr>
          <w:sz w:val="32"/>
        </w:rPr>
        <w:t>risis</w:t>
      </w:r>
    </w:p>
    <w:bookmarkEnd w:id="1"/>
    <w:p w14:paraId="403A3BE3" w14:textId="33623E91" w:rsidR="009408EE" w:rsidRPr="00061A5F" w:rsidRDefault="009408EE" w:rsidP="007F5D0E">
      <w:pPr>
        <w:pStyle w:val="TOC2"/>
        <w:spacing w:line="276" w:lineRule="auto"/>
        <w:ind w:left="0"/>
        <w:jc w:val="both"/>
      </w:pPr>
    </w:p>
    <w:p w14:paraId="6051FD5F" w14:textId="77777777" w:rsidR="00734661" w:rsidRPr="00061A5F" w:rsidRDefault="00734661" w:rsidP="007F5D0E">
      <w:pPr>
        <w:spacing w:line="276" w:lineRule="auto"/>
        <w:jc w:val="both"/>
        <w:rPr>
          <w:rFonts w:ascii="Times New Roman" w:hAnsi="Times New Roman"/>
          <w:b/>
          <w:sz w:val="24"/>
          <w:szCs w:val="24"/>
        </w:rPr>
      </w:pPr>
    </w:p>
    <w:bookmarkEnd w:id="2"/>
    <w:p w14:paraId="15184224" w14:textId="397BE020" w:rsidR="009408EE" w:rsidRPr="00061A5F" w:rsidRDefault="009408EE" w:rsidP="007F5D0E">
      <w:pPr>
        <w:spacing w:line="276" w:lineRule="auto"/>
        <w:jc w:val="both"/>
        <w:rPr>
          <w:rFonts w:ascii="Times New Roman" w:hAnsi="Times New Roman"/>
          <w:i/>
          <w:sz w:val="24"/>
          <w:szCs w:val="24"/>
        </w:rPr>
      </w:pPr>
      <w:r w:rsidRPr="00061A5F">
        <w:rPr>
          <w:rFonts w:ascii="Times New Roman" w:hAnsi="Times New Roman"/>
          <w:i/>
          <w:sz w:val="24"/>
          <w:szCs w:val="24"/>
        </w:rPr>
        <w:t>Abstract</w:t>
      </w:r>
    </w:p>
    <w:p w14:paraId="5EAE2E47" w14:textId="77777777" w:rsidR="005D445A" w:rsidRPr="00061A5F" w:rsidRDefault="005D445A" w:rsidP="007F5D0E">
      <w:pPr>
        <w:spacing w:line="276" w:lineRule="auto"/>
        <w:jc w:val="both"/>
        <w:rPr>
          <w:rFonts w:ascii="Times New Roman" w:hAnsi="Times New Roman"/>
          <w:b/>
          <w:i/>
          <w:sz w:val="24"/>
          <w:szCs w:val="24"/>
        </w:rPr>
      </w:pPr>
    </w:p>
    <w:p w14:paraId="5B323368" w14:textId="28204D8A" w:rsidR="005D445A" w:rsidRPr="00061A5F" w:rsidRDefault="00AA183C" w:rsidP="007F5D0E">
      <w:pPr>
        <w:spacing w:line="276" w:lineRule="auto"/>
        <w:jc w:val="both"/>
        <w:outlineLvl w:val="1"/>
        <w:rPr>
          <w:rFonts w:ascii="Times New Roman" w:hAnsi="Times New Roman"/>
          <w:i/>
          <w:sz w:val="24"/>
          <w:szCs w:val="24"/>
        </w:rPr>
      </w:pPr>
      <w:r w:rsidRPr="00061A5F">
        <w:rPr>
          <w:rFonts w:ascii="Times New Roman" w:hAnsi="Times New Roman"/>
          <w:i/>
          <w:sz w:val="24"/>
          <w:szCs w:val="24"/>
        </w:rPr>
        <w:t>The aim of this paper is to empirically investigate</w:t>
      </w:r>
      <w:r w:rsidR="0036650D" w:rsidRPr="00061A5F">
        <w:rPr>
          <w:rFonts w:ascii="Times New Roman" w:hAnsi="Times New Roman"/>
          <w:i/>
          <w:sz w:val="24"/>
          <w:szCs w:val="24"/>
        </w:rPr>
        <w:t xml:space="preserve"> the difference in inflation performances between </w:t>
      </w:r>
      <w:r w:rsidRPr="00061A5F">
        <w:rPr>
          <w:rFonts w:ascii="Times New Roman" w:hAnsi="Times New Roman"/>
          <w:i/>
          <w:sz w:val="24"/>
          <w:szCs w:val="24"/>
        </w:rPr>
        <w:t xml:space="preserve">European countries </w:t>
      </w:r>
      <w:r w:rsidR="00364B97" w:rsidRPr="00061A5F">
        <w:rPr>
          <w:rFonts w:ascii="Times New Roman" w:hAnsi="Times New Roman"/>
          <w:i/>
          <w:sz w:val="24"/>
          <w:szCs w:val="24"/>
        </w:rPr>
        <w:t xml:space="preserve">that </w:t>
      </w:r>
      <w:r w:rsidRPr="00061A5F">
        <w:rPr>
          <w:rFonts w:ascii="Times New Roman" w:hAnsi="Times New Roman"/>
          <w:i/>
          <w:sz w:val="24"/>
          <w:szCs w:val="24"/>
        </w:rPr>
        <w:t xml:space="preserve">adopted a currency board arrangement (CBA) in the early stage of transition </w:t>
      </w:r>
      <w:r w:rsidR="0036650D" w:rsidRPr="00061A5F">
        <w:rPr>
          <w:rFonts w:ascii="Times New Roman" w:hAnsi="Times New Roman"/>
          <w:i/>
          <w:sz w:val="24"/>
          <w:szCs w:val="24"/>
        </w:rPr>
        <w:t>and</w:t>
      </w:r>
      <w:r w:rsidR="00BB1050" w:rsidRPr="00061A5F">
        <w:rPr>
          <w:rFonts w:ascii="Times New Roman" w:hAnsi="Times New Roman"/>
          <w:i/>
          <w:sz w:val="24"/>
          <w:szCs w:val="24"/>
        </w:rPr>
        <w:t xml:space="preserve"> countries with other monetary</w:t>
      </w:r>
      <w:r w:rsidRPr="00061A5F">
        <w:rPr>
          <w:rFonts w:ascii="Times New Roman" w:hAnsi="Times New Roman"/>
          <w:i/>
          <w:sz w:val="24"/>
          <w:szCs w:val="24"/>
        </w:rPr>
        <w:t xml:space="preserve"> regimes. The sample consists of 25 transition countries </w:t>
      </w:r>
      <w:r w:rsidR="000C7CC7" w:rsidRPr="00061A5F">
        <w:rPr>
          <w:rFonts w:ascii="Times New Roman" w:hAnsi="Times New Roman"/>
          <w:i/>
          <w:sz w:val="24"/>
          <w:szCs w:val="24"/>
        </w:rPr>
        <w:t xml:space="preserve">for </w:t>
      </w:r>
      <w:r w:rsidR="00281197" w:rsidRPr="00061A5F">
        <w:rPr>
          <w:rFonts w:ascii="Times New Roman" w:hAnsi="Times New Roman"/>
          <w:i/>
          <w:sz w:val="24"/>
          <w:szCs w:val="24"/>
        </w:rPr>
        <w:t>the period</w:t>
      </w:r>
      <w:r w:rsidRPr="00061A5F">
        <w:rPr>
          <w:rFonts w:ascii="Times New Roman" w:hAnsi="Times New Roman"/>
          <w:i/>
          <w:sz w:val="24"/>
          <w:szCs w:val="24"/>
        </w:rPr>
        <w:t xml:space="preserve"> 1998-2015. </w:t>
      </w:r>
      <w:r w:rsidR="006054E5" w:rsidRPr="00061A5F">
        <w:rPr>
          <w:rFonts w:ascii="Times New Roman" w:hAnsi="Times New Roman"/>
          <w:i/>
          <w:sz w:val="24"/>
          <w:szCs w:val="24"/>
        </w:rPr>
        <w:t xml:space="preserve">Before the Global </w:t>
      </w:r>
      <w:r w:rsidR="00CA6553" w:rsidRPr="00061A5F">
        <w:rPr>
          <w:rFonts w:ascii="Times New Roman" w:hAnsi="Times New Roman"/>
          <w:i/>
          <w:sz w:val="24"/>
          <w:szCs w:val="24"/>
        </w:rPr>
        <w:t>F</w:t>
      </w:r>
      <w:r w:rsidR="006054E5" w:rsidRPr="00061A5F">
        <w:rPr>
          <w:rFonts w:ascii="Times New Roman" w:hAnsi="Times New Roman"/>
          <w:i/>
          <w:sz w:val="24"/>
          <w:szCs w:val="24"/>
        </w:rPr>
        <w:t xml:space="preserve">inancial </w:t>
      </w:r>
      <w:r w:rsidR="00CA6553" w:rsidRPr="00061A5F">
        <w:rPr>
          <w:rFonts w:ascii="Times New Roman" w:hAnsi="Times New Roman"/>
          <w:i/>
          <w:sz w:val="24"/>
          <w:szCs w:val="24"/>
        </w:rPr>
        <w:t>C</w:t>
      </w:r>
      <w:r w:rsidR="006054E5" w:rsidRPr="00061A5F">
        <w:rPr>
          <w:rFonts w:ascii="Times New Roman" w:hAnsi="Times New Roman"/>
          <w:i/>
          <w:sz w:val="24"/>
          <w:szCs w:val="24"/>
        </w:rPr>
        <w:t xml:space="preserve">risis </w:t>
      </w:r>
      <w:r w:rsidR="00CA6553" w:rsidRPr="00061A5F">
        <w:rPr>
          <w:rFonts w:ascii="Times New Roman" w:hAnsi="Times New Roman"/>
          <w:i/>
          <w:sz w:val="24"/>
          <w:szCs w:val="24"/>
        </w:rPr>
        <w:t xml:space="preserve">(GFC) </w:t>
      </w:r>
      <w:r w:rsidR="006054E5" w:rsidRPr="00061A5F">
        <w:rPr>
          <w:rFonts w:ascii="Times New Roman" w:hAnsi="Times New Roman"/>
          <w:i/>
          <w:sz w:val="24"/>
          <w:szCs w:val="24"/>
        </w:rPr>
        <w:t xml:space="preserve">the main objective of most central banks was </w:t>
      </w:r>
      <w:r w:rsidR="00CA1649" w:rsidRPr="00061A5F">
        <w:rPr>
          <w:rFonts w:ascii="Times New Roman" w:hAnsi="Times New Roman"/>
          <w:i/>
          <w:sz w:val="24"/>
          <w:szCs w:val="24"/>
        </w:rPr>
        <w:t xml:space="preserve">the maintenance of low inflation rates </w:t>
      </w:r>
      <w:r w:rsidR="006054E5" w:rsidRPr="00061A5F">
        <w:rPr>
          <w:rFonts w:ascii="Times New Roman" w:hAnsi="Times New Roman"/>
          <w:i/>
          <w:sz w:val="24"/>
          <w:szCs w:val="24"/>
        </w:rPr>
        <w:t xml:space="preserve">and many studies investigated which regime </w:t>
      </w:r>
      <w:r w:rsidR="00CA6553" w:rsidRPr="00061A5F">
        <w:rPr>
          <w:rFonts w:ascii="Times New Roman" w:hAnsi="Times New Roman"/>
          <w:i/>
          <w:sz w:val="24"/>
          <w:szCs w:val="24"/>
        </w:rPr>
        <w:t>wa</w:t>
      </w:r>
      <w:r w:rsidR="006054E5" w:rsidRPr="00061A5F">
        <w:rPr>
          <w:rFonts w:ascii="Times New Roman" w:hAnsi="Times New Roman"/>
          <w:i/>
          <w:sz w:val="24"/>
          <w:szCs w:val="24"/>
        </w:rPr>
        <w:t>s the best for</w:t>
      </w:r>
      <w:r w:rsidR="0036650D" w:rsidRPr="00061A5F">
        <w:rPr>
          <w:rFonts w:ascii="Times New Roman" w:hAnsi="Times New Roman"/>
          <w:i/>
          <w:sz w:val="24"/>
          <w:szCs w:val="24"/>
        </w:rPr>
        <w:t xml:space="preserve"> keeping inflation rates at low levels</w:t>
      </w:r>
      <w:r w:rsidR="006054E5" w:rsidRPr="00061A5F">
        <w:rPr>
          <w:rFonts w:ascii="Times New Roman" w:hAnsi="Times New Roman"/>
          <w:i/>
          <w:sz w:val="24"/>
          <w:szCs w:val="24"/>
        </w:rPr>
        <w:t xml:space="preserve">. </w:t>
      </w:r>
      <w:r w:rsidR="009E078C" w:rsidRPr="00061A5F">
        <w:rPr>
          <w:rFonts w:ascii="Times New Roman" w:hAnsi="Times New Roman"/>
          <w:i/>
          <w:sz w:val="24"/>
          <w:szCs w:val="24"/>
        </w:rPr>
        <w:t xml:space="preserve">A CBA, as very rigid monetary regime, proved to be beneficial for fulfilling this </w:t>
      </w:r>
      <w:r w:rsidR="00986F82" w:rsidRPr="00061A5F">
        <w:rPr>
          <w:rFonts w:ascii="Times New Roman" w:hAnsi="Times New Roman"/>
          <w:i/>
          <w:sz w:val="24"/>
          <w:szCs w:val="24"/>
        </w:rPr>
        <w:t>goal</w:t>
      </w:r>
      <w:r w:rsidR="009E078C" w:rsidRPr="00061A5F">
        <w:rPr>
          <w:rFonts w:ascii="Times New Roman" w:hAnsi="Times New Roman"/>
          <w:i/>
          <w:sz w:val="24"/>
          <w:szCs w:val="24"/>
        </w:rPr>
        <w:t xml:space="preserve">. </w:t>
      </w:r>
      <w:r w:rsidR="00CA1649" w:rsidRPr="00061A5F">
        <w:rPr>
          <w:rFonts w:ascii="Times New Roman" w:hAnsi="Times New Roman"/>
          <w:i/>
          <w:sz w:val="24"/>
          <w:szCs w:val="24"/>
        </w:rPr>
        <w:t xml:space="preserve">However, during and after the GFC central banks </w:t>
      </w:r>
      <w:r w:rsidR="0036650D" w:rsidRPr="00061A5F">
        <w:rPr>
          <w:rFonts w:ascii="Times New Roman" w:hAnsi="Times New Roman"/>
          <w:i/>
          <w:sz w:val="24"/>
          <w:szCs w:val="24"/>
        </w:rPr>
        <w:t xml:space="preserve">around the world </w:t>
      </w:r>
      <w:r w:rsidR="00CA1649" w:rsidRPr="00061A5F">
        <w:rPr>
          <w:rFonts w:ascii="Times New Roman" w:hAnsi="Times New Roman"/>
          <w:i/>
          <w:sz w:val="24"/>
          <w:szCs w:val="24"/>
        </w:rPr>
        <w:t xml:space="preserve">tried to offset deflationary pressures and </w:t>
      </w:r>
      <w:r w:rsidR="0036650D" w:rsidRPr="00061A5F">
        <w:rPr>
          <w:rFonts w:ascii="Times New Roman" w:hAnsi="Times New Roman"/>
          <w:i/>
          <w:sz w:val="24"/>
          <w:szCs w:val="24"/>
        </w:rPr>
        <w:t xml:space="preserve">those that implemented a CBA have been unable to </w:t>
      </w:r>
      <w:r w:rsidR="00E66D56" w:rsidRPr="00061A5F">
        <w:rPr>
          <w:rFonts w:ascii="Times New Roman" w:hAnsi="Times New Roman"/>
          <w:i/>
          <w:sz w:val="24"/>
          <w:szCs w:val="24"/>
        </w:rPr>
        <w:t xml:space="preserve">do so by </w:t>
      </w:r>
      <w:r w:rsidR="0036650D" w:rsidRPr="00061A5F">
        <w:rPr>
          <w:rFonts w:ascii="Times New Roman" w:hAnsi="Times New Roman"/>
          <w:i/>
          <w:sz w:val="24"/>
          <w:szCs w:val="24"/>
        </w:rPr>
        <w:t>implement</w:t>
      </w:r>
      <w:r w:rsidR="00E66D56" w:rsidRPr="00061A5F">
        <w:rPr>
          <w:rFonts w:ascii="Times New Roman" w:hAnsi="Times New Roman"/>
          <w:i/>
          <w:sz w:val="24"/>
          <w:szCs w:val="24"/>
        </w:rPr>
        <w:t>ing</w:t>
      </w:r>
      <w:r w:rsidR="0036650D" w:rsidRPr="00061A5F">
        <w:rPr>
          <w:rFonts w:ascii="Times New Roman" w:hAnsi="Times New Roman"/>
          <w:i/>
          <w:sz w:val="24"/>
          <w:szCs w:val="24"/>
        </w:rPr>
        <w:t xml:space="preserve"> expansionary measures</w:t>
      </w:r>
      <w:r w:rsidR="009E078C" w:rsidRPr="00061A5F">
        <w:rPr>
          <w:rFonts w:ascii="Times New Roman" w:hAnsi="Times New Roman"/>
          <w:i/>
          <w:sz w:val="24"/>
          <w:szCs w:val="24"/>
        </w:rPr>
        <w:t xml:space="preserve">. Therefore, the question about </w:t>
      </w:r>
      <w:r w:rsidR="00F94A91" w:rsidRPr="00061A5F">
        <w:rPr>
          <w:rFonts w:ascii="Times New Roman" w:hAnsi="Times New Roman"/>
          <w:i/>
          <w:sz w:val="24"/>
          <w:szCs w:val="24"/>
        </w:rPr>
        <w:t xml:space="preserve">CBA </w:t>
      </w:r>
      <w:r w:rsidR="009E078C" w:rsidRPr="00061A5F">
        <w:rPr>
          <w:rFonts w:ascii="Times New Roman" w:hAnsi="Times New Roman"/>
          <w:i/>
          <w:sz w:val="24"/>
          <w:szCs w:val="24"/>
        </w:rPr>
        <w:t xml:space="preserve">performance during </w:t>
      </w:r>
      <w:r w:rsidR="00F94A91" w:rsidRPr="00061A5F">
        <w:rPr>
          <w:rFonts w:ascii="Times New Roman" w:hAnsi="Times New Roman"/>
          <w:i/>
          <w:sz w:val="24"/>
          <w:szCs w:val="24"/>
        </w:rPr>
        <w:t xml:space="preserve">and after </w:t>
      </w:r>
      <w:r w:rsidR="009E078C" w:rsidRPr="00061A5F">
        <w:rPr>
          <w:rFonts w:ascii="Times New Roman" w:hAnsi="Times New Roman"/>
          <w:i/>
          <w:sz w:val="24"/>
          <w:szCs w:val="24"/>
        </w:rPr>
        <w:t xml:space="preserve">the crisis is raised and </w:t>
      </w:r>
      <w:r w:rsidR="0036650D" w:rsidRPr="00061A5F">
        <w:rPr>
          <w:rFonts w:ascii="Times New Roman" w:hAnsi="Times New Roman"/>
          <w:i/>
          <w:sz w:val="24"/>
          <w:szCs w:val="24"/>
        </w:rPr>
        <w:t>ha</w:t>
      </w:r>
      <w:r w:rsidR="009E078C" w:rsidRPr="00061A5F">
        <w:rPr>
          <w:rFonts w:ascii="Times New Roman" w:hAnsi="Times New Roman"/>
          <w:i/>
          <w:sz w:val="24"/>
          <w:szCs w:val="24"/>
        </w:rPr>
        <w:t>s</w:t>
      </w:r>
      <w:r w:rsidR="0036650D" w:rsidRPr="00061A5F">
        <w:rPr>
          <w:rFonts w:ascii="Times New Roman" w:hAnsi="Times New Roman"/>
          <w:i/>
          <w:sz w:val="24"/>
          <w:szCs w:val="24"/>
        </w:rPr>
        <w:t xml:space="preserve"> not been </w:t>
      </w:r>
      <w:r w:rsidR="009F2DC6" w:rsidRPr="00061A5F">
        <w:rPr>
          <w:rFonts w:ascii="Times New Roman" w:hAnsi="Times New Roman"/>
          <w:i/>
          <w:sz w:val="24"/>
          <w:szCs w:val="24"/>
        </w:rPr>
        <w:t xml:space="preserve">previously </w:t>
      </w:r>
      <w:r w:rsidR="0036650D" w:rsidRPr="00061A5F">
        <w:rPr>
          <w:rFonts w:ascii="Times New Roman" w:hAnsi="Times New Roman"/>
          <w:i/>
          <w:sz w:val="24"/>
          <w:szCs w:val="24"/>
        </w:rPr>
        <w:t>investigated</w:t>
      </w:r>
      <w:r w:rsidR="00694333" w:rsidRPr="00061A5F">
        <w:rPr>
          <w:rFonts w:ascii="Times New Roman" w:hAnsi="Times New Roman"/>
          <w:i/>
          <w:sz w:val="24"/>
          <w:szCs w:val="24"/>
        </w:rPr>
        <w:t xml:space="preserve"> and</w:t>
      </w:r>
      <w:r w:rsidR="00143095" w:rsidRPr="00061A5F">
        <w:rPr>
          <w:rFonts w:ascii="Times New Roman" w:hAnsi="Times New Roman"/>
          <w:i/>
          <w:sz w:val="24"/>
          <w:szCs w:val="24"/>
        </w:rPr>
        <w:t xml:space="preserve"> </w:t>
      </w:r>
      <w:r w:rsidR="00694333" w:rsidRPr="00061A5F">
        <w:rPr>
          <w:rFonts w:ascii="Times New Roman" w:hAnsi="Times New Roman"/>
          <w:i/>
          <w:sz w:val="24"/>
          <w:szCs w:val="24"/>
        </w:rPr>
        <w:t>t</w:t>
      </w:r>
      <w:r w:rsidR="00CA1649" w:rsidRPr="00061A5F">
        <w:rPr>
          <w:rFonts w:ascii="Times New Roman" w:hAnsi="Times New Roman"/>
          <w:i/>
          <w:sz w:val="24"/>
          <w:szCs w:val="24"/>
        </w:rPr>
        <w:t xml:space="preserve">his paper aims </w:t>
      </w:r>
      <w:r w:rsidR="00BF1EE3" w:rsidRPr="00061A5F">
        <w:rPr>
          <w:rFonts w:ascii="Times New Roman" w:hAnsi="Times New Roman"/>
          <w:i/>
          <w:sz w:val="24"/>
          <w:szCs w:val="24"/>
        </w:rPr>
        <w:t>to fi</w:t>
      </w:r>
      <w:r w:rsidR="00A07B53" w:rsidRPr="00061A5F">
        <w:rPr>
          <w:rFonts w:ascii="Times New Roman" w:hAnsi="Times New Roman"/>
          <w:i/>
          <w:sz w:val="24"/>
          <w:szCs w:val="24"/>
        </w:rPr>
        <w:t>l</w:t>
      </w:r>
      <w:r w:rsidR="00BF1EE3" w:rsidRPr="00061A5F">
        <w:rPr>
          <w:rFonts w:ascii="Times New Roman" w:hAnsi="Times New Roman"/>
          <w:i/>
          <w:sz w:val="24"/>
          <w:szCs w:val="24"/>
        </w:rPr>
        <w:t>l this gap</w:t>
      </w:r>
      <w:r w:rsidR="00694333" w:rsidRPr="00061A5F">
        <w:rPr>
          <w:rFonts w:ascii="Times New Roman" w:hAnsi="Times New Roman"/>
          <w:i/>
          <w:sz w:val="24"/>
          <w:szCs w:val="24"/>
        </w:rPr>
        <w:t xml:space="preserve">. </w:t>
      </w:r>
      <w:bookmarkStart w:id="3" w:name="_Hlk21375699"/>
      <w:r w:rsidR="00143095" w:rsidRPr="00061A5F">
        <w:rPr>
          <w:rFonts w:ascii="Times New Roman" w:hAnsi="Times New Roman"/>
          <w:i/>
          <w:sz w:val="24"/>
          <w:szCs w:val="24"/>
        </w:rPr>
        <w:t>The results indicate that the effect of CBA on inflation has been negative</w:t>
      </w:r>
      <w:r w:rsidR="00D404D5" w:rsidRPr="00061A5F">
        <w:rPr>
          <w:rFonts w:ascii="Times New Roman" w:hAnsi="Times New Roman"/>
          <w:i/>
          <w:sz w:val="24"/>
          <w:szCs w:val="24"/>
        </w:rPr>
        <w:t>,</w:t>
      </w:r>
      <w:r w:rsidR="00317B87" w:rsidRPr="00061A5F">
        <w:rPr>
          <w:rFonts w:ascii="Times New Roman" w:hAnsi="Times New Roman"/>
          <w:i/>
          <w:sz w:val="24"/>
          <w:szCs w:val="24"/>
        </w:rPr>
        <w:t xml:space="preserve"> </w:t>
      </w:r>
      <w:r w:rsidR="00F94A91" w:rsidRPr="00061A5F">
        <w:rPr>
          <w:rFonts w:ascii="Times New Roman" w:hAnsi="Times New Roman"/>
          <w:i/>
          <w:sz w:val="24"/>
          <w:szCs w:val="24"/>
        </w:rPr>
        <w:t>yet</w:t>
      </w:r>
      <w:r w:rsidR="00143095" w:rsidRPr="00061A5F">
        <w:rPr>
          <w:rFonts w:ascii="Times New Roman" w:hAnsi="Times New Roman"/>
          <w:i/>
          <w:sz w:val="24"/>
          <w:szCs w:val="24"/>
        </w:rPr>
        <w:t xml:space="preserve"> even larger during and after the GFC</w:t>
      </w:r>
      <w:r w:rsidR="00F94A91" w:rsidRPr="00061A5F">
        <w:rPr>
          <w:rFonts w:ascii="Times New Roman" w:hAnsi="Times New Roman"/>
          <w:i/>
          <w:sz w:val="24"/>
          <w:szCs w:val="24"/>
        </w:rPr>
        <w:t>,</w:t>
      </w:r>
      <w:r w:rsidR="00143095" w:rsidRPr="00061A5F">
        <w:rPr>
          <w:rFonts w:ascii="Times New Roman" w:hAnsi="Times New Roman"/>
          <w:i/>
          <w:sz w:val="24"/>
          <w:szCs w:val="24"/>
        </w:rPr>
        <w:t xml:space="preserve"> which makes the desirability of this regime in these circumstances questionable.</w:t>
      </w:r>
      <w:bookmarkEnd w:id="3"/>
    </w:p>
    <w:p w14:paraId="2FEAFFEA" w14:textId="77777777" w:rsidR="005D445A" w:rsidRPr="00061A5F" w:rsidRDefault="005D445A" w:rsidP="007F5D0E">
      <w:pPr>
        <w:spacing w:line="276" w:lineRule="auto"/>
        <w:jc w:val="both"/>
        <w:rPr>
          <w:rFonts w:ascii="Times New Roman" w:hAnsi="Times New Roman"/>
          <w:b/>
          <w:sz w:val="24"/>
          <w:szCs w:val="24"/>
        </w:rPr>
      </w:pPr>
    </w:p>
    <w:p w14:paraId="5454D5BB" w14:textId="77777777" w:rsidR="00B3329B" w:rsidRPr="00061A5F" w:rsidRDefault="00B3329B" w:rsidP="007F5D0E">
      <w:pPr>
        <w:spacing w:line="276" w:lineRule="auto"/>
        <w:jc w:val="both"/>
        <w:rPr>
          <w:rFonts w:ascii="Times New Roman" w:hAnsi="Times New Roman"/>
          <w:sz w:val="24"/>
          <w:szCs w:val="24"/>
        </w:rPr>
      </w:pPr>
      <w:r w:rsidRPr="00061A5F">
        <w:rPr>
          <w:rFonts w:ascii="Times New Roman" w:hAnsi="Times New Roman"/>
          <w:b/>
          <w:sz w:val="24"/>
          <w:szCs w:val="24"/>
        </w:rPr>
        <w:t>JEL classification</w:t>
      </w:r>
      <w:r w:rsidRPr="00061A5F">
        <w:rPr>
          <w:rFonts w:ascii="Times New Roman" w:hAnsi="Times New Roman"/>
          <w:sz w:val="24"/>
          <w:szCs w:val="24"/>
        </w:rPr>
        <w:t>: E31, E42, E52</w:t>
      </w:r>
    </w:p>
    <w:p w14:paraId="65687365" w14:textId="0AC61E10" w:rsidR="009408EE" w:rsidRPr="00061A5F" w:rsidRDefault="00644763" w:rsidP="007F5D0E">
      <w:pPr>
        <w:spacing w:line="276" w:lineRule="auto"/>
        <w:jc w:val="both"/>
        <w:rPr>
          <w:rFonts w:ascii="Times New Roman" w:hAnsi="Times New Roman"/>
          <w:sz w:val="24"/>
          <w:szCs w:val="24"/>
        </w:rPr>
      </w:pPr>
      <w:r w:rsidRPr="00061A5F">
        <w:rPr>
          <w:rFonts w:ascii="Times New Roman" w:hAnsi="Times New Roman"/>
          <w:b/>
          <w:sz w:val="24"/>
          <w:szCs w:val="24"/>
        </w:rPr>
        <w:t>Key words</w:t>
      </w:r>
      <w:r w:rsidRPr="00061A5F">
        <w:rPr>
          <w:rFonts w:ascii="Times New Roman" w:hAnsi="Times New Roman"/>
          <w:sz w:val="24"/>
          <w:szCs w:val="24"/>
        </w:rPr>
        <w:t>: currency board</w:t>
      </w:r>
      <w:r w:rsidR="00AA183C" w:rsidRPr="00061A5F">
        <w:rPr>
          <w:rFonts w:ascii="Times New Roman" w:hAnsi="Times New Roman"/>
          <w:sz w:val="24"/>
          <w:szCs w:val="24"/>
        </w:rPr>
        <w:t xml:space="preserve"> arrangement</w:t>
      </w:r>
      <w:r w:rsidRPr="00061A5F">
        <w:rPr>
          <w:rFonts w:ascii="Times New Roman" w:hAnsi="Times New Roman"/>
          <w:sz w:val="24"/>
          <w:szCs w:val="24"/>
        </w:rPr>
        <w:t>, inflation</w:t>
      </w:r>
      <w:r w:rsidR="00D35D5D" w:rsidRPr="00061A5F">
        <w:rPr>
          <w:rFonts w:ascii="Times New Roman" w:hAnsi="Times New Roman"/>
          <w:sz w:val="24"/>
          <w:szCs w:val="24"/>
        </w:rPr>
        <w:t xml:space="preserve">, </w:t>
      </w:r>
      <w:r w:rsidR="00B3329B" w:rsidRPr="00061A5F">
        <w:rPr>
          <w:rFonts w:ascii="Times New Roman" w:hAnsi="Times New Roman"/>
          <w:sz w:val="24"/>
          <w:szCs w:val="24"/>
        </w:rPr>
        <w:t xml:space="preserve">transition countries, </w:t>
      </w:r>
      <w:r w:rsidR="001337A0" w:rsidRPr="00061A5F">
        <w:rPr>
          <w:rFonts w:ascii="Times New Roman" w:hAnsi="Times New Roman"/>
          <w:sz w:val="24"/>
          <w:szCs w:val="24"/>
        </w:rPr>
        <w:t>crisis</w:t>
      </w:r>
    </w:p>
    <w:p w14:paraId="3AB9323F" w14:textId="77777777" w:rsidR="00986F82" w:rsidRPr="00061A5F" w:rsidRDefault="00986F82" w:rsidP="007F5D0E">
      <w:pPr>
        <w:spacing w:line="276" w:lineRule="auto"/>
        <w:jc w:val="both"/>
        <w:rPr>
          <w:rFonts w:ascii="Times New Roman" w:hAnsi="Times New Roman"/>
          <w:sz w:val="24"/>
          <w:szCs w:val="24"/>
        </w:rPr>
      </w:pPr>
    </w:p>
    <w:p w14:paraId="09A9F144" w14:textId="77777777" w:rsidR="009408EE" w:rsidRPr="00061A5F" w:rsidRDefault="009408EE" w:rsidP="007F5D0E">
      <w:pPr>
        <w:spacing w:line="276" w:lineRule="auto"/>
        <w:jc w:val="both"/>
        <w:rPr>
          <w:rFonts w:ascii="Times New Roman" w:hAnsi="Times New Roman"/>
          <w:sz w:val="24"/>
          <w:szCs w:val="24"/>
        </w:rPr>
      </w:pPr>
    </w:p>
    <w:p w14:paraId="5799729A" w14:textId="2D8CC0FD" w:rsidR="009408EE" w:rsidRPr="00061A5F" w:rsidRDefault="00AC4C1E" w:rsidP="007F5D0E">
      <w:pPr>
        <w:pStyle w:val="Heading2"/>
        <w:spacing w:before="0" w:line="276" w:lineRule="auto"/>
        <w:jc w:val="both"/>
      </w:pPr>
      <w:bookmarkStart w:id="4" w:name="_Toc400712933"/>
      <w:bookmarkStart w:id="5" w:name="_Toc400718966"/>
      <w:bookmarkStart w:id="6" w:name="_Toc400719003"/>
      <w:bookmarkStart w:id="7" w:name="_Toc400730325"/>
      <w:bookmarkStart w:id="8" w:name="_Toc401221383"/>
      <w:bookmarkStart w:id="9" w:name="_Toc401221474"/>
      <w:bookmarkStart w:id="10" w:name="_Toc401221523"/>
      <w:bookmarkStart w:id="11" w:name="_Toc421105239"/>
      <w:bookmarkStart w:id="12" w:name="_Toc306954946"/>
      <w:r w:rsidRPr="00061A5F">
        <w:t>1</w:t>
      </w:r>
      <w:r w:rsidR="00B3329B" w:rsidRPr="00061A5F">
        <w:t>.</w:t>
      </w:r>
      <w:r w:rsidR="009408EE" w:rsidRPr="00061A5F">
        <w:t xml:space="preserve"> Introduction</w:t>
      </w:r>
      <w:bookmarkEnd w:id="4"/>
      <w:bookmarkEnd w:id="5"/>
      <w:bookmarkEnd w:id="6"/>
      <w:bookmarkEnd w:id="7"/>
      <w:bookmarkEnd w:id="8"/>
      <w:bookmarkEnd w:id="9"/>
      <w:bookmarkEnd w:id="10"/>
      <w:bookmarkEnd w:id="11"/>
      <w:r w:rsidR="00AF5B4F" w:rsidRPr="00061A5F">
        <w:rPr>
          <w:rStyle w:val="FootnoteReference"/>
        </w:rPr>
        <w:footnoteReference w:id="1"/>
      </w:r>
      <w:r w:rsidR="009408EE" w:rsidRPr="00061A5F">
        <w:t xml:space="preserve"> </w:t>
      </w:r>
      <w:bookmarkEnd w:id="12"/>
    </w:p>
    <w:p w14:paraId="34CE60ED" w14:textId="77777777" w:rsidR="009408EE" w:rsidRPr="00061A5F" w:rsidRDefault="009408EE" w:rsidP="007F5D0E">
      <w:pPr>
        <w:spacing w:line="276" w:lineRule="auto"/>
        <w:jc w:val="both"/>
        <w:rPr>
          <w:rFonts w:ascii="Times New Roman" w:hAnsi="Times New Roman"/>
          <w:sz w:val="24"/>
          <w:szCs w:val="24"/>
        </w:rPr>
      </w:pPr>
    </w:p>
    <w:p w14:paraId="34504F8C" w14:textId="77777777" w:rsidR="00F94A91" w:rsidRPr="00061A5F" w:rsidRDefault="00777435" w:rsidP="007F5D0E">
      <w:pPr>
        <w:spacing w:line="276" w:lineRule="auto"/>
        <w:jc w:val="both"/>
        <w:rPr>
          <w:rFonts w:ascii="Times New Roman" w:hAnsi="Times New Roman"/>
          <w:sz w:val="24"/>
          <w:szCs w:val="24"/>
        </w:rPr>
      </w:pPr>
      <w:r w:rsidRPr="00061A5F">
        <w:rPr>
          <w:rFonts w:ascii="Times New Roman" w:hAnsi="Times New Roman"/>
          <w:sz w:val="24"/>
          <w:szCs w:val="24"/>
        </w:rPr>
        <w:t xml:space="preserve">A currency board is an arrangement under which a country fixes its nominal exchange rate to some foreign currency and maintains 100 percent backing of its monetary base with foreign exchange. Under an orthodox currency board </w:t>
      </w:r>
      <w:proofErr w:type="gramStart"/>
      <w:r w:rsidR="00FF1D41" w:rsidRPr="00061A5F">
        <w:rPr>
          <w:rFonts w:ascii="Times New Roman" w:hAnsi="Times New Roman"/>
          <w:sz w:val="24"/>
          <w:szCs w:val="24"/>
        </w:rPr>
        <w:t>arrangement</w:t>
      </w:r>
      <w:proofErr w:type="gramEnd"/>
      <w:r w:rsidRPr="00061A5F">
        <w:rPr>
          <w:rFonts w:ascii="Times New Roman" w:hAnsi="Times New Roman"/>
          <w:sz w:val="24"/>
          <w:szCs w:val="24"/>
        </w:rPr>
        <w:t xml:space="preserve"> a central bank cann</w:t>
      </w:r>
      <w:r w:rsidR="002A756C" w:rsidRPr="00061A5F">
        <w:rPr>
          <w:rFonts w:ascii="Times New Roman" w:hAnsi="Times New Roman"/>
          <w:sz w:val="24"/>
          <w:szCs w:val="24"/>
        </w:rPr>
        <w:t>ot implement</w:t>
      </w:r>
      <w:r w:rsidR="00156305" w:rsidRPr="00061A5F">
        <w:rPr>
          <w:rFonts w:ascii="Times New Roman" w:hAnsi="Times New Roman"/>
          <w:sz w:val="24"/>
          <w:szCs w:val="24"/>
        </w:rPr>
        <w:t xml:space="preserve"> a discretionary</w:t>
      </w:r>
      <w:r w:rsidR="00151C04" w:rsidRPr="00061A5F">
        <w:rPr>
          <w:rFonts w:ascii="Times New Roman" w:hAnsi="Times New Roman"/>
          <w:sz w:val="24"/>
          <w:szCs w:val="24"/>
        </w:rPr>
        <w:t xml:space="preserve"> </w:t>
      </w:r>
      <w:r w:rsidRPr="00061A5F">
        <w:rPr>
          <w:rFonts w:ascii="Times New Roman" w:hAnsi="Times New Roman"/>
          <w:sz w:val="24"/>
          <w:szCs w:val="24"/>
        </w:rPr>
        <w:t xml:space="preserve">monetary policy using traditional monetary policy instruments. These rules are typically embedded in law and therefore can be changed only if the law is altered, which makes the currency board a “tougher” </w:t>
      </w:r>
      <w:r w:rsidR="00151C04" w:rsidRPr="00061A5F">
        <w:rPr>
          <w:rFonts w:ascii="Times New Roman" w:hAnsi="Times New Roman"/>
          <w:sz w:val="24"/>
          <w:szCs w:val="24"/>
        </w:rPr>
        <w:t xml:space="preserve">and more credible </w:t>
      </w:r>
      <w:r w:rsidRPr="00061A5F">
        <w:rPr>
          <w:rFonts w:ascii="Times New Roman" w:hAnsi="Times New Roman"/>
          <w:sz w:val="24"/>
          <w:szCs w:val="24"/>
        </w:rPr>
        <w:t xml:space="preserve">regime than other monetary regimes with a fixed exchange rate. Currency board arrangements (CBA hereafter) were introduced in some countries in the process of transition to a market economy </w:t>
      </w:r>
      <w:r w:rsidR="000D6FBE" w:rsidRPr="00061A5F">
        <w:rPr>
          <w:rFonts w:ascii="Times New Roman" w:hAnsi="Times New Roman"/>
          <w:sz w:val="24"/>
          <w:szCs w:val="24"/>
        </w:rPr>
        <w:t>to assist with the</w:t>
      </w:r>
      <w:r w:rsidRPr="00061A5F">
        <w:rPr>
          <w:rFonts w:ascii="Times New Roman" w:hAnsi="Times New Roman"/>
          <w:sz w:val="24"/>
          <w:szCs w:val="24"/>
        </w:rPr>
        <w:t xml:space="preserve"> achieve</w:t>
      </w:r>
      <w:r w:rsidR="000D6FBE" w:rsidRPr="00061A5F">
        <w:rPr>
          <w:rFonts w:ascii="Times New Roman" w:hAnsi="Times New Roman"/>
          <w:sz w:val="24"/>
          <w:szCs w:val="24"/>
        </w:rPr>
        <w:t>ment</w:t>
      </w:r>
      <w:r w:rsidRPr="00061A5F">
        <w:rPr>
          <w:rFonts w:ascii="Times New Roman" w:hAnsi="Times New Roman"/>
          <w:sz w:val="24"/>
          <w:szCs w:val="24"/>
        </w:rPr>
        <w:t xml:space="preserve"> and main</w:t>
      </w:r>
      <w:r w:rsidR="000D6FBE" w:rsidRPr="00061A5F">
        <w:rPr>
          <w:rFonts w:ascii="Times New Roman" w:hAnsi="Times New Roman"/>
          <w:sz w:val="24"/>
          <w:szCs w:val="24"/>
        </w:rPr>
        <w:t xml:space="preserve">tenance of </w:t>
      </w:r>
      <w:r w:rsidRPr="00061A5F">
        <w:rPr>
          <w:rFonts w:ascii="Times New Roman" w:hAnsi="Times New Roman"/>
          <w:sz w:val="24"/>
          <w:szCs w:val="24"/>
        </w:rPr>
        <w:t xml:space="preserve">monetary stability. </w:t>
      </w:r>
      <w:r w:rsidR="009408EE" w:rsidRPr="00061A5F">
        <w:rPr>
          <w:rFonts w:ascii="Times New Roman" w:hAnsi="Times New Roman"/>
          <w:sz w:val="24"/>
          <w:szCs w:val="24"/>
        </w:rPr>
        <w:t xml:space="preserve">The </w:t>
      </w:r>
      <w:r w:rsidR="005D445A" w:rsidRPr="00061A5F">
        <w:rPr>
          <w:rFonts w:ascii="Times New Roman" w:hAnsi="Times New Roman"/>
          <w:sz w:val="24"/>
          <w:szCs w:val="24"/>
        </w:rPr>
        <w:t xml:space="preserve">increased credibility of central banks induced by currency boards </w:t>
      </w:r>
      <w:r w:rsidR="009408EE" w:rsidRPr="00061A5F">
        <w:rPr>
          <w:rFonts w:ascii="Times New Roman" w:hAnsi="Times New Roman"/>
          <w:sz w:val="24"/>
          <w:szCs w:val="24"/>
        </w:rPr>
        <w:t xml:space="preserve">is expected to decrease inflationary expectations and consequently to lower inflation. </w:t>
      </w:r>
      <w:r w:rsidR="00C54F1D" w:rsidRPr="00061A5F">
        <w:rPr>
          <w:rFonts w:ascii="Times New Roman" w:hAnsi="Times New Roman"/>
          <w:sz w:val="24"/>
          <w:szCs w:val="24"/>
        </w:rPr>
        <w:t xml:space="preserve">However, </w:t>
      </w:r>
      <w:r w:rsidR="006C1F2A" w:rsidRPr="00061A5F">
        <w:rPr>
          <w:rFonts w:ascii="Times New Roman" w:hAnsi="Times New Roman"/>
          <w:sz w:val="24"/>
          <w:szCs w:val="24"/>
        </w:rPr>
        <w:t xml:space="preserve">this effect is not straightforward </w:t>
      </w:r>
      <w:r w:rsidR="00C54F1D" w:rsidRPr="00061A5F">
        <w:rPr>
          <w:rFonts w:ascii="Times New Roman" w:hAnsi="Times New Roman"/>
          <w:sz w:val="24"/>
          <w:szCs w:val="24"/>
        </w:rPr>
        <w:t>since</w:t>
      </w:r>
      <w:r w:rsidR="006C1F2A" w:rsidRPr="00061A5F">
        <w:rPr>
          <w:rFonts w:ascii="Times New Roman" w:hAnsi="Times New Roman"/>
          <w:sz w:val="24"/>
          <w:szCs w:val="24"/>
        </w:rPr>
        <w:t xml:space="preserve"> it depends on residents</w:t>
      </w:r>
      <w:r w:rsidR="00142D2F" w:rsidRPr="00061A5F">
        <w:rPr>
          <w:rFonts w:ascii="Times New Roman" w:hAnsi="Times New Roman"/>
          <w:sz w:val="24"/>
          <w:szCs w:val="24"/>
        </w:rPr>
        <w:t xml:space="preserve">’ trust in </w:t>
      </w:r>
      <w:r w:rsidR="000D6FBE" w:rsidRPr="00061A5F">
        <w:rPr>
          <w:rFonts w:ascii="Times New Roman" w:hAnsi="Times New Roman"/>
          <w:sz w:val="24"/>
          <w:szCs w:val="24"/>
        </w:rPr>
        <w:t xml:space="preserve">their </w:t>
      </w:r>
      <w:r w:rsidR="00142D2F" w:rsidRPr="00061A5F">
        <w:rPr>
          <w:rFonts w:ascii="Times New Roman" w:hAnsi="Times New Roman"/>
          <w:sz w:val="24"/>
          <w:szCs w:val="24"/>
        </w:rPr>
        <w:t>local monetary authority and</w:t>
      </w:r>
      <w:r w:rsidR="006C1F2A" w:rsidRPr="00061A5F">
        <w:rPr>
          <w:rFonts w:ascii="Times New Roman" w:hAnsi="Times New Roman"/>
          <w:sz w:val="24"/>
          <w:szCs w:val="24"/>
        </w:rPr>
        <w:t xml:space="preserve"> </w:t>
      </w:r>
      <w:r w:rsidR="000D6FBE" w:rsidRPr="00061A5F">
        <w:rPr>
          <w:rFonts w:ascii="Times New Roman" w:hAnsi="Times New Roman"/>
          <w:sz w:val="24"/>
          <w:szCs w:val="24"/>
        </w:rPr>
        <w:t xml:space="preserve">their </w:t>
      </w:r>
      <w:r w:rsidR="006C1F2A" w:rsidRPr="00061A5F">
        <w:rPr>
          <w:rFonts w:ascii="Times New Roman" w:hAnsi="Times New Roman"/>
          <w:sz w:val="24"/>
          <w:szCs w:val="24"/>
        </w:rPr>
        <w:t>expectations regarding future developments.</w:t>
      </w:r>
      <w:r w:rsidR="00C54F1D" w:rsidRPr="00061A5F">
        <w:rPr>
          <w:rFonts w:ascii="Times New Roman" w:hAnsi="Times New Roman"/>
          <w:sz w:val="24"/>
          <w:szCs w:val="24"/>
        </w:rPr>
        <w:t xml:space="preserve"> </w:t>
      </w:r>
    </w:p>
    <w:p w14:paraId="4A6D2E26" w14:textId="77777777" w:rsidR="00F94A91" w:rsidRPr="00061A5F" w:rsidRDefault="00F94A91" w:rsidP="007F5D0E">
      <w:pPr>
        <w:spacing w:line="276" w:lineRule="auto"/>
        <w:jc w:val="both"/>
        <w:rPr>
          <w:rFonts w:ascii="Times New Roman" w:hAnsi="Times New Roman"/>
          <w:sz w:val="24"/>
          <w:szCs w:val="24"/>
        </w:rPr>
      </w:pPr>
    </w:p>
    <w:p w14:paraId="5B3D5F78" w14:textId="0808889A" w:rsidR="00156305" w:rsidRPr="00061A5F" w:rsidRDefault="00810472" w:rsidP="007F5D0E">
      <w:pPr>
        <w:spacing w:line="276" w:lineRule="auto"/>
        <w:jc w:val="both"/>
        <w:rPr>
          <w:rFonts w:ascii="Times New Roman" w:hAnsi="Times New Roman"/>
          <w:sz w:val="24"/>
          <w:szCs w:val="24"/>
        </w:rPr>
      </w:pPr>
      <w:r w:rsidRPr="00061A5F">
        <w:rPr>
          <w:rFonts w:ascii="Times New Roman" w:hAnsi="Times New Roman"/>
          <w:sz w:val="24"/>
          <w:szCs w:val="24"/>
        </w:rPr>
        <w:lastRenderedPageBreak/>
        <w:t xml:space="preserve">Previous studies find </w:t>
      </w:r>
      <w:r w:rsidR="00F34924" w:rsidRPr="00061A5F">
        <w:rPr>
          <w:rFonts w:ascii="Times New Roman" w:hAnsi="Times New Roman"/>
          <w:sz w:val="24"/>
          <w:szCs w:val="24"/>
        </w:rPr>
        <w:t xml:space="preserve">evidence supporting the beneficial </w:t>
      </w:r>
      <w:r w:rsidR="00792FD1" w:rsidRPr="00061A5F">
        <w:rPr>
          <w:rFonts w:ascii="Times New Roman" w:hAnsi="Times New Roman"/>
          <w:sz w:val="24"/>
          <w:szCs w:val="24"/>
        </w:rPr>
        <w:t>effect of CBA on inflation (</w:t>
      </w:r>
      <w:proofErr w:type="spellStart"/>
      <w:r w:rsidR="00792FD1" w:rsidRPr="00061A5F">
        <w:rPr>
          <w:rFonts w:ascii="Times New Roman" w:hAnsi="Times New Roman"/>
          <w:sz w:val="24"/>
          <w:szCs w:val="24"/>
        </w:rPr>
        <w:t>Anastassova</w:t>
      </w:r>
      <w:proofErr w:type="spellEnd"/>
      <w:r w:rsidR="00792FD1" w:rsidRPr="00061A5F">
        <w:rPr>
          <w:rFonts w:ascii="Times New Roman" w:hAnsi="Times New Roman"/>
          <w:sz w:val="24"/>
          <w:szCs w:val="24"/>
        </w:rPr>
        <w:t>, 1999; Ghosh et al., 2000; Wolf et al</w:t>
      </w:r>
      <w:r w:rsidR="00816C4D" w:rsidRPr="00061A5F">
        <w:rPr>
          <w:rFonts w:ascii="Times New Roman" w:hAnsi="Times New Roman"/>
          <w:sz w:val="24"/>
          <w:szCs w:val="24"/>
        </w:rPr>
        <w:t>.</w:t>
      </w:r>
      <w:r w:rsidR="00792FD1" w:rsidRPr="00061A5F">
        <w:rPr>
          <w:rFonts w:ascii="Times New Roman" w:hAnsi="Times New Roman"/>
          <w:sz w:val="24"/>
          <w:szCs w:val="24"/>
        </w:rPr>
        <w:t>, 2008). However, none of these studies controlled for dynamics</w:t>
      </w:r>
      <w:r w:rsidR="007A242B" w:rsidRPr="00061A5F">
        <w:rPr>
          <w:rFonts w:ascii="Times New Roman" w:hAnsi="Times New Roman"/>
          <w:sz w:val="24"/>
          <w:szCs w:val="24"/>
        </w:rPr>
        <w:t>,</w:t>
      </w:r>
      <w:r w:rsidR="00792FD1" w:rsidRPr="00061A5F">
        <w:rPr>
          <w:rFonts w:ascii="Times New Roman" w:hAnsi="Times New Roman"/>
          <w:sz w:val="24"/>
          <w:szCs w:val="24"/>
        </w:rPr>
        <w:t xml:space="preserve"> which is argued to be important in </w:t>
      </w:r>
      <w:r w:rsidR="00F34924" w:rsidRPr="00061A5F">
        <w:rPr>
          <w:rFonts w:ascii="Times New Roman" w:hAnsi="Times New Roman"/>
          <w:sz w:val="24"/>
          <w:szCs w:val="24"/>
        </w:rPr>
        <w:t xml:space="preserve">the </w:t>
      </w:r>
      <w:r w:rsidR="00792FD1" w:rsidRPr="00061A5F">
        <w:rPr>
          <w:rFonts w:ascii="Times New Roman" w:hAnsi="Times New Roman"/>
          <w:sz w:val="24"/>
          <w:szCs w:val="24"/>
        </w:rPr>
        <w:t xml:space="preserve">inflation literature. Moreover, all of these studies treated </w:t>
      </w:r>
      <w:r w:rsidR="00F34924" w:rsidRPr="00061A5F">
        <w:rPr>
          <w:rFonts w:ascii="Times New Roman" w:hAnsi="Times New Roman"/>
          <w:sz w:val="24"/>
          <w:szCs w:val="24"/>
        </w:rPr>
        <w:t xml:space="preserve">a </w:t>
      </w:r>
      <w:r w:rsidR="00792FD1" w:rsidRPr="00061A5F">
        <w:rPr>
          <w:rFonts w:ascii="Times New Roman" w:hAnsi="Times New Roman"/>
          <w:sz w:val="24"/>
          <w:szCs w:val="24"/>
        </w:rPr>
        <w:t xml:space="preserve">CBA only as </w:t>
      </w:r>
      <w:r w:rsidR="00B3159A" w:rsidRPr="00061A5F">
        <w:rPr>
          <w:rFonts w:ascii="Times New Roman" w:hAnsi="Times New Roman"/>
          <w:sz w:val="24"/>
          <w:szCs w:val="24"/>
        </w:rPr>
        <w:t>an exchange rate regime, while it is more appropriate to</w:t>
      </w:r>
      <w:r w:rsidR="00792FD1" w:rsidRPr="00061A5F">
        <w:rPr>
          <w:rFonts w:ascii="Times New Roman" w:hAnsi="Times New Roman"/>
          <w:sz w:val="24"/>
          <w:szCs w:val="24"/>
        </w:rPr>
        <w:t xml:space="preserve"> </w:t>
      </w:r>
      <w:r w:rsidR="00B3159A" w:rsidRPr="00061A5F">
        <w:rPr>
          <w:rFonts w:ascii="Times New Roman" w:hAnsi="Times New Roman"/>
          <w:sz w:val="24"/>
          <w:szCs w:val="24"/>
        </w:rPr>
        <w:t>treat it</w:t>
      </w:r>
      <w:r w:rsidR="00792FD1" w:rsidRPr="00061A5F">
        <w:rPr>
          <w:rFonts w:ascii="Times New Roman" w:hAnsi="Times New Roman"/>
          <w:sz w:val="24"/>
          <w:szCs w:val="24"/>
        </w:rPr>
        <w:t xml:space="preserve"> as a monetary framework since, </w:t>
      </w:r>
      <w:r w:rsidR="006B7350" w:rsidRPr="00061A5F">
        <w:rPr>
          <w:rFonts w:ascii="Times New Roman" w:hAnsi="Times New Roman"/>
          <w:sz w:val="24"/>
          <w:szCs w:val="24"/>
        </w:rPr>
        <w:t>besides</w:t>
      </w:r>
      <w:r w:rsidR="00792FD1" w:rsidRPr="00061A5F">
        <w:rPr>
          <w:rFonts w:ascii="Times New Roman" w:hAnsi="Times New Roman"/>
          <w:sz w:val="24"/>
          <w:szCs w:val="24"/>
        </w:rPr>
        <w:t xml:space="preserve"> defining the type of exchange rate regime</w:t>
      </w:r>
      <w:r w:rsidR="00B3159A" w:rsidRPr="00061A5F">
        <w:rPr>
          <w:rFonts w:ascii="Times New Roman" w:hAnsi="Times New Roman"/>
          <w:sz w:val="24"/>
          <w:szCs w:val="24"/>
        </w:rPr>
        <w:t>,</w:t>
      </w:r>
      <w:r w:rsidR="00792FD1" w:rsidRPr="00061A5F">
        <w:rPr>
          <w:rFonts w:ascii="Times New Roman" w:hAnsi="Times New Roman"/>
          <w:sz w:val="24"/>
          <w:szCs w:val="24"/>
        </w:rPr>
        <w:t xml:space="preserve"> it also defines a monetary rule</w:t>
      </w:r>
      <w:r w:rsidR="00E170B5" w:rsidRPr="00061A5F">
        <w:rPr>
          <w:rFonts w:ascii="Times New Roman" w:hAnsi="Times New Roman"/>
          <w:sz w:val="24"/>
          <w:szCs w:val="24"/>
        </w:rPr>
        <w:t xml:space="preserve"> (</w:t>
      </w:r>
      <w:proofErr w:type="spellStart"/>
      <w:r w:rsidR="00094682" w:rsidRPr="00061A5F">
        <w:rPr>
          <w:rFonts w:ascii="Times New Roman" w:hAnsi="Times New Roman"/>
          <w:sz w:val="24"/>
          <w:szCs w:val="24"/>
        </w:rPr>
        <w:t>Kuttner</w:t>
      </w:r>
      <w:proofErr w:type="spellEnd"/>
      <w:r w:rsidR="00094682" w:rsidRPr="00061A5F">
        <w:rPr>
          <w:rFonts w:ascii="Times New Roman" w:hAnsi="Times New Roman"/>
          <w:sz w:val="24"/>
          <w:szCs w:val="24"/>
        </w:rPr>
        <w:t xml:space="preserve"> and Posen, 2</w:t>
      </w:r>
      <w:r w:rsidR="00B3159A" w:rsidRPr="00061A5F">
        <w:rPr>
          <w:rFonts w:ascii="Times New Roman" w:hAnsi="Times New Roman"/>
          <w:sz w:val="24"/>
          <w:szCs w:val="24"/>
        </w:rPr>
        <w:t>00</w:t>
      </w:r>
      <w:r w:rsidR="00577106" w:rsidRPr="00061A5F">
        <w:rPr>
          <w:rFonts w:ascii="Times New Roman" w:hAnsi="Times New Roman"/>
          <w:sz w:val="24"/>
          <w:szCs w:val="24"/>
        </w:rPr>
        <w:t>1</w:t>
      </w:r>
      <w:r w:rsidR="00F34924" w:rsidRPr="00061A5F">
        <w:rPr>
          <w:rFonts w:ascii="Times New Roman" w:hAnsi="Times New Roman"/>
          <w:sz w:val="24"/>
          <w:szCs w:val="24"/>
        </w:rPr>
        <w:t xml:space="preserve">; </w:t>
      </w:r>
      <w:r w:rsidR="00B3159A" w:rsidRPr="00061A5F">
        <w:rPr>
          <w:rFonts w:ascii="Times New Roman" w:hAnsi="Times New Roman"/>
          <w:sz w:val="24"/>
          <w:szCs w:val="24"/>
        </w:rPr>
        <w:t xml:space="preserve">Rose, 2011 and </w:t>
      </w:r>
      <w:proofErr w:type="spellStart"/>
      <w:r w:rsidR="00B3159A" w:rsidRPr="00061A5F">
        <w:rPr>
          <w:rFonts w:ascii="Times New Roman" w:hAnsi="Times New Roman"/>
          <w:sz w:val="24"/>
          <w:szCs w:val="24"/>
        </w:rPr>
        <w:t>Dabrowski</w:t>
      </w:r>
      <w:proofErr w:type="spellEnd"/>
      <w:r w:rsidR="00B3159A" w:rsidRPr="00061A5F">
        <w:rPr>
          <w:rFonts w:ascii="Times New Roman" w:hAnsi="Times New Roman"/>
          <w:sz w:val="24"/>
          <w:szCs w:val="24"/>
        </w:rPr>
        <w:t xml:space="preserve"> et al.</w:t>
      </w:r>
      <w:r w:rsidR="00F34924" w:rsidRPr="00061A5F">
        <w:rPr>
          <w:rFonts w:ascii="Times New Roman" w:hAnsi="Times New Roman"/>
          <w:sz w:val="24"/>
          <w:szCs w:val="24"/>
        </w:rPr>
        <w:t>,</w:t>
      </w:r>
      <w:r w:rsidR="00156305" w:rsidRPr="00061A5F" w:rsidDel="00156305">
        <w:rPr>
          <w:rStyle w:val="FootnoteReference"/>
          <w:rFonts w:ascii="Times New Roman" w:hAnsi="Times New Roman"/>
          <w:sz w:val="24"/>
          <w:szCs w:val="24"/>
        </w:rPr>
        <w:t xml:space="preserve"> </w:t>
      </w:r>
      <w:r w:rsidR="00B3159A" w:rsidRPr="00061A5F">
        <w:rPr>
          <w:rFonts w:ascii="Times New Roman" w:hAnsi="Times New Roman"/>
          <w:sz w:val="24"/>
          <w:szCs w:val="24"/>
        </w:rPr>
        <w:t>2015</w:t>
      </w:r>
      <w:r w:rsidR="00BF1EE3" w:rsidRPr="00061A5F">
        <w:rPr>
          <w:rFonts w:ascii="Times New Roman" w:hAnsi="Times New Roman"/>
          <w:sz w:val="24"/>
          <w:szCs w:val="24"/>
        </w:rPr>
        <w:t>)</w:t>
      </w:r>
      <w:r w:rsidR="00792FD1" w:rsidRPr="00061A5F">
        <w:rPr>
          <w:rFonts w:ascii="Times New Roman" w:hAnsi="Times New Roman"/>
          <w:sz w:val="24"/>
          <w:szCs w:val="24"/>
        </w:rPr>
        <w:t xml:space="preserve">. </w:t>
      </w:r>
      <w:r w:rsidR="003E0EFC" w:rsidRPr="00061A5F">
        <w:rPr>
          <w:rFonts w:ascii="Times New Roman" w:hAnsi="Times New Roman"/>
          <w:sz w:val="24"/>
          <w:szCs w:val="24"/>
        </w:rPr>
        <w:t>This paper therefore estimate</w:t>
      </w:r>
      <w:r w:rsidR="00281197" w:rsidRPr="00061A5F">
        <w:rPr>
          <w:rFonts w:ascii="Times New Roman" w:hAnsi="Times New Roman"/>
          <w:sz w:val="24"/>
          <w:szCs w:val="24"/>
        </w:rPr>
        <w:t>s</w:t>
      </w:r>
      <w:r w:rsidR="003E0EFC" w:rsidRPr="00061A5F">
        <w:rPr>
          <w:rFonts w:ascii="Times New Roman" w:hAnsi="Times New Roman"/>
          <w:sz w:val="24"/>
          <w:szCs w:val="24"/>
        </w:rPr>
        <w:t xml:space="preserve"> the effect of CBA on inflation performance in transition countries taking inflation inertia into account and treating the CBA as a monetary framework. </w:t>
      </w:r>
    </w:p>
    <w:p w14:paraId="5D6C5E8B" w14:textId="77777777" w:rsidR="00156305" w:rsidRPr="00061A5F" w:rsidRDefault="00156305" w:rsidP="007F5D0E">
      <w:pPr>
        <w:spacing w:line="276" w:lineRule="auto"/>
        <w:jc w:val="both"/>
        <w:rPr>
          <w:rFonts w:ascii="Times New Roman" w:hAnsi="Times New Roman"/>
          <w:sz w:val="24"/>
          <w:szCs w:val="24"/>
        </w:rPr>
      </w:pPr>
    </w:p>
    <w:p w14:paraId="6C693BE9" w14:textId="49265907" w:rsidR="006C1F2A" w:rsidRPr="00061A5F" w:rsidRDefault="006C1F2A" w:rsidP="007F5D0E">
      <w:pPr>
        <w:spacing w:line="276" w:lineRule="auto"/>
        <w:jc w:val="both"/>
        <w:rPr>
          <w:rFonts w:ascii="Times New Roman" w:hAnsi="Times New Roman"/>
          <w:sz w:val="24"/>
          <w:szCs w:val="24"/>
        </w:rPr>
      </w:pPr>
      <w:r w:rsidRPr="00061A5F">
        <w:rPr>
          <w:rFonts w:ascii="Times New Roman" w:hAnsi="Times New Roman"/>
          <w:sz w:val="24"/>
          <w:szCs w:val="24"/>
        </w:rPr>
        <w:t>Even when th</w:t>
      </w:r>
      <w:r w:rsidR="00B4495B" w:rsidRPr="00061A5F">
        <w:rPr>
          <w:rFonts w:ascii="Times New Roman" w:hAnsi="Times New Roman"/>
          <w:sz w:val="24"/>
          <w:szCs w:val="24"/>
        </w:rPr>
        <w:t>e</w:t>
      </w:r>
      <w:r w:rsidRPr="00061A5F">
        <w:rPr>
          <w:rFonts w:ascii="Times New Roman" w:hAnsi="Times New Roman"/>
          <w:sz w:val="24"/>
          <w:szCs w:val="24"/>
        </w:rPr>
        <w:t xml:space="preserve"> expected </w:t>
      </w:r>
      <w:r w:rsidR="00281197" w:rsidRPr="00061A5F">
        <w:rPr>
          <w:rFonts w:ascii="Times New Roman" w:hAnsi="Times New Roman"/>
          <w:sz w:val="24"/>
          <w:szCs w:val="24"/>
        </w:rPr>
        <w:t xml:space="preserve">negative </w:t>
      </w:r>
      <w:r w:rsidRPr="00061A5F">
        <w:rPr>
          <w:rFonts w:ascii="Times New Roman" w:hAnsi="Times New Roman"/>
          <w:sz w:val="24"/>
          <w:szCs w:val="24"/>
        </w:rPr>
        <w:t>effect of CBA on inflation exists</w:t>
      </w:r>
      <w:r w:rsidR="00151C04" w:rsidRPr="00061A5F">
        <w:rPr>
          <w:rFonts w:ascii="Times New Roman" w:hAnsi="Times New Roman"/>
          <w:sz w:val="24"/>
          <w:szCs w:val="24"/>
        </w:rPr>
        <w:t>,</w:t>
      </w:r>
      <w:r w:rsidRPr="00061A5F">
        <w:rPr>
          <w:rFonts w:ascii="Times New Roman" w:hAnsi="Times New Roman"/>
          <w:sz w:val="24"/>
          <w:szCs w:val="24"/>
        </w:rPr>
        <w:t xml:space="preserve"> its desirability during </w:t>
      </w:r>
      <w:r w:rsidR="00E50BF5" w:rsidRPr="00061A5F">
        <w:rPr>
          <w:rFonts w:ascii="Times New Roman" w:hAnsi="Times New Roman"/>
          <w:sz w:val="24"/>
          <w:szCs w:val="24"/>
        </w:rPr>
        <w:t xml:space="preserve">a contractionary </w:t>
      </w:r>
      <w:r w:rsidRPr="00061A5F">
        <w:rPr>
          <w:rFonts w:ascii="Times New Roman" w:hAnsi="Times New Roman"/>
          <w:sz w:val="24"/>
          <w:szCs w:val="24"/>
        </w:rPr>
        <w:t xml:space="preserve">crisis is questionable. In the recent </w:t>
      </w:r>
      <w:r w:rsidR="00151C04" w:rsidRPr="00061A5F">
        <w:rPr>
          <w:rFonts w:ascii="Times New Roman" w:hAnsi="Times New Roman"/>
          <w:sz w:val="24"/>
          <w:szCs w:val="24"/>
        </w:rPr>
        <w:t>G</w:t>
      </w:r>
      <w:r w:rsidRPr="00061A5F">
        <w:rPr>
          <w:rFonts w:ascii="Times New Roman" w:hAnsi="Times New Roman"/>
          <w:sz w:val="24"/>
          <w:szCs w:val="24"/>
        </w:rPr>
        <w:t xml:space="preserve">lobal </w:t>
      </w:r>
      <w:r w:rsidR="00151C04" w:rsidRPr="00061A5F">
        <w:rPr>
          <w:rFonts w:ascii="Times New Roman" w:hAnsi="Times New Roman"/>
          <w:sz w:val="24"/>
          <w:szCs w:val="24"/>
        </w:rPr>
        <w:t>F</w:t>
      </w:r>
      <w:r w:rsidRPr="00061A5F">
        <w:rPr>
          <w:rFonts w:ascii="Times New Roman" w:hAnsi="Times New Roman"/>
          <w:sz w:val="24"/>
          <w:szCs w:val="24"/>
        </w:rPr>
        <w:t xml:space="preserve">inancial </w:t>
      </w:r>
      <w:r w:rsidR="00151C04" w:rsidRPr="00061A5F">
        <w:rPr>
          <w:rFonts w:ascii="Times New Roman" w:hAnsi="Times New Roman"/>
          <w:sz w:val="24"/>
          <w:szCs w:val="24"/>
        </w:rPr>
        <w:t>C</w:t>
      </w:r>
      <w:r w:rsidRPr="00061A5F">
        <w:rPr>
          <w:rFonts w:ascii="Times New Roman" w:hAnsi="Times New Roman"/>
          <w:sz w:val="24"/>
          <w:szCs w:val="24"/>
        </w:rPr>
        <w:t xml:space="preserve">risis </w:t>
      </w:r>
      <w:r w:rsidR="00151C04" w:rsidRPr="00061A5F">
        <w:rPr>
          <w:rFonts w:ascii="Times New Roman" w:hAnsi="Times New Roman"/>
          <w:sz w:val="24"/>
          <w:szCs w:val="24"/>
        </w:rPr>
        <w:t xml:space="preserve">(GFC hereafter) </w:t>
      </w:r>
      <w:r w:rsidRPr="00061A5F">
        <w:rPr>
          <w:rFonts w:ascii="Times New Roman" w:hAnsi="Times New Roman"/>
          <w:sz w:val="24"/>
          <w:szCs w:val="24"/>
        </w:rPr>
        <w:t>most countries had</w:t>
      </w:r>
      <w:r w:rsidR="00C54F1D" w:rsidRPr="00061A5F">
        <w:rPr>
          <w:rFonts w:ascii="Times New Roman" w:hAnsi="Times New Roman"/>
          <w:sz w:val="24"/>
          <w:szCs w:val="24"/>
        </w:rPr>
        <w:t xml:space="preserve"> a problem with deflationary pressures</w:t>
      </w:r>
      <w:r w:rsidRPr="00061A5F">
        <w:rPr>
          <w:rFonts w:ascii="Times New Roman" w:hAnsi="Times New Roman"/>
          <w:sz w:val="24"/>
          <w:szCs w:val="24"/>
        </w:rPr>
        <w:t xml:space="preserve"> and </w:t>
      </w:r>
      <w:r w:rsidR="00E50BF5" w:rsidRPr="00061A5F">
        <w:rPr>
          <w:rFonts w:ascii="Times New Roman" w:hAnsi="Times New Roman"/>
          <w:sz w:val="24"/>
          <w:szCs w:val="24"/>
        </w:rPr>
        <w:t xml:space="preserve">many </w:t>
      </w:r>
      <w:r w:rsidRPr="00061A5F">
        <w:rPr>
          <w:rFonts w:ascii="Times New Roman" w:hAnsi="Times New Roman"/>
          <w:sz w:val="24"/>
          <w:szCs w:val="24"/>
        </w:rPr>
        <w:t xml:space="preserve">central banks directed their policies towards </w:t>
      </w:r>
      <w:r w:rsidR="00151C04" w:rsidRPr="00061A5F">
        <w:rPr>
          <w:rFonts w:ascii="Times New Roman" w:hAnsi="Times New Roman"/>
          <w:sz w:val="24"/>
          <w:szCs w:val="24"/>
        </w:rPr>
        <w:t>offsetting those pressures</w:t>
      </w:r>
      <w:r w:rsidR="00C54F1D" w:rsidRPr="00061A5F">
        <w:rPr>
          <w:rFonts w:ascii="Times New Roman" w:hAnsi="Times New Roman"/>
          <w:sz w:val="24"/>
          <w:szCs w:val="24"/>
        </w:rPr>
        <w:t>.</w:t>
      </w:r>
      <w:r w:rsidRPr="00061A5F">
        <w:rPr>
          <w:rFonts w:ascii="Times New Roman" w:hAnsi="Times New Roman"/>
          <w:sz w:val="24"/>
          <w:szCs w:val="24"/>
        </w:rPr>
        <w:t xml:space="preserve"> </w:t>
      </w:r>
      <w:r w:rsidR="00094682" w:rsidRPr="00061A5F">
        <w:rPr>
          <w:rFonts w:ascii="Times New Roman" w:hAnsi="Times New Roman"/>
          <w:sz w:val="24"/>
          <w:szCs w:val="24"/>
        </w:rPr>
        <w:t>Studies which investigate</w:t>
      </w:r>
      <w:r w:rsidR="00E50BF5" w:rsidRPr="00061A5F">
        <w:rPr>
          <w:rFonts w:ascii="Times New Roman" w:hAnsi="Times New Roman"/>
          <w:sz w:val="24"/>
          <w:szCs w:val="24"/>
        </w:rPr>
        <w:t>d</w:t>
      </w:r>
      <w:r w:rsidR="00B4495B" w:rsidRPr="00061A5F">
        <w:rPr>
          <w:rFonts w:ascii="Times New Roman" w:hAnsi="Times New Roman"/>
          <w:sz w:val="24"/>
          <w:szCs w:val="24"/>
        </w:rPr>
        <w:t xml:space="preserve"> the effect of different exchange rate regimes on macroeconomic performance during the GFC did not find any significant difference in the effect of </w:t>
      </w:r>
      <w:r w:rsidR="00094682" w:rsidRPr="00061A5F">
        <w:rPr>
          <w:rFonts w:ascii="Times New Roman" w:hAnsi="Times New Roman"/>
          <w:sz w:val="24"/>
          <w:szCs w:val="24"/>
        </w:rPr>
        <w:t>exch</w:t>
      </w:r>
      <w:r w:rsidR="00BE1EB0" w:rsidRPr="00061A5F">
        <w:rPr>
          <w:rFonts w:ascii="Times New Roman" w:hAnsi="Times New Roman"/>
          <w:sz w:val="24"/>
          <w:szCs w:val="24"/>
        </w:rPr>
        <w:t xml:space="preserve">ange rate </w:t>
      </w:r>
      <w:r w:rsidR="00B4495B" w:rsidRPr="00061A5F">
        <w:rPr>
          <w:rFonts w:ascii="Times New Roman" w:hAnsi="Times New Roman"/>
          <w:sz w:val="24"/>
          <w:szCs w:val="24"/>
        </w:rPr>
        <w:t>r</w:t>
      </w:r>
      <w:r w:rsidR="004C773C" w:rsidRPr="00061A5F">
        <w:rPr>
          <w:rFonts w:ascii="Times New Roman" w:hAnsi="Times New Roman"/>
          <w:sz w:val="24"/>
          <w:szCs w:val="24"/>
        </w:rPr>
        <w:t>egime</w:t>
      </w:r>
      <w:r w:rsidR="00E50BF5" w:rsidRPr="00061A5F">
        <w:rPr>
          <w:rFonts w:ascii="Times New Roman" w:hAnsi="Times New Roman"/>
          <w:sz w:val="24"/>
          <w:szCs w:val="24"/>
        </w:rPr>
        <w:t>s</w:t>
      </w:r>
      <w:r w:rsidR="004C773C" w:rsidRPr="00061A5F">
        <w:rPr>
          <w:rFonts w:ascii="Times New Roman" w:hAnsi="Times New Roman"/>
          <w:sz w:val="24"/>
          <w:szCs w:val="24"/>
        </w:rPr>
        <w:t xml:space="preserve"> on economic outcomes</w:t>
      </w:r>
      <w:r w:rsidR="00B4495B" w:rsidRPr="00061A5F">
        <w:rPr>
          <w:rFonts w:ascii="Times New Roman" w:hAnsi="Times New Roman"/>
          <w:sz w:val="24"/>
          <w:szCs w:val="24"/>
        </w:rPr>
        <w:t xml:space="preserve"> (Rose, 201</w:t>
      </w:r>
      <w:r w:rsidR="00D02E1B" w:rsidRPr="00061A5F">
        <w:rPr>
          <w:rFonts w:ascii="Times New Roman" w:hAnsi="Times New Roman"/>
          <w:sz w:val="24"/>
          <w:szCs w:val="24"/>
        </w:rPr>
        <w:t>1</w:t>
      </w:r>
      <w:r w:rsidR="004E245D" w:rsidRPr="00061A5F">
        <w:rPr>
          <w:rFonts w:ascii="Times New Roman" w:hAnsi="Times New Roman"/>
          <w:sz w:val="24"/>
          <w:szCs w:val="24"/>
        </w:rPr>
        <w:t>;</w:t>
      </w:r>
      <w:r w:rsidR="00E50BF5" w:rsidRPr="00061A5F">
        <w:rPr>
          <w:rFonts w:ascii="Times New Roman" w:hAnsi="Times New Roman"/>
          <w:sz w:val="24"/>
          <w:szCs w:val="24"/>
        </w:rPr>
        <w:t xml:space="preserve"> </w:t>
      </w:r>
      <w:proofErr w:type="spellStart"/>
      <w:r w:rsidR="00B4495B" w:rsidRPr="00061A5F">
        <w:rPr>
          <w:rFonts w:ascii="Times New Roman" w:hAnsi="Times New Roman"/>
          <w:sz w:val="24"/>
          <w:szCs w:val="24"/>
        </w:rPr>
        <w:t>Dabrowski</w:t>
      </w:r>
      <w:proofErr w:type="spellEnd"/>
      <w:r w:rsidR="00B4495B" w:rsidRPr="00061A5F">
        <w:rPr>
          <w:rFonts w:ascii="Times New Roman" w:hAnsi="Times New Roman"/>
          <w:sz w:val="24"/>
          <w:szCs w:val="24"/>
        </w:rPr>
        <w:t xml:space="preserve"> et al, 2015). </w:t>
      </w:r>
      <w:r w:rsidR="00E50BF5" w:rsidRPr="00061A5F">
        <w:rPr>
          <w:rFonts w:ascii="Times New Roman" w:hAnsi="Times New Roman"/>
          <w:sz w:val="24"/>
          <w:szCs w:val="24"/>
        </w:rPr>
        <w:t xml:space="preserve">However, when analysing performance by monetary </w:t>
      </w:r>
      <w:r w:rsidR="0072163E" w:rsidRPr="00061A5F">
        <w:rPr>
          <w:rFonts w:ascii="Times New Roman" w:hAnsi="Times New Roman"/>
          <w:sz w:val="24"/>
          <w:szCs w:val="24"/>
        </w:rPr>
        <w:t xml:space="preserve">policy </w:t>
      </w:r>
      <w:r w:rsidR="00E50BF5" w:rsidRPr="00061A5F">
        <w:rPr>
          <w:rFonts w:ascii="Times New Roman" w:hAnsi="Times New Roman"/>
          <w:sz w:val="24"/>
          <w:szCs w:val="24"/>
        </w:rPr>
        <w:t>framework</w:t>
      </w:r>
      <w:r w:rsidR="00BB1372" w:rsidRPr="00061A5F">
        <w:rPr>
          <w:rFonts w:ascii="Times New Roman" w:hAnsi="Times New Roman"/>
          <w:sz w:val="24"/>
          <w:szCs w:val="24"/>
        </w:rPr>
        <w:t>,</w:t>
      </w:r>
      <w:r w:rsidR="00E50BF5" w:rsidRPr="00061A5F">
        <w:rPr>
          <w:rFonts w:ascii="Times New Roman" w:hAnsi="Times New Roman"/>
          <w:sz w:val="24"/>
          <w:szCs w:val="24"/>
        </w:rPr>
        <w:t xml:space="preserve"> </w:t>
      </w:r>
      <w:proofErr w:type="spellStart"/>
      <w:r w:rsidR="00B4495B" w:rsidRPr="00061A5F">
        <w:rPr>
          <w:rFonts w:ascii="Times New Roman" w:hAnsi="Times New Roman"/>
          <w:sz w:val="24"/>
          <w:szCs w:val="24"/>
        </w:rPr>
        <w:t>Dabrowski</w:t>
      </w:r>
      <w:proofErr w:type="spellEnd"/>
      <w:r w:rsidR="00B4495B" w:rsidRPr="00061A5F">
        <w:rPr>
          <w:rFonts w:ascii="Times New Roman" w:hAnsi="Times New Roman"/>
          <w:sz w:val="24"/>
          <w:szCs w:val="24"/>
        </w:rPr>
        <w:t xml:space="preserve"> et al.</w:t>
      </w:r>
      <w:r w:rsidR="00E50BF5" w:rsidRPr="00061A5F">
        <w:rPr>
          <w:rFonts w:ascii="Times New Roman" w:hAnsi="Times New Roman"/>
          <w:sz w:val="24"/>
          <w:szCs w:val="24"/>
        </w:rPr>
        <w:t>’s</w:t>
      </w:r>
      <w:r w:rsidR="00B4495B" w:rsidRPr="00061A5F">
        <w:rPr>
          <w:rFonts w:ascii="Times New Roman" w:hAnsi="Times New Roman"/>
          <w:sz w:val="24"/>
          <w:szCs w:val="24"/>
        </w:rPr>
        <w:t xml:space="preserve"> (2015)</w:t>
      </w:r>
      <w:r w:rsidR="004C773C" w:rsidRPr="00061A5F">
        <w:rPr>
          <w:rFonts w:ascii="Times New Roman" w:hAnsi="Times New Roman"/>
          <w:sz w:val="24"/>
          <w:szCs w:val="24"/>
        </w:rPr>
        <w:t xml:space="preserve"> analysis </w:t>
      </w:r>
      <w:r w:rsidR="00B4495B" w:rsidRPr="00061A5F">
        <w:rPr>
          <w:rFonts w:ascii="Times New Roman" w:hAnsi="Times New Roman"/>
          <w:sz w:val="24"/>
          <w:szCs w:val="24"/>
        </w:rPr>
        <w:t>suggest</w:t>
      </w:r>
      <w:r w:rsidR="004C773C" w:rsidRPr="00061A5F">
        <w:rPr>
          <w:rFonts w:ascii="Times New Roman" w:hAnsi="Times New Roman"/>
          <w:sz w:val="24"/>
          <w:szCs w:val="24"/>
        </w:rPr>
        <w:t>s</w:t>
      </w:r>
      <w:r w:rsidR="00B4495B" w:rsidRPr="00061A5F">
        <w:rPr>
          <w:rFonts w:ascii="Times New Roman" w:hAnsi="Times New Roman"/>
          <w:sz w:val="24"/>
          <w:szCs w:val="24"/>
        </w:rPr>
        <w:t xml:space="preserve"> that the option of depreciation cum international reserve depletion outperform</w:t>
      </w:r>
      <w:r w:rsidR="00E50BF5" w:rsidRPr="00061A5F">
        <w:rPr>
          <w:rFonts w:ascii="Times New Roman" w:hAnsi="Times New Roman"/>
          <w:sz w:val="24"/>
          <w:szCs w:val="24"/>
        </w:rPr>
        <w:t>ed</w:t>
      </w:r>
      <w:r w:rsidR="00B4495B" w:rsidRPr="00061A5F">
        <w:rPr>
          <w:rFonts w:ascii="Times New Roman" w:hAnsi="Times New Roman"/>
          <w:sz w:val="24"/>
          <w:szCs w:val="24"/>
        </w:rPr>
        <w:t xml:space="preserve"> other policy </w:t>
      </w:r>
      <w:r w:rsidR="00815F13" w:rsidRPr="00061A5F">
        <w:rPr>
          <w:rFonts w:ascii="Times New Roman" w:hAnsi="Times New Roman"/>
          <w:sz w:val="24"/>
          <w:szCs w:val="24"/>
        </w:rPr>
        <w:t>responses</w:t>
      </w:r>
      <w:r w:rsidR="00B4495B" w:rsidRPr="00061A5F">
        <w:rPr>
          <w:rFonts w:ascii="Times New Roman" w:hAnsi="Times New Roman"/>
          <w:sz w:val="24"/>
          <w:szCs w:val="24"/>
        </w:rPr>
        <w:t xml:space="preserve">. </w:t>
      </w:r>
      <w:r w:rsidR="00142D2F" w:rsidRPr="00061A5F">
        <w:rPr>
          <w:rFonts w:ascii="Times New Roman" w:hAnsi="Times New Roman"/>
          <w:sz w:val="24"/>
          <w:szCs w:val="24"/>
        </w:rPr>
        <w:t xml:space="preserve">Since countries with </w:t>
      </w:r>
      <w:r w:rsidR="00CD33FB" w:rsidRPr="00061A5F">
        <w:rPr>
          <w:rFonts w:ascii="Times New Roman" w:hAnsi="Times New Roman"/>
          <w:sz w:val="24"/>
          <w:szCs w:val="24"/>
        </w:rPr>
        <w:t xml:space="preserve">a </w:t>
      </w:r>
      <w:r w:rsidR="00142D2F" w:rsidRPr="00061A5F">
        <w:rPr>
          <w:rFonts w:ascii="Times New Roman" w:hAnsi="Times New Roman"/>
          <w:sz w:val="24"/>
          <w:szCs w:val="24"/>
        </w:rPr>
        <w:t xml:space="preserve">CBA </w:t>
      </w:r>
      <w:r w:rsidR="00815F13" w:rsidRPr="00061A5F">
        <w:rPr>
          <w:rFonts w:ascii="Times New Roman" w:hAnsi="Times New Roman"/>
          <w:sz w:val="24"/>
          <w:szCs w:val="24"/>
        </w:rPr>
        <w:t xml:space="preserve">faced with the GFC </w:t>
      </w:r>
      <w:r w:rsidR="00142D2F" w:rsidRPr="00061A5F">
        <w:rPr>
          <w:rFonts w:ascii="Times New Roman" w:hAnsi="Times New Roman"/>
          <w:sz w:val="24"/>
          <w:szCs w:val="24"/>
        </w:rPr>
        <w:t>ha</w:t>
      </w:r>
      <w:r w:rsidR="00815F13" w:rsidRPr="00061A5F">
        <w:rPr>
          <w:rFonts w:ascii="Times New Roman" w:hAnsi="Times New Roman"/>
          <w:sz w:val="24"/>
          <w:szCs w:val="24"/>
        </w:rPr>
        <w:t>d</w:t>
      </w:r>
      <w:r w:rsidR="00142D2F" w:rsidRPr="00061A5F">
        <w:rPr>
          <w:rFonts w:ascii="Times New Roman" w:hAnsi="Times New Roman"/>
          <w:sz w:val="24"/>
          <w:szCs w:val="24"/>
        </w:rPr>
        <w:t xml:space="preserve"> </w:t>
      </w:r>
      <w:r w:rsidR="00E50BF5" w:rsidRPr="00061A5F">
        <w:rPr>
          <w:rFonts w:ascii="Times New Roman" w:hAnsi="Times New Roman"/>
          <w:sz w:val="24"/>
          <w:szCs w:val="24"/>
        </w:rPr>
        <w:t xml:space="preserve">a weaker </w:t>
      </w:r>
      <w:r w:rsidR="00142D2F" w:rsidRPr="00061A5F">
        <w:rPr>
          <w:rFonts w:ascii="Times New Roman" w:hAnsi="Times New Roman"/>
          <w:sz w:val="24"/>
          <w:szCs w:val="24"/>
        </w:rPr>
        <w:t>ability to fight deflationary pressures</w:t>
      </w:r>
      <w:r w:rsidR="00E50BF5" w:rsidRPr="00061A5F">
        <w:rPr>
          <w:rFonts w:ascii="Times New Roman" w:hAnsi="Times New Roman"/>
          <w:sz w:val="24"/>
          <w:szCs w:val="24"/>
        </w:rPr>
        <w:t xml:space="preserve">, </w:t>
      </w:r>
      <w:r w:rsidR="003E0EFC" w:rsidRPr="00061A5F">
        <w:rPr>
          <w:rFonts w:ascii="Times New Roman" w:hAnsi="Times New Roman"/>
          <w:sz w:val="24"/>
          <w:szCs w:val="24"/>
        </w:rPr>
        <w:t>the stabilizing effect of CBA in “normal times” is likely to be reversed</w:t>
      </w:r>
      <w:r w:rsidR="00142D2F" w:rsidRPr="00061A5F">
        <w:rPr>
          <w:rFonts w:ascii="Times New Roman" w:hAnsi="Times New Roman"/>
          <w:sz w:val="24"/>
          <w:szCs w:val="24"/>
        </w:rPr>
        <w:t>.</w:t>
      </w:r>
      <w:r w:rsidR="003E0EFC" w:rsidRPr="00061A5F">
        <w:rPr>
          <w:rFonts w:ascii="Times New Roman" w:hAnsi="Times New Roman"/>
          <w:sz w:val="24"/>
          <w:szCs w:val="24"/>
        </w:rPr>
        <w:t xml:space="preserve"> Therefore, the second aim of this paper is to investigate the effect of CBA on inflation performance after the </w:t>
      </w:r>
      <w:r w:rsidR="00094682" w:rsidRPr="00061A5F">
        <w:rPr>
          <w:rFonts w:ascii="Times New Roman" w:hAnsi="Times New Roman"/>
          <w:sz w:val="24"/>
          <w:szCs w:val="24"/>
        </w:rPr>
        <w:t>out</w:t>
      </w:r>
      <w:r w:rsidR="003E0EFC" w:rsidRPr="00061A5F">
        <w:rPr>
          <w:rFonts w:ascii="Times New Roman" w:hAnsi="Times New Roman"/>
          <w:sz w:val="24"/>
          <w:szCs w:val="24"/>
        </w:rPr>
        <w:t xml:space="preserve">break of the </w:t>
      </w:r>
      <w:r w:rsidR="00E50BF5" w:rsidRPr="00061A5F">
        <w:rPr>
          <w:rFonts w:ascii="Times New Roman" w:hAnsi="Times New Roman"/>
          <w:sz w:val="24"/>
          <w:szCs w:val="24"/>
        </w:rPr>
        <w:t>GFC</w:t>
      </w:r>
      <w:r w:rsidR="003E0EFC" w:rsidRPr="00061A5F">
        <w:rPr>
          <w:rFonts w:ascii="Times New Roman" w:hAnsi="Times New Roman"/>
          <w:sz w:val="24"/>
          <w:szCs w:val="24"/>
        </w:rPr>
        <w:t xml:space="preserve">.  </w:t>
      </w:r>
    </w:p>
    <w:p w14:paraId="1C2C555B" w14:textId="77777777" w:rsidR="006C1F2A" w:rsidRPr="00061A5F" w:rsidRDefault="006C1F2A" w:rsidP="007F5D0E">
      <w:pPr>
        <w:spacing w:line="276" w:lineRule="auto"/>
        <w:jc w:val="both"/>
        <w:rPr>
          <w:rFonts w:ascii="Times New Roman" w:hAnsi="Times New Roman"/>
          <w:sz w:val="24"/>
          <w:szCs w:val="24"/>
        </w:rPr>
      </w:pPr>
    </w:p>
    <w:p w14:paraId="6BD33356" w14:textId="0EB18CD1" w:rsidR="009408EE" w:rsidRPr="00061A5F" w:rsidRDefault="00CD33FB" w:rsidP="007F5D0E">
      <w:pPr>
        <w:spacing w:line="276" w:lineRule="auto"/>
        <w:jc w:val="both"/>
        <w:rPr>
          <w:rFonts w:ascii="Times New Roman" w:hAnsi="Times New Roman"/>
          <w:sz w:val="24"/>
          <w:szCs w:val="24"/>
          <w:lang w:eastAsia="bs-Latn-BA"/>
        </w:rPr>
      </w:pPr>
      <w:r w:rsidRPr="00061A5F">
        <w:rPr>
          <w:rFonts w:ascii="Times New Roman" w:hAnsi="Times New Roman"/>
          <w:sz w:val="24"/>
          <w:szCs w:val="24"/>
        </w:rPr>
        <w:t>The following section provides a review of</w:t>
      </w:r>
      <w:r w:rsidR="009408EE" w:rsidRPr="00061A5F">
        <w:rPr>
          <w:rFonts w:ascii="Times New Roman" w:hAnsi="Times New Roman"/>
          <w:sz w:val="24"/>
          <w:szCs w:val="24"/>
        </w:rPr>
        <w:t xml:space="preserve"> studies that investigate the effect of </w:t>
      </w:r>
      <w:r w:rsidR="005D445A" w:rsidRPr="00061A5F">
        <w:rPr>
          <w:rFonts w:ascii="Times New Roman" w:hAnsi="Times New Roman"/>
          <w:sz w:val="24"/>
          <w:szCs w:val="24"/>
        </w:rPr>
        <w:t xml:space="preserve">a CBA on inflation. Section </w:t>
      </w:r>
      <w:r w:rsidR="009408EE" w:rsidRPr="00061A5F">
        <w:rPr>
          <w:rFonts w:ascii="Times New Roman" w:hAnsi="Times New Roman"/>
          <w:sz w:val="24"/>
          <w:szCs w:val="24"/>
        </w:rPr>
        <w:t>3 analyses the main trends in th</w:t>
      </w:r>
      <w:r w:rsidRPr="00061A5F">
        <w:rPr>
          <w:rFonts w:ascii="Times New Roman" w:hAnsi="Times New Roman"/>
          <w:sz w:val="24"/>
          <w:szCs w:val="24"/>
        </w:rPr>
        <w:t>os</w:t>
      </w:r>
      <w:r w:rsidR="009408EE" w:rsidRPr="00061A5F">
        <w:rPr>
          <w:rFonts w:ascii="Times New Roman" w:hAnsi="Times New Roman"/>
          <w:sz w:val="24"/>
          <w:szCs w:val="24"/>
        </w:rPr>
        <w:t>e transition countries included in the em</w:t>
      </w:r>
      <w:r w:rsidR="005D445A" w:rsidRPr="00061A5F">
        <w:rPr>
          <w:rFonts w:ascii="Times New Roman" w:hAnsi="Times New Roman"/>
          <w:sz w:val="24"/>
          <w:szCs w:val="24"/>
        </w:rPr>
        <w:t>pirical analysis</w:t>
      </w:r>
      <w:r w:rsidR="00815F13" w:rsidRPr="00061A5F">
        <w:rPr>
          <w:rFonts w:ascii="Times New Roman" w:hAnsi="Times New Roman"/>
          <w:sz w:val="24"/>
          <w:szCs w:val="24"/>
        </w:rPr>
        <w:t>, concentrating on the period 1998-2015</w:t>
      </w:r>
      <w:r w:rsidR="005D445A" w:rsidRPr="00061A5F">
        <w:rPr>
          <w:rFonts w:ascii="Times New Roman" w:hAnsi="Times New Roman"/>
          <w:sz w:val="24"/>
          <w:szCs w:val="24"/>
        </w:rPr>
        <w:t xml:space="preserve">. </w:t>
      </w:r>
      <w:r w:rsidR="00F11C87" w:rsidRPr="00061A5F">
        <w:rPr>
          <w:rFonts w:ascii="Times New Roman" w:hAnsi="Times New Roman"/>
          <w:sz w:val="24"/>
          <w:szCs w:val="24"/>
        </w:rPr>
        <w:t xml:space="preserve">Section 4 elaborates inflation determinants and specifies the model. </w:t>
      </w:r>
      <w:r w:rsidR="005D445A" w:rsidRPr="00061A5F">
        <w:rPr>
          <w:rFonts w:ascii="Times New Roman" w:hAnsi="Times New Roman"/>
          <w:sz w:val="24"/>
          <w:szCs w:val="24"/>
        </w:rPr>
        <w:t xml:space="preserve">Section </w:t>
      </w:r>
      <w:r w:rsidR="005639AC" w:rsidRPr="00061A5F">
        <w:rPr>
          <w:rFonts w:ascii="Times New Roman" w:hAnsi="Times New Roman"/>
          <w:sz w:val="24"/>
          <w:szCs w:val="24"/>
        </w:rPr>
        <w:t>5</w:t>
      </w:r>
      <w:r w:rsidR="005D445A" w:rsidRPr="00061A5F">
        <w:rPr>
          <w:rFonts w:ascii="Times New Roman" w:hAnsi="Times New Roman"/>
          <w:sz w:val="24"/>
          <w:szCs w:val="24"/>
        </w:rPr>
        <w:t xml:space="preserve"> </w:t>
      </w:r>
      <w:r w:rsidR="009408EE" w:rsidRPr="00061A5F">
        <w:rPr>
          <w:rFonts w:ascii="Times New Roman" w:hAnsi="Times New Roman"/>
          <w:sz w:val="24"/>
          <w:szCs w:val="24"/>
        </w:rPr>
        <w:t>investigate</w:t>
      </w:r>
      <w:r w:rsidR="005D445A" w:rsidRPr="00061A5F">
        <w:rPr>
          <w:rFonts w:ascii="Times New Roman" w:hAnsi="Times New Roman"/>
          <w:sz w:val="24"/>
          <w:szCs w:val="24"/>
        </w:rPr>
        <w:t>s</w:t>
      </w:r>
      <w:r w:rsidR="009408EE" w:rsidRPr="00061A5F">
        <w:rPr>
          <w:rFonts w:ascii="Times New Roman" w:hAnsi="Times New Roman"/>
          <w:sz w:val="24"/>
          <w:szCs w:val="24"/>
        </w:rPr>
        <w:t xml:space="preserve"> the effect of </w:t>
      </w:r>
      <w:r w:rsidRPr="00061A5F">
        <w:rPr>
          <w:rFonts w:ascii="Times New Roman" w:hAnsi="Times New Roman"/>
          <w:sz w:val="24"/>
          <w:szCs w:val="24"/>
        </w:rPr>
        <w:t xml:space="preserve">a </w:t>
      </w:r>
      <w:r w:rsidR="009408EE" w:rsidRPr="00061A5F">
        <w:rPr>
          <w:rFonts w:ascii="Times New Roman" w:hAnsi="Times New Roman"/>
          <w:sz w:val="24"/>
          <w:szCs w:val="24"/>
        </w:rPr>
        <w:t xml:space="preserve">CBA </w:t>
      </w:r>
      <w:r w:rsidR="005D445A" w:rsidRPr="00061A5F">
        <w:rPr>
          <w:rFonts w:ascii="Times New Roman" w:hAnsi="Times New Roman"/>
          <w:sz w:val="24"/>
          <w:szCs w:val="24"/>
        </w:rPr>
        <w:t xml:space="preserve">in transition countries </w:t>
      </w:r>
      <w:r w:rsidR="009408EE" w:rsidRPr="00061A5F">
        <w:rPr>
          <w:rFonts w:ascii="Times New Roman" w:hAnsi="Times New Roman"/>
          <w:sz w:val="24"/>
          <w:szCs w:val="24"/>
        </w:rPr>
        <w:t>on inflation performance</w:t>
      </w:r>
      <w:r w:rsidR="00815F13" w:rsidRPr="00061A5F">
        <w:rPr>
          <w:rFonts w:ascii="Times New Roman" w:hAnsi="Times New Roman"/>
          <w:sz w:val="24"/>
          <w:szCs w:val="24"/>
        </w:rPr>
        <w:t xml:space="preserve"> over this period</w:t>
      </w:r>
      <w:r w:rsidR="009408EE" w:rsidRPr="00061A5F">
        <w:rPr>
          <w:rFonts w:ascii="Times New Roman" w:hAnsi="Times New Roman"/>
          <w:sz w:val="24"/>
          <w:szCs w:val="24"/>
        </w:rPr>
        <w:t xml:space="preserve">. Subsequently, the </w:t>
      </w:r>
      <w:r w:rsidRPr="00061A5F">
        <w:rPr>
          <w:rFonts w:ascii="Times New Roman" w:hAnsi="Times New Roman"/>
          <w:sz w:val="24"/>
          <w:szCs w:val="24"/>
        </w:rPr>
        <w:t xml:space="preserve">empirical analysis is extended to investigate </w:t>
      </w:r>
      <w:r w:rsidR="009408EE" w:rsidRPr="00061A5F">
        <w:rPr>
          <w:rFonts w:ascii="Times New Roman" w:hAnsi="Times New Roman"/>
          <w:sz w:val="24"/>
          <w:szCs w:val="24"/>
        </w:rPr>
        <w:t xml:space="preserve">whether the effect on inflation differs with the strictness of the CBA. </w:t>
      </w:r>
      <w:r w:rsidRPr="00061A5F">
        <w:rPr>
          <w:rFonts w:ascii="Times New Roman" w:hAnsi="Times New Roman"/>
          <w:sz w:val="24"/>
          <w:szCs w:val="24"/>
        </w:rPr>
        <w:t>The c</w:t>
      </w:r>
      <w:r w:rsidR="009408EE" w:rsidRPr="00061A5F">
        <w:rPr>
          <w:rFonts w:ascii="Times New Roman" w:hAnsi="Times New Roman"/>
          <w:sz w:val="24"/>
          <w:szCs w:val="24"/>
        </w:rPr>
        <w:t>onclus</w:t>
      </w:r>
      <w:r w:rsidR="005D445A" w:rsidRPr="00061A5F">
        <w:rPr>
          <w:rFonts w:ascii="Times New Roman" w:hAnsi="Times New Roman"/>
          <w:sz w:val="24"/>
          <w:szCs w:val="24"/>
        </w:rPr>
        <w:t xml:space="preserve">ions of the empirical analyses </w:t>
      </w:r>
      <w:r w:rsidRPr="00061A5F">
        <w:rPr>
          <w:rFonts w:ascii="Times New Roman" w:hAnsi="Times New Roman"/>
          <w:sz w:val="24"/>
          <w:szCs w:val="24"/>
        </w:rPr>
        <w:t xml:space="preserve">and their implications for policymakers </w:t>
      </w:r>
      <w:r w:rsidR="005D445A" w:rsidRPr="00061A5F">
        <w:rPr>
          <w:rFonts w:ascii="Times New Roman" w:hAnsi="Times New Roman"/>
          <w:sz w:val="24"/>
          <w:szCs w:val="24"/>
        </w:rPr>
        <w:t xml:space="preserve">are </w:t>
      </w:r>
      <w:r w:rsidRPr="00061A5F">
        <w:rPr>
          <w:rFonts w:ascii="Times New Roman" w:hAnsi="Times New Roman"/>
          <w:sz w:val="24"/>
          <w:szCs w:val="24"/>
        </w:rPr>
        <w:t>examined</w:t>
      </w:r>
      <w:r w:rsidR="005D445A" w:rsidRPr="00061A5F">
        <w:rPr>
          <w:rFonts w:ascii="Times New Roman" w:hAnsi="Times New Roman"/>
          <w:sz w:val="24"/>
          <w:szCs w:val="24"/>
        </w:rPr>
        <w:t xml:space="preserve"> in Section </w:t>
      </w:r>
      <w:r w:rsidR="005639AC" w:rsidRPr="00061A5F">
        <w:rPr>
          <w:rFonts w:ascii="Times New Roman" w:hAnsi="Times New Roman"/>
          <w:sz w:val="24"/>
          <w:szCs w:val="24"/>
        </w:rPr>
        <w:t>6</w:t>
      </w:r>
      <w:r w:rsidR="009408EE" w:rsidRPr="00061A5F">
        <w:rPr>
          <w:rFonts w:ascii="Times New Roman" w:hAnsi="Times New Roman"/>
          <w:sz w:val="24"/>
          <w:szCs w:val="24"/>
        </w:rPr>
        <w:t xml:space="preserve">. </w:t>
      </w:r>
    </w:p>
    <w:p w14:paraId="20655BB0" w14:textId="77777777" w:rsidR="00636D20" w:rsidRPr="00061A5F" w:rsidRDefault="00636D20" w:rsidP="007F5D0E">
      <w:pPr>
        <w:spacing w:line="276" w:lineRule="auto"/>
        <w:jc w:val="both"/>
        <w:rPr>
          <w:rFonts w:ascii="Times New Roman" w:hAnsi="Times New Roman"/>
          <w:sz w:val="24"/>
          <w:szCs w:val="24"/>
        </w:rPr>
      </w:pPr>
    </w:p>
    <w:p w14:paraId="6B7B22B6" w14:textId="4F38A3BC" w:rsidR="009408EE" w:rsidRPr="00061A5F" w:rsidRDefault="009408EE" w:rsidP="007F5D0E">
      <w:pPr>
        <w:pStyle w:val="Heading2"/>
        <w:spacing w:before="0" w:line="276" w:lineRule="auto"/>
        <w:jc w:val="both"/>
      </w:pPr>
      <w:bookmarkStart w:id="13" w:name="_Toc306954947"/>
      <w:bookmarkStart w:id="14" w:name="_Toc400712934"/>
      <w:bookmarkStart w:id="15" w:name="_Toc400718967"/>
      <w:bookmarkStart w:id="16" w:name="_Toc400719004"/>
      <w:bookmarkStart w:id="17" w:name="_Toc400730326"/>
      <w:bookmarkStart w:id="18" w:name="_Toc401221384"/>
      <w:bookmarkStart w:id="19" w:name="_Toc401221475"/>
      <w:bookmarkStart w:id="20" w:name="_Toc401221524"/>
      <w:bookmarkStart w:id="21" w:name="_Toc421105240"/>
      <w:bookmarkStart w:id="22" w:name="_Toc306271166"/>
      <w:r w:rsidRPr="00061A5F">
        <w:t>2</w:t>
      </w:r>
      <w:r w:rsidR="00B3329B" w:rsidRPr="00061A5F">
        <w:t>.</w:t>
      </w:r>
      <w:r w:rsidRPr="00061A5F">
        <w:t xml:space="preserve"> </w:t>
      </w:r>
      <w:bookmarkEnd w:id="13"/>
      <w:bookmarkEnd w:id="14"/>
      <w:bookmarkEnd w:id="15"/>
      <w:bookmarkEnd w:id="16"/>
      <w:bookmarkEnd w:id="17"/>
      <w:bookmarkEnd w:id="18"/>
      <w:bookmarkEnd w:id="19"/>
      <w:bookmarkEnd w:id="20"/>
      <w:bookmarkEnd w:id="21"/>
      <w:bookmarkEnd w:id="22"/>
      <w:r w:rsidR="00734661" w:rsidRPr="00061A5F">
        <w:t>T</w:t>
      </w:r>
      <w:r w:rsidR="00BF1EE3" w:rsidRPr="00061A5F">
        <w:t xml:space="preserve">heoretical background and empirical evidence </w:t>
      </w:r>
    </w:p>
    <w:p w14:paraId="6DEF8DA9" w14:textId="77777777" w:rsidR="00A665F7" w:rsidRPr="00061A5F" w:rsidRDefault="00A665F7" w:rsidP="007F5D0E">
      <w:pPr>
        <w:spacing w:line="276" w:lineRule="auto"/>
        <w:jc w:val="both"/>
        <w:rPr>
          <w:rFonts w:ascii="Times New Roman" w:hAnsi="Times New Roman"/>
          <w:sz w:val="24"/>
          <w:szCs w:val="24"/>
          <w:lang w:eastAsia="bs-Latn-BA"/>
        </w:rPr>
      </w:pPr>
    </w:p>
    <w:p w14:paraId="1A1A7BD1" w14:textId="79E56B92" w:rsidR="003A2C39" w:rsidRPr="00061A5F" w:rsidRDefault="003A2C39" w:rsidP="007F5D0E">
      <w:pPr>
        <w:spacing w:line="276" w:lineRule="auto"/>
        <w:jc w:val="both"/>
        <w:rPr>
          <w:rFonts w:ascii="Times New Roman" w:hAnsi="Times New Roman"/>
          <w:sz w:val="24"/>
          <w:szCs w:val="24"/>
        </w:rPr>
      </w:pPr>
      <w:r w:rsidRPr="00061A5F">
        <w:rPr>
          <w:rFonts w:ascii="Times New Roman" w:hAnsi="Times New Roman"/>
          <w:sz w:val="24"/>
          <w:szCs w:val="24"/>
          <w:lang w:eastAsia="bs-Latn-BA"/>
        </w:rPr>
        <w:t xml:space="preserve">The prediction of orthodox economic theory is that countries with a fixed exchange rate regime will have a </w:t>
      </w:r>
      <w:r w:rsidR="00143095" w:rsidRPr="00061A5F">
        <w:rPr>
          <w:rFonts w:ascii="Times New Roman" w:hAnsi="Times New Roman"/>
          <w:sz w:val="24"/>
          <w:szCs w:val="24"/>
          <w:lang w:eastAsia="bs-Latn-BA"/>
        </w:rPr>
        <w:t xml:space="preserve">lower inflation rate, ceteris paribus, </w:t>
      </w:r>
      <w:r w:rsidRPr="00061A5F">
        <w:rPr>
          <w:rFonts w:ascii="Times New Roman" w:hAnsi="Times New Roman"/>
          <w:sz w:val="24"/>
          <w:szCs w:val="24"/>
          <w:lang w:eastAsia="bs-Latn-BA"/>
        </w:rPr>
        <w:t>than countries with a flexible exchange rate regime</w:t>
      </w:r>
      <w:r w:rsidR="00BB1372" w:rsidRPr="00061A5F">
        <w:rPr>
          <w:rFonts w:ascii="Times New Roman" w:hAnsi="Times New Roman"/>
          <w:sz w:val="24"/>
          <w:szCs w:val="24"/>
          <w:lang w:eastAsia="bs-Latn-BA"/>
        </w:rPr>
        <w:t>,</w:t>
      </w:r>
      <w:r w:rsidRPr="00061A5F">
        <w:rPr>
          <w:rFonts w:ascii="Times New Roman" w:hAnsi="Times New Roman"/>
          <w:sz w:val="24"/>
          <w:szCs w:val="24"/>
          <w:lang w:eastAsia="bs-Latn-BA"/>
        </w:rPr>
        <w:t xml:space="preserve"> since pegs are likely to lower inflationary expectations (</w:t>
      </w:r>
      <w:r w:rsidR="001E54D6" w:rsidRPr="00061A5F">
        <w:rPr>
          <w:rFonts w:ascii="Times New Roman" w:hAnsi="Times New Roman"/>
          <w:sz w:val="24"/>
          <w:szCs w:val="24"/>
          <w:lang w:eastAsia="bs-Latn-BA"/>
        </w:rPr>
        <w:t xml:space="preserve">the </w:t>
      </w:r>
      <w:r w:rsidRPr="00061A5F">
        <w:rPr>
          <w:rFonts w:ascii="Times New Roman" w:hAnsi="Times New Roman"/>
          <w:sz w:val="24"/>
          <w:szCs w:val="24"/>
          <w:lang w:eastAsia="bs-Latn-BA"/>
        </w:rPr>
        <w:t>“confidence effect”) and the rate of money growth (</w:t>
      </w:r>
      <w:r w:rsidR="001E54D6" w:rsidRPr="00061A5F">
        <w:rPr>
          <w:rFonts w:ascii="Times New Roman" w:hAnsi="Times New Roman"/>
          <w:sz w:val="24"/>
          <w:szCs w:val="24"/>
          <w:lang w:eastAsia="bs-Latn-BA"/>
        </w:rPr>
        <w:t xml:space="preserve">the </w:t>
      </w:r>
      <w:r w:rsidRPr="00061A5F">
        <w:rPr>
          <w:rFonts w:ascii="Times New Roman" w:hAnsi="Times New Roman"/>
          <w:sz w:val="24"/>
          <w:szCs w:val="24"/>
          <w:lang w:eastAsia="bs-Latn-BA"/>
        </w:rPr>
        <w:t xml:space="preserve">“discipline effect”). This </w:t>
      </w:r>
      <w:r w:rsidR="001E54D6" w:rsidRPr="00061A5F">
        <w:rPr>
          <w:rFonts w:ascii="Times New Roman" w:hAnsi="Times New Roman"/>
          <w:sz w:val="24"/>
          <w:szCs w:val="24"/>
          <w:lang w:eastAsia="bs-Latn-BA"/>
        </w:rPr>
        <w:t xml:space="preserve">prediction has been </w:t>
      </w:r>
      <w:r w:rsidRPr="00061A5F">
        <w:rPr>
          <w:rFonts w:ascii="Times New Roman" w:hAnsi="Times New Roman"/>
          <w:sz w:val="24"/>
          <w:szCs w:val="24"/>
          <w:lang w:eastAsia="bs-Latn-BA"/>
        </w:rPr>
        <w:t xml:space="preserve">confirmed by many studies (e.g. </w:t>
      </w:r>
      <w:r w:rsidRPr="00061A5F">
        <w:rPr>
          <w:rFonts w:ascii="Times New Roman" w:hAnsi="Times New Roman"/>
          <w:sz w:val="24"/>
          <w:szCs w:val="24"/>
        </w:rPr>
        <w:t>Levy-</w:t>
      </w:r>
      <w:proofErr w:type="spellStart"/>
      <w:r w:rsidRPr="00061A5F">
        <w:rPr>
          <w:rFonts w:ascii="Times New Roman" w:hAnsi="Times New Roman"/>
          <w:sz w:val="24"/>
          <w:szCs w:val="24"/>
        </w:rPr>
        <w:t>Yeyati</w:t>
      </w:r>
      <w:proofErr w:type="spellEnd"/>
      <w:r w:rsidRPr="00061A5F">
        <w:rPr>
          <w:rFonts w:ascii="Times New Roman" w:hAnsi="Times New Roman"/>
          <w:sz w:val="24"/>
          <w:szCs w:val="24"/>
        </w:rPr>
        <w:t xml:space="preserve"> and </w:t>
      </w:r>
      <w:proofErr w:type="spellStart"/>
      <w:r w:rsidRPr="00061A5F">
        <w:rPr>
          <w:rFonts w:ascii="Times New Roman" w:hAnsi="Times New Roman"/>
          <w:sz w:val="24"/>
          <w:szCs w:val="24"/>
        </w:rPr>
        <w:t>Sturzengger</w:t>
      </w:r>
      <w:proofErr w:type="spellEnd"/>
      <w:r w:rsidRPr="00061A5F">
        <w:rPr>
          <w:rFonts w:ascii="Times New Roman" w:hAnsi="Times New Roman"/>
          <w:sz w:val="24"/>
          <w:szCs w:val="24"/>
        </w:rPr>
        <w:t xml:space="preserve">, 2001; </w:t>
      </w:r>
      <w:r w:rsidRPr="00061A5F">
        <w:rPr>
          <w:rFonts w:ascii="Times New Roman" w:hAnsi="Times New Roman"/>
          <w:sz w:val="24"/>
          <w:szCs w:val="24"/>
          <w:lang w:eastAsia="bs-Latn-BA"/>
        </w:rPr>
        <w:t xml:space="preserve">De Grauwe and </w:t>
      </w:r>
      <w:proofErr w:type="spellStart"/>
      <w:r w:rsidRPr="00061A5F">
        <w:rPr>
          <w:rFonts w:ascii="Times New Roman" w:hAnsi="Times New Roman"/>
          <w:sz w:val="24"/>
          <w:szCs w:val="24"/>
          <w:lang w:eastAsia="bs-Latn-BA"/>
        </w:rPr>
        <w:t>Schnable</w:t>
      </w:r>
      <w:proofErr w:type="spellEnd"/>
      <w:r w:rsidRPr="00061A5F">
        <w:rPr>
          <w:rFonts w:ascii="Times New Roman" w:hAnsi="Times New Roman"/>
          <w:sz w:val="24"/>
          <w:szCs w:val="24"/>
          <w:lang w:eastAsia="bs-Latn-BA"/>
        </w:rPr>
        <w:t xml:space="preserve">, 2004; </w:t>
      </w:r>
      <w:proofErr w:type="spellStart"/>
      <w:r w:rsidRPr="00061A5F">
        <w:rPr>
          <w:rFonts w:ascii="Times New Roman" w:hAnsi="Times New Roman"/>
          <w:sz w:val="24"/>
          <w:szCs w:val="24"/>
          <w:lang w:eastAsia="bs-Latn-BA"/>
        </w:rPr>
        <w:t>Domac</w:t>
      </w:r>
      <w:proofErr w:type="spellEnd"/>
      <w:r w:rsidRPr="00061A5F">
        <w:rPr>
          <w:rFonts w:ascii="Times New Roman" w:hAnsi="Times New Roman"/>
          <w:sz w:val="24"/>
          <w:szCs w:val="24"/>
          <w:lang w:eastAsia="bs-Latn-BA"/>
        </w:rPr>
        <w:t xml:space="preserve"> et al., 2004), although the size of the effect differs depending on the level of development of the countries observed and exchange rate regime (hereafter ERR) classification used. As a type of pegged ERR (usually classified as a “hard” peg)</w:t>
      </w:r>
      <w:r w:rsidR="00BB1372" w:rsidRPr="00061A5F">
        <w:rPr>
          <w:rFonts w:ascii="Times New Roman" w:hAnsi="Times New Roman"/>
          <w:sz w:val="24"/>
          <w:szCs w:val="24"/>
          <w:lang w:eastAsia="bs-Latn-BA"/>
        </w:rPr>
        <w:t>,</w:t>
      </w:r>
      <w:r w:rsidRPr="00061A5F">
        <w:rPr>
          <w:rFonts w:ascii="Times New Roman" w:hAnsi="Times New Roman"/>
          <w:sz w:val="24"/>
          <w:szCs w:val="24"/>
          <w:lang w:eastAsia="bs-Latn-BA"/>
        </w:rPr>
        <w:t xml:space="preserve"> </w:t>
      </w:r>
      <w:r w:rsidRPr="00061A5F">
        <w:rPr>
          <w:rFonts w:ascii="Times New Roman" w:hAnsi="Times New Roman"/>
          <w:sz w:val="24"/>
          <w:szCs w:val="24"/>
        </w:rPr>
        <w:t>CBAs are expected to reduce inflation even more than other pegged ERRs, due to the greater credibility of the monetary authority under a CBA (Wolf et al., 2008</w:t>
      </w:r>
      <w:r w:rsidR="004E245D" w:rsidRPr="00061A5F">
        <w:rPr>
          <w:rFonts w:ascii="Times New Roman" w:hAnsi="Times New Roman"/>
          <w:sz w:val="24"/>
          <w:szCs w:val="24"/>
        </w:rPr>
        <w:t>;</w:t>
      </w:r>
      <w:r w:rsidRPr="00061A5F">
        <w:rPr>
          <w:rFonts w:ascii="Times New Roman" w:hAnsi="Times New Roman"/>
          <w:sz w:val="24"/>
          <w:szCs w:val="24"/>
        </w:rPr>
        <w:t xml:space="preserve"> </w:t>
      </w:r>
      <w:proofErr w:type="spellStart"/>
      <w:r w:rsidRPr="00061A5F">
        <w:rPr>
          <w:rFonts w:ascii="Times New Roman" w:hAnsi="Times New Roman"/>
          <w:sz w:val="24"/>
          <w:szCs w:val="24"/>
        </w:rPr>
        <w:t>Begovi</w:t>
      </w:r>
      <w:r w:rsidR="0022555B" w:rsidRPr="00061A5F">
        <w:rPr>
          <w:rFonts w:ascii="Times New Roman" w:hAnsi="Times New Roman"/>
          <w:sz w:val="24"/>
          <w:szCs w:val="24"/>
        </w:rPr>
        <w:t>ć</w:t>
      </w:r>
      <w:proofErr w:type="spellEnd"/>
      <w:r w:rsidRPr="00061A5F">
        <w:rPr>
          <w:rFonts w:ascii="Times New Roman" w:hAnsi="Times New Roman"/>
          <w:sz w:val="24"/>
          <w:szCs w:val="24"/>
        </w:rPr>
        <w:t xml:space="preserve"> et al., 2016). </w:t>
      </w:r>
      <w:r w:rsidR="004E245D" w:rsidRPr="00061A5F">
        <w:rPr>
          <w:rFonts w:ascii="Times New Roman" w:hAnsi="Times New Roman"/>
          <w:sz w:val="24"/>
          <w:szCs w:val="24"/>
        </w:rPr>
        <w:t>In particular</w:t>
      </w:r>
      <w:r w:rsidRPr="00061A5F">
        <w:rPr>
          <w:rFonts w:ascii="Times New Roman" w:hAnsi="Times New Roman"/>
          <w:sz w:val="24"/>
          <w:szCs w:val="24"/>
        </w:rPr>
        <w:t xml:space="preserve">, in </w:t>
      </w:r>
      <w:r w:rsidR="004E245D" w:rsidRPr="00061A5F">
        <w:rPr>
          <w:rFonts w:ascii="Times New Roman" w:hAnsi="Times New Roman"/>
          <w:sz w:val="24"/>
          <w:szCs w:val="24"/>
        </w:rPr>
        <w:t>a</w:t>
      </w:r>
      <w:r w:rsidRPr="00061A5F">
        <w:rPr>
          <w:rFonts w:ascii="Times New Roman" w:hAnsi="Times New Roman"/>
          <w:sz w:val="24"/>
          <w:szCs w:val="24"/>
        </w:rPr>
        <w:t xml:space="preserve"> world of free capital </w:t>
      </w:r>
      <w:r w:rsidRPr="00061A5F">
        <w:rPr>
          <w:rFonts w:ascii="Times New Roman" w:hAnsi="Times New Roman"/>
          <w:sz w:val="24"/>
          <w:szCs w:val="24"/>
        </w:rPr>
        <w:lastRenderedPageBreak/>
        <w:t>movements other fixed exchange rate regimes can alter the exchange rate parity. Moreover, the abolition of a CBA is more difficult than the abolition of other pegged ERRs and there is no time-inconsistency problem in CBA countries. Consequently, the inflation rate is expected to be lower and more stable in the CBA countries than in countries with other pegged ERRs.</w:t>
      </w:r>
      <w:r w:rsidR="00BF1EE3" w:rsidRPr="00061A5F">
        <w:rPr>
          <w:rFonts w:ascii="Times New Roman" w:hAnsi="Times New Roman"/>
          <w:sz w:val="24"/>
          <w:szCs w:val="24"/>
        </w:rPr>
        <w:t xml:space="preserve"> This feature of a CBA is considered beneficial in “normal times”, but in the crisis, when other countries are implementing expansionary measures to stimulate prices and growth</w:t>
      </w:r>
      <w:r w:rsidR="00BB1372" w:rsidRPr="00061A5F">
        <w:rPr>
          <w:rFonts w:ascii="Times New Roman" w:hAnsi="Times New Roman"/>
          <w:sz w:val="24"/>
          <w:szCs w:val="24"/>
        </w:rPr>
        <w:t>,</w:t>
      </w:r>
      <w:r w:rsidR="00BF1EE3" w:rsidRPr="00061A5F">
        <w:rPr>
          <w:rFonts w:ascii="Times New Roman" w:hAnsi="Times New Roman"/>
          <w:sz w:val="24"/>
          <w:szCs w:val="24"/>
        </w:rPr>
        <w:t xml:space="preserve"> this feature might be considered to be </w:t>
      </w:r>
      <w:r w:rsidR="00BB1372" w:rsidRPr="00061A5F">
        <w:rPr>
          <w:rFonts w:ascii="Times New Roman" w:hAnsi="Times New Roman"/>
          <w:sz w:val="24"/>
          <w:szCs w:val="24"/>
        </w:rPr>
        <w:t>a</w:t>
      </w:r>
      <w:r w:rsidR="00134DE3" w:rsidRPr="00061A5F">
        <w:rPr>
          <w:rFonts w:ascii="Times New Roman" w:hAnsi="Times New Roman"/>
          <w:sz w:val="24"/>
          <w:szCs w:val="24"/>
        </w:rPr>
        <w:t>n</w:t>
      </w:r>
      <w:r w:rsidR="00BF1EE3" w:rsidRPr="00061A5F">
        <w:rPr>
          <w:rFonts w:ascii="Times New Roman" w:hAnsi="Times New Roman"/>
          <w:sz w:val="24"/>
          <w:szCs w:val="24"/>
        </w:rPr>
        <w:t xml:space="preserve"> impediment</w:t>
      </w:r>
      <w:r w:rsidR="00134DE3" w:rsidRPr="00061A5F">
        <w:rPr>
          <w:rFonts w:ascii="Times New Roman" w:hAnsi="Times New Roman"/>
          <w:sz w:val="24"/>
          <w:szCs w:val="24"/>
        </w:rPr>
        <w:t xml:space="preserve"> to gr</w:t>
      </w:r>
      <w:r w:rsidR="00143095" w:rsidRPr="00061A5F">
        <w:rPr>
          <w:rFonts w:ascii="Times New Roman" w:hAnsi="Times New Roman"/>
          <w:sz w:val="24"/>
          <w:szCs w:val="24"/>
        </w:rPr>
        <w:t>ow</w:t>
      </w:r>
      <w:r w:rsidR="00134DE3" w:rsidRPr="00061A5F">
        <w:rPr>
          <w:rFonts w:ascii="Times New Roman" w:hAnsi="Times New Roman"/>
          <w:sz w:val="24"/>
          <w:szCs w:val="24"/>
        </w:rPr>
        <w:t>th</w:t>
      </w:r>
      <w:r w:rsidR="00BF1EE3" w:rsidRPr="00061A5F">
        <w:rPr>
          <w:rFonts w:ascii="Times New Roman" w:hAnsi="Times New Roman"/>
          <w:sz w:val="24"/>
          <w:szCs w:val="24"/>
        </w:rPr>
        <w:t>.</w:t>
      </w:r>
    </w:p>
    <w:p w14:paraId="1440DDB3" w14:textId="0DA381D2" w:rsidR="00126E2E" w:rsidRPr="00061A5F" w:rsidRDefault="00126E2E" w:rsidP="007F5D0E">
      <w:pPr>
        <w:spacing w:line="276" w:lineRule="auto"/>
        <w:jc w:val="both"/>
        <w:rPr>
          <w:rFonts w:ascii="Times New Roman" w:hAnsi="Times New Roman"/>
          <w:sz w:val="24"/>
          <w:szCs w:val="24"/>
          <w:lang w:eastAsia="bs-Latn-BA"/>
        </w:rPr>
      </w:pPr>
    </w:p>
    <w:p w14:paraId="54B81DAB" w14:textId="4E13AB47" w:rsidR="00126E2E" w:rsidRPr="00061A5F" w:rsidRDefault="00126E2E" w:rsidP="007F5D0E">
      <w:pPr>
        <w:spacing w:line="276" w:lineRule="auto"/>
        <w:jc w:val="both"/>
        <w:rPr>
          <w:rFonts w:ascii="Times New Roman" w:hAnsi="Times New Roman"/>
          <w:sz w:val="24"/>
          <w:szCs w:val="24"/>
          <w:lang w:eastAsia="bs-Latn-BA"/>
        </w:rPr>
      </w:pPr>
      <w:r w:rsidRPr="00061A5F">
        <w:rPr>
          <w:rFonts w:ascii="Times New Roman" w:hAnsi="Times New Roman"/>
          <w:sz w:val="24"/>
          <w:szCs w:val="24"/>
          <w:lang w:eastAsia="bs-Latn-BA"/>
        </w:rPr>
        <w:t>It has been argued that for small developing countries it is desirable to fix the exchange rate due to issues of monetary credibility that arise in the context of a separate currency (</w:t>
      </w:r>
      <w:proofErr w:type="spellStart"/>
      <w:r w:rsidRPr="00061A5F">
        <w:rPr>
          <w:rFonts w:ascii="Times New Roman" w:hAnsi="Times New Roman"/>
          <w:sz w:val="24"/>
          <w:szCs w:val="24"/>
          <w:lang w:eastAsia="bs-Latn-BA"/>
        </w:rPr>
        <w:t>Gudmundsson</w:t>
      </w:r>
      <w:proofErr w:type="spellEnd"/>
      <w:r w:rsidRPr="00061A5F">
        <w:rPr>
          <w:rFonts w:ascii="Times New Roman" w:hAnsi="Times New Roman"/>
          <w:sz w:val="24"/>
          <w:szCs w:val="24"/>
          <w:lang w:eastAsia="bs-Latn-BA"/>
        </w:rPr>
        <w:t xml:space="preserve">, 2006).  Hanke and Schuler (1994) argue that a currency board transmits the relative credibility of the reserve country's central bank to the currency board country and that it can "import" the monetary policy of a </w:t>
      </w:r>
      <w:r w:rsidR="004E245D" w:rsidRPr="00061A5F">
        <w:rPr>
          <w:rFonts w:ascii="Times New Roman" w:hAnsi="Times New Roman"/>
          <w:sz w:val="24"/>
          <w:szCs w:val="24"/>
          <w:lang w:eastAsia="bs-Latn-BA"/>
        </w:rPr>
        <w:t>“</w:t>
      </w:r>
      <w:r w:rsidRPr="00061A5F">
        <w:rPr>
          <w:rFonts w:ascii="Times New Roman" w:hAnsi="Times New Roman"/>
          <w:sz w:val="24"/>
          <w:szCs w:val="24"/>
          <w:lang w:eastAsia="bs-Latn-BA"/>
        </w:rPr>
        <w:t>good</w:t>
      </w:r>
      <w:r w:rsidR="004E245D" w:rsidRPr="00061A5F">
        <w:rPr>
          <w:rFonts w:ascii="Times New Roman" w:hAnsi="Times New Roman"/>
          <w:sz w:val="24"/>
          <w:szCs w:val="24"/>
          <w:lang w:eastAsia="bs-Latn-BA"/>
        </w:rPr>
        <w:t>”</w:t>
      </w:r>
      <w:r w:rsidRPr="00061A5F">
        <w:rPr>
          <w:rFonts w:ascii="Times New Roman" w:hAnsi="Times New Roman"/>
          <w:sz w:val="24"/>
          <w:szCs w:val="24"/>
          <w:lang w:eastAsia="bs-Latn-BA"/>
        </w:rPr>
        <w:t xml:space="preserve"> central bank. This is argued to be an especially advantageous strategy when (</w:t>
      </w:r>
      <w:proofErr w:type="spellStart"/>
      <w:r w:rsidRPr="00061A5F">
        <w:rPr>
          <w:rFonts w:ascii="Times New Roman" w:hAnsi="Times New Roman"/>
          <w:sz w:val="24"/>
          <w:szCs w:val="24"/>
          <w:lang w:eastAsia="bs-Latn-BA"/>
        </w:rPr>
        <w:t>i</w:t>
      </w:r>
      <w:proofErr w:type="spellEnd"/>
      <w:r w:rsidRPr="00061A5F">
        <w:rPr>
          <w:rFonts w:ascii="Times New Roman" w:hAnsi="Times New Roman"/>
          <w:sz w:val="24"/>
          <w:szCs w:val="24"/>
          <w:lang w:eastAsia="bs-Latn-BA"/>
        </w:rPr>
        <w:t>) a monetary union with the currency that the small country is pegging to is the preferred exit strategy (</w:t>
      </w:r>
      <w:proofErr w:type="spellStart"/>
      <w:r w:rsidRPr="00061A5F">
        <w:rPr>
          <w:rFonts w:ascii="Times New Roman" w:hAnsi="Times New Roman"/>
          <w:sz w:val="24"/>
          <w:szCs w:val="24"/>
          <w:lang w:eastAsia="bs-Latn-BA"/>
        </w:rPr>
        <w:t>Gudmundsson</w:t>
      </w:r>
      <w:proofErr w:type="spellEnd"/>
      <w:r w:rsidRPr="00061A5F">
        <w:rPr>
          <w:rFonts w:ascii="Times New Roman" w:hAnsi="Times New Roman"/>
          <w:sz w:val="24"/>
          <w:szCs w:val="24"/>
          <w:lang w:eastAsia="bs-Latn-BA"/>
        </w:rPr>
        <w:t xml:space="preserve">, 2006) and (ii) the aim is to trade more with the pegging currency country, which is one of the reasons that those European countries with a CBA maintained that regime until Eurozone accession (Estonia and Lithuania, which became EMU members, and Bulgaria and </w:t>
      </w:r>
      <w:r w:rsidR="008845AE" w:rsidRPr="00061A5F">
        <w:rPr>
          <w:rFonts w:ascii="Times New Roman" w:hAnsi="Times New Roman"/>
          <w:sz w:val="24"/>
          <w:szCs w:val="24"/>
          <w:lang w:eastAsia="bs-Latn-BA"/>
        </w:rPr>
        <w:t>Bosnia and Herzegovina (</w:t>
      </w:r>
      <w:r w:rsidRPr="00061A5F">
        <w:rPr>
          <w:rFonts w:ascii="Times New Roman" w:hAnsi="Times New Roman"/>
          <w:sz w:val="24"/>
          <w:szCs w:val="24"/>
          <w:lang w:eastAsia="bs-Latn-BA"/>
        </w:rPr>
        <w:t>BH</w:t>
      </w:r>
      <w:r w:rsidR="008845AE" w:rsidRPr="00061A5F">
        <w:rPr>
          <w:rFonts w:ascii="Times New Roman" w:hAnsi="Times New Roman"/>
          <w:sz w:val="24"/>
          <w:szCs w:val="24"/>
          <w:lang w:eastAsia="bs-Latn-BA"/>
        </w:rPr>
        <w:t>)</w:t>
      </w:r>
      <w:r w:rsidRPr="00061A5F">
        <w:rPr>
          <w:rFonts w:ascii="Times New Roman" w:hAnsi="Times New Roman"/>
          <w:sz w:val="24"/>
          <w:szCs w:val="24"/>
          <w:lang w:eastAsia="bs-Latn-BA"/>
        </w:rPr>
        <w:t xml:space="preserve"> which are moving in that direction). Another reason for a small country to opt for a regime such as </w:t>
      </w:r>
      <w:r w:rsidR="004E245D" w:rsidRPr="00061A5F">
        <w:rPr>
          <w:rFonts w:ascii="Times New Roman" w:hAnsi="Times New Roman"/>
          <w:sz w:val="24"/>
          <w:szCs w:val="24"/>
          <w:lang w:eastAsia="bs-Latn-BA"/>
        </w:rPr>
        <w:t xml:space="preserve">a </w:t>
      </w:r>
      <w:r w:rsidRPr="00061A5F">
        <w:rPr>
          <w:rFonts w:ascii="Times New Roman" w:hAnsi="Times New Roman"/>
          <w:sz w:val="24"/>
          <w:szCs w:val="24"/>
          <w:lang w:eastAsia="bs-Latn-BA"/>
        </w:rPr>
        <w:t>CBA is that maintaining a central bank with its own monetary policy is costly</w:t>
      </w:r>
      <w:r w:rsidR="004E245D" w:rsidRPr="00061A5F">
        <w:rPr>
          <w:rFonts w:ascii="Times New Roman" w:hAnsi="Times New Roman"/>
          <w:sz w:val="24"/>
          <w:szCs w:val="24"/>
          <w:lang w:eastAsia="bs-Latn-BA"/>
        </w:rPr>
        <w:t>,</w:t>
      </w:r>
      <w:r w:rsidRPr="00061A5F">
        <w:rPr>
          <w:rFonts w:ascii="Times New Roman" w:hAnsi="Times New Roman"/>
          <w:sz w:val="24"/>
          <w:szCs w:val="24"/>
          <w:lang w:eastAsia="bs-Latn-BA"/>
        </w:rPr>
        <w:t xml:space="preserve"> which will weigh more heavily on a small economy (Rose, 2011). Moreover, for a small and open economy the cost of not using the exchange rate as an instrument is not </w:t>
      </w:r>
      <w:r w:rsidR="003419A0" w:rsidRPr="00061A5F">
        <w:rPr>
          <w:rFonts w:ascii="Times New Roman" w:hAnsi="Times New Roman"/>
          <w:sz w:val="24"/>
          <w:szCs w:val="24"/>
          <w:lang w:eastAsia="bs-Latn-BA"/>
        </w:rPr>
        <w:t>that much</w:t>
      </w:r>
      <w:r w:rsidRPr="00061A5F">
        <w:rPr>
          <w:rFonts w:ascii="Times New Roman" w:hAnsi="Times New Roman"/>
          <w:sz w:val="24"/>
          <w:szCs w:val="24"/>
          <w:lang w:eastAsia="bs-Latn-BA"/>
        </w:rPr>
        <w:t xml:space="preserve"> important, since these countries are international price-takers In countries where the potential for political bias is high then a currency board may be more easily protected from political pressures than a </w:t>
      </w:r>
      <w:r w:rsidR="00C37564" w:rsidRPr="00061A5F">
        <w:rPr>
          <w:rFonts w:ascii="Times New Roman" w:hAnsi="Times New Roman"/>
          <w:sz w:val="24"/>
          <w:szCs w:val="24"/>
          <w:lang w:eastAsia="bs-Latn-BA"/>
        </w:rPr>
        <w:t>“</w:t>
      </w:r>
      <w:r w:rsidRPr="00061A5F">
        <w:rPr>
          <w:rFonts w:ascii="Times New Roman" w:hAnsi="Times New Roman"/>
          <w:sz w:val="24"/>
          <w:szCs w:val="24"/>
          <w:lang w:eastAsia="bs-Latn-BA"/>
        </w:rPr>
        <w:t>typical</w:t>
      </w:r>
      <w:r w:rsidR="00C37564" w:rsidRPr="00061A5F">
        <w:rPr>
          <w:rFonts w:ascii="Times New Roman" w:hAnsi="Times New Roman"/>
          <w:sz w:val="24"/>
          <w:szCs w:val="24"/>
          <w:lang w:eastAsia="bs-Latn-BA"/>
        </w:rPr>
        <w:t>”</w:t>
      </w:r>
      <w:r w:rsidRPr="00061A5F">
        <w:rPr>
          <w:rFonts w:ascii="Times New Roman" w:hAnsi="Times New Roman"/>
          <w:sz w:val="24"/>
          <w:szCs w:val="24"/>
          <w:lang w:eastAsia="bs-Latn-BA"/>
        </w:rPr>
        <w:t xml:space="preserve"> central bank (Hanke and Schuler, 1994).</w:t>
      </w:r>
    </w:p>
    <w:p w14:paraId="1913342D" w14:textId="77777777" w:rsidR="00923F08" w:rsidRPr="00061A5F" w:rsidRDefault="00923F08" w:rsidP="007F5D0E">
      <w:pPr>
        <w:spacing w:line="276" w:lineRule="auto"/>
        <w:jc w:val="both"/>
        <w:rPr>
          <w:rFonts w:ascii="Times New Roman" w:hAnsi="Times New Roman"/>
          <w:sz w:val="24"/>
          <w:szCs w:val="24"/>
          <w:lang w:eastAsia="bs-Latn-BA"/>
        </w:rPr>
      </w:pPr>
    </w:p>
    <w:p w14:paraId="0CC28429" w14:textId="4981F14F" w:rsidR="00A665F7" w:rsidRPr="00061A5F" w:rsidRDefault="00A665F7" w:rsidP="007F5D0E">
      <w:pPr>
        <w:spacing w:line="276" w:lineRule="auto"/>
        <w:jc w:val="both"/>
        <w:rPr>
          <w:rFonts w:ascii="Times New Roman" w:hAnsi="Times New Roman"/>
          <w:sz w:val="24"/>
          <w:szCs w:val="24"/>
          <w:lang w:eastAsia="bs-Latn-BA"/>
        </w:rPr>
      </w:pPr>
      <w:r w:rsidRPr="00061A5F">
        <w:rPr>
          <w:rFonts w:ascii="Times New Roman" w:hAnsi="Times New Roman"/>
          <w:sz w:val="24"/>
          <w:szCs w:val="24"/>
          <w:lang w:eastAsia="bs-Latn-BA"/>
        </w:rPr>
        <w:t xml:space="preserve">There are </w:t>
      </w:r>
      <w:r w:rsidR="000C6357" w:rsidRPr="00061A5F">
        <w:rPr>
          <w:rFonts w:ascii="Times New Roman" w:hAnsi="Times New Roman"/>
          <w:sz w:val="24"/>
          <w:szCs w:val="24"/>
          <w:lang w:eastAsia="bs-Latn-BA"/>
        </w:rPr>
        <w:t>many</w:t>
      </w:r>
      <w:r w:rsidRPr="00061A5F">
        <w:rPr>
          <w:rFonts w:ascii="Times New Roman" w:hAnsi="Times New Roman"/>
          <w:sz w:val="24"/>
          <w:szCs w:val="24"/>
          <w:lang w:eastAsia="bs-Latn-BA"/>
        </w:rPr>
        <w:t xml:space="preserve"> studies estimating the effects of different ERRs on inflation, some of which include a CBA, together with dollarization (and in some cases a conventional pegged arrangement) as a type of a “hard” peg (De Grauwe and </w:t>
      </w:r>
      <w:proofErr w:type="spellStart"/>
      <w:r w:rsidRPr="00061A5F">
        <w:rPr>
          <w:rFonts w:ascii="Times New Roman" w:hAnsi="Times New Roman"/>
          <w:sz w:val="24"/>
          <w:szCs w:val="24"/>
          <w:lang w:eastAsia="bs-Latn-BA"/>
        </w:rPr>
        <w:t>Schnabl</w:t>
      </w:r>
      <w:proofErr w:type="spellEnd"/>
      <w:r w:rsidRPr="00061A5F">
        <w:rPr>
          <w:rFonts w:ascii="Times New Roman" w:hAnsi="Times New Roman"/>
          <w:sz w:val="24"/>
          <w:szCs w:val="24"/>
          <w:lang w:eastAsia="bs-Latn-BA"/>
        </w:rPr>
        <w:t xml:space="preserve">, 2004; </w:t>
      </w:r>
      <w:proofErr w:type="spellStart"/>
      <w:r w:rsidRPr="00061A5F">
        <w:rPr>
          <w:rFonts w:ascii="Times New Roman" w:hAnsi="Times New Roman"/>
          <w:sz w:val="24"/>
          <w:szCs w:val="24"/>
          <w:lang w:eastAsia="bs-Latn-BA"/>
        </w:rPr>
        <w:t>Bleaney</w:t>
      </w:r>
      <w:proofErr w:type="spellEnd"/>
      <w:r w:rsidRPr="00061A5F">
        <w:rPr>
          <w:rFonts w:ascii="Times New Roman" w:hAnsi="Times New Roman"/>
          <w:sz w:val="24"/>
          <w:szCs w:val="24"/>
          <w:lang w:eastAsia="bs-Latn-BA"/>
        </w:rPr>
        <w:t xml:space="preserve"> and Francisco, 2007; Ghosh et al., 2011). </w:t>
      </w:r>
      <w:r w:rsidR="002D5388" w:rsidRPr="00061A5F">
        <w:rPr>
          <w:rFonts w:ascii="Times New Roman" w:hAnsi="Times New Roman"/>
          <w:sz w:val="24"/>
          <w:szCs w:val="24"/>
          <w:lang w:eastAsia="bs-Latn-BA"/>
        </w:rPr>
        <w:t xml:space="preserve">The few </w:t>
      </w:r>
      <w:r w:rsidRPr="00061A5F">
        <w:rPr>
          <w:rFonts w:ascii="Times New Roman" w:hAnsi="Times New Roman"/>
          <w:sz w:val="24"/>
          <w:szCs w:val="24"/>
          <w:lang w:eastAsia="bs-Latn-BA"/>
        </w:rPr>
        <w:t xml:space="preserve">studies </w:t>
      </w:r>
      <w:r w:rsidR="000C6357" w:rsidRPr="00061A5F">
        <w:rPr>
          <w:rFonts w:ascii="Times New Roman" w:hAnsi="Times New Roman"/>
          <w:sz w:val="24"/>
          <w:szCs w:val="24"/>
          <w:lang w:eastAsia="bs-Latn-BA"/>
        </w:rPr>
        <w:t>that</w:t>
      </w:r>
      <w:r w:rsidRPr="00061A5F">
        <w:rPr>
          <w:rFonts w:ascii="Times New Roman" w:hAnsi="Times New Roman"/>
          <w:sz w:val="24"/>
          <w:szCs w:val="24"/>
          <w:lang w:eastAsia="bs-Latn-BA"/>
        </w:rPr>
        <w:t xml:space="preserve"> focus on CBA</w:t>
      </w:r>
      <w:r w:rsidR="000C6357" w:rsidRPr="00061A5F">
        <w:rPr>
          <w:rFonts w:ascii="Times New Roman" w:hAnsi="Times New Roman"/>
          <w:sz w:val="24"/>
          <w:szCs w:val="24"/>
          <w:lang w:eastAsia="bs-Latn-BA"/>
        </w:rPr>
        <w:t>s,</w:t>
      </w:r>
      <w:r w:rsidRPr="00061A5F">
        <w:rPr>
          <w:rFonts w:ascii="Times New Roman" w:hAnsi="Times New Roman"/>
          <w:sz w:val="24"/>
          <w:szCs w:val="24"/>
          <w:lang w:eastAsia="bs-Latn-BA"/>
        </w:rPr>
        <w:t xml:space="preserve"> estimate </w:t>
      </w:r>
      <w:r w:rsidR="000C6357" w:rsidRPr="00061A5F">
        <w:rPr>
          <w:rFonts w:ascii="Times New Roman" w:hAnsi="Times New Roman"/>
          <w:sz w:val="24"/>
          <w:szCs w:val="24"/>
          <w:lang w:eastAsia="bs-Latn-BA"/>
        </w:rPr>
        <w:t>their</w:t>
      </w:r>
      <w:r w:rsidRPr="00061A5F">
        <w:rPr>
          <w:rFonts w:ascii="Times New Roman" w:hAnsi="Times New Roman"/>
          <w:sz w:val="24"/>
          <w:szCs w:val="24"/>
          <w:lang w:eastAsia="bs-Latn-BA"/>
        </w:rPr>
        <w:t xml:space="preserve"> effect</w:t>
      </w:r>
      <w:r w:rsidR="000C6357" w:rsidRPr="00061A5F">
        <w:rPr>
          <w:rFonts w:ascii="Times New Roman" w:hAnsi="Times New Roman"/>
          <w:sz w:val="24"/>
          <w:szCs w:val="24"/>
          <w:lang w:eastAsia="bs-Latn-BA"/>
        </w:rPr>
        <w:t>s</w:t>
      </w:r>
      <w:r w:rsidRPr="00061A5F">
        <w:rPr>
          <w:rFonts w:ascii="Times New Roman" w:hAnsi="Times New Roman"/>
          <w:sz w:val="24"/>
          <w:szCs w:val="24"/>
          <w:lang w:eastAsia="bs-Latn-BA"/>
        </w:rPr>
        <w:t xml:space="preserve"> by comparing different countries with different ERRs (</w:t>
      </w:r>
      <w:r w:rsidR="002D5388" w:rsidRPr="00061A5F">
        <w:rPr>
          <w:rFonts w:ascii="Times New Roman" w:hAnsi="Times New Roman"/>
          <w:sz w:val="24"/>
          <w:szCs w:val="24"/>
          <w:lang w:eastAsia="bs-Latn-BA"/>
        </w:rPr>
        <w:t xml:space="preserve">the </w:t>
      </w:r>
      <w:r w:rsidRPr="00061A5F">
        <w:rPr>
          <w:rFonts w:ascii="Times New Roman" w:hAnsi="Times New Roman"/>
          <w:sz w:val="24"/>
          <w:szCs w:val="24"/>
          <w:lang w:eastAsia="bs-Latn-BA"/>
        </w:rPr>
        <w:t>“comparison” approach) or by observing one country during the periods before and during the CBA (</w:t>
      </w:r>
      <w:r w:rsidR="002D5388" w:rsidRPr="00061A5F">
        <w:rPr>
          <w:rFonts w:ascii="Times New Roman" w:hAnsi="Times New Roman"/>
          <w:sz w:val="24"/>
          <w:szCs w:val="24"/>
          <w:lang w:eastAsia="bs-Latn-BA"/>
        </w:rPr>
        <w:t xml:space="preserve">the </w:t>
      </w:r>
      <w:r w:rsidRPr="00061A5F">
        <w:rPr>
          <w:rFonts w:ascii="Times New Roman" w:hAnsi="Times New Roman"/>
          <w:sz w:val="24"/>
          <w:szCs w:val="24"/>
          <w:lang w:eastAsia="bs-Latn-BA"/>
        </w:rPr>
        <w:t xml:space="preserve">“experimental” approach). </w:t>
      </w:r>
      <w:r w:rsidR="008B25B9" w:rsidRPr="00061A5F">
        <w:rPr>
          <w:rFonts w:ascii="Times New Roman" w:hAnsi="Times New Roman"/>
          <w:sz w:val="24"/>
          <w:szCs w:val="24"/>
          <w:lang w:eastAsia="bs-Latn-BA"/>
        </w:rPr>
        <w:t xml:space="preserve">A </w:t>
      </w:r>
      <w:r w:rsidRPr="00061A5F">
        <w:rPr>
          <w:rFonts w:ascii="Times New Roman" w:hAnsi="Times New Roman"/>
          <w:sz w:val="24"/>
          <w:szCs w:val="24"/>
          <w:lang w:eastAsia="bs-Latn-BA"/>
        </w:rPr>
        <w:t xml:space="preserve">limitation of </w:t>
      </w:r>
      <w:r w:rsidR="008B25B9" w:rsidRPr="00061A5F">
        <w:rPr>
          <w:rFonts w:ascii="Times New Roman" w:hAnsi="Times New Roman"/>
          <w:sz w:val="24"/>
          <w:szCs w:val="24"/>
          <w:lang w:eastAsia="bs-Latn-BA"/>
        </w:rPr>
        <w:t>studies using the former</w:t>
      </w:r>
      <w:r w:rsidRPr="00061A5F">
        <w:rPr>
          <w:rFonts w:ascii="Times New Roman" w:hAnsi="Times New Roman"/>
          <w:sz w:val="24"/>
          <w:szCs w:val="24"/>
          <w:lang w:eastAsia="bs-Latn-BA"/>
        </w:rPr>
        <w:t xml:space="preserve"> approach</w:t>
      </w:r>
      <w:r w:rsidR="00AC1F50" w:rsidRPr="00061A5F">
        <w:rPr>
          <w:rFonts w:ascii="Times New Roman" w:hAnsi="Times New Roman"/>
          <w:sz w:val="24"/>
          <w:szCs w:val="24"/>
          <w:lang w:eastAsia="bs-Latn-BA"/>
        </w:rPr>
        <w:t xml:space="preserve"> is that</w:t>
      </w:r>
      <w:r w:rsidRPr="00061A5F">
        <w:rPr>
          <w:rFonts w:ascii="Times New Roman" w:hAnsi="Times New Roman"/>
          <w:sz w:val="24"/>
          <w:szCs w:val="24"/>
          <w:lang w:eastAsia="bs-Latn-BA"/>
        </w:rPr>
        <w:t xml:space="preserve"> relatively few observations are related to countries with a CBA. On the other hand, the “experimental” </w:t>
      </w:r>
      <w:r w:rsidR="00D8292F" w:rsidRPr="00061A5F">
        <w:rPr>
          <w:rFonts w:ascii="Times New Roman" w:hAnsi="Times New Roman"/>
          <w:sz w:val="24"/>
          <w:szCs w:val="24"/>
          <w:lang w:eastAsia="bs-Latn-BA"/>
        </w:rPr>
        <w:t xml:space="preserve">(time-series) </w:t>
      </w:r>
      <w:r w:rsidRPr="00061A5F">
        <w:rPr>
          <w:rFonts w:ascii="Times New Roman" w:hAnsi="Times New Roman"/>
          <w:sz w:val="24"/>
          <w:szCs w:val="24"/>
          <w:lang w:eastAsia="bs-Latn-BA"/>
        </w:rPr>
        <w:t>approach requires data for a long period. Mor</w:t>
      </w:r>
      <w:r w:rsidR="001337A0" w:rsidRPr="00061A5F">
        <w:rPr>
          <w:rFonts w:ascii="Times New Roman" w:hAnsi="Times New Roman"/>
          <w:sz w:val="24"/>
          <w:szCs w:val="24"/>
          <w:lang w:eastAsia="bs-Latn-BA"/>
        </w:rPr>
        <w:t>eover, Kwan and Lui (1999</w:t>
      </w:r>
      <w:r w:rsidRPr="00061A5F">
        <w:rPr>
          <w:rFonts w:ascii="Times New Roman" w:hAnsi="Times New Roman"/>
          <w:sz w:val="24"/>
          <w:szCs w:val="24"/>
          <w:lang w:eastAsia="bs-Latn-BA"/>
        </w:rPr>
        <w:t xml:space="preserve">) argued that </w:t>
      </w:r>
      <w:r w:rsidR="001337A0" w:rsidRPr="00061A5F">
        <w:rPr>
          <w:rFonts w:ascii="Times New Roman" w:hAnsi="Times New Roman"/>
          <w:sz w:val="24"/>
          <w:szCs w:val="24"/>
          <w:lang w:eastAsia="bs-Latn-BA"/>
        </w:rPr>
        <w:t>variability in the data between two periods is needed in order to empirically capture the effect of the regime</w:t>
      </w:r>
      <w:r w:rsidRPr="00061A5F">
        <w:rPr>
          <w:rFonts w:ascii="Times New Roman" w:hAnsi="Times New Roman"/>
          <w:sz w:val="24"/>
          <w:szCs w:val="24"/>
          <w:lang w:eastAsia="bs-Latn-BA"/>
        </w:rPr>
        <w:t xml:space="preserve">. Since </w:t>
      </w:r>
      <w:r w:rsidR="00550D1A" w:rsidRPr="00061A5F">
        <w:rPr>
          <w:rFonts w:ascii="Times New Roman" w:hAnsi="Times New Roman"/>
          <w:sz w:val="24"/>
          <w:szCs w:val="24"/>
          <w:lang w:eastAsia="bs-Latn-BA"/>
        </w:rPr>
        <w:t xml:space="preserve">our </w:t>
      </w:r>
      <w:r w:rsidRPr="00061A5F">
        <w:rPr>
          <w:rFonts w:ascii="Times New Roman" w:hAnsi="Times New Roman"/>
          <w:sz w:val="24"/>
          <w:szCs w:val="24"/>
          <w:lang w:eastAsia="bs-Latn-BA"/>
        </w:rPr>
        <w:t>focus is on transition countries</w:t>
      </w:r>
      <w:r w:rsidR="00550D1A" w:rsidRPr="00061A5F">
        <w:rPr>
          <w:rFonts w:ascii="Times New Roman" w:hAnsi="Times New Roman"/>
          <w:sz w:val="24"/>
          <w:szCs w:val="24"/>
          <w:lang w:eastAsia="bs-Latn-BA"/>
        </w:rPr>
        <w:t>,</w:t>
      </w:r>
      <w:r w:rsidR="00AC1F50" w:rsidRPr="00061A5F">
        <w:rPr>
          <w:rFonts w:ascii="Times New Roman" w:hAnsi="Times New Roman"/>
          <w:sz w:val="24"/>
          <w:szCs w:val="24"/>
          <w:lang w:eastAsia="bs-Latn-BA"/>
        </w:rPr>
        <w:t xml:space="preserve"> data limitations preclude an experimental approach</w:t>
      </w:r>
      <w:r w:rsidR="00550D1A" w:rsidRPr="00061A5F">
        <w:rPr>
          <w:rFonts w:ascii="Times New Roman" w:hAnsi="Times New Roman"/>
          <w:sz w:val="24"/>
          <w:szCs w:val="24"/>
          <w:lang w:eastAsia="bs-Latn-BA"/>
        </w:rPr>
        <w:t xml:space="preserve">; </w:t>
      </w:r>
      <w:r w:rsidR="00A821AA" w:rsidRPr="00061A5F">
        <w:rPr>
          <w:rFonts w:ascii="Times New Roman" w:hAnsi="Times New Roman"/>
          <w:sz w:val="24"/>
          <w:szCs w:val="24"/>
          <w:lang w:eastAsia="bs-Latn-BA"/>
        </w:rPr>
        <w:t xml:space="preserve">hence the </w:t>
      </w:r>
      <w:r w:rsidR="002D5388" w:rsidRPr="00061A5F">
        <w:rPr>
          <w:rFonts w:ascii="Times New Roman" w:hAnsi="Times New Roman"/>
          <w:sz w:val="24"/>
          <w:szCs w:val="24"/>
          <w:lang w:eastAsia="bs-Latn-BA"/>
        </w:rPr>
        <w:t xml:space="preserve">following </w:t>
      </w:r>
      <w:r w:rsidR="00A821AA" w:rsidRPr="00061A5F">
        <w:rPr>
          <w:rFonts w:ascii="Times New Roman" w:hAnsi="Times New Roman"/>
          <w:sz w:val="24"/>
          <w:szCs w:val="24"/>
          <w:lang w:eastAsia="bs-Latn-BA"/>
        </w:rPr>
        <w:t xml:space="preserve">literature review focuses on studies </w:t>
      </w:r>
      <w:r w:rsidR="00550D1A" w:rsidRPr="00061A5F">
        <w:rPr>
          <w:rFonts w:ascii="Times New Roman" w:hAnsi="Times New Roman"/>
          <w:sz w:val="24"/>
          <w:szCs w:val="24"/>
          <w:lang w:eastAsia="bs-Latn-BA"/>
        </w:rPr>
        <w:t xml:space="preserve">that </w:t>
      </w:r>
      <w:r w:rsidR="00A821AA" w:rsidRPr="00061A5F">
        <w:rPr>
          <w:rFonts w:ascii="Times New Roman" w:hAnsi="Times New Roman"/>
          <w:sz w:val="24"/>
          <w:szCs w:val="24"/>
          <w:lang w:eastAsia="bs-Latn-BA"/>
        </w:rPr>
        <w:t>use the comparison approach.</w:t>
      </w:r>
      <w:r w:rsidR="00A821AA" w:rsidRPr="00061A5F" w:rsidDel="00AC1F50">
        <w:rPr>
          <w:rFonts w:ascii="Times New Roman" w:hAnsi="Times New Roman"/>
          <w:sz w:val="24"/>
          <w:szCs w:val="24"/>
          <w:lang w:eastAsia="bs-Latn-BA"/>
        </w:rPr>
        <w:t xml:space="preserve"> </w:t>
      </w:r>
    </w:p>
    <w:p w14:paraId="1D54C6FA" w14:textId="77777777" w:rsidR="001337A0" w:rsidRPr="00061A5F" w:rsidRDefault="001337A0" w:rsidP="007F5D0E">
      <w:pPr>
        <w:spacing w:line="276" w:lineRule="auto"/>
        <w:jc w:val="both"/>
        <w:rPr>
          <w:rFonts w:ascii="Times New Roman" w:hAnsi="Times New Roman"/>
          <w:b/>
          <w:sz w:val="24"/>
          <w:szCs w:val="24"/>
          <w:lang w:eastAsia="bs-Latn-BA"/>
        </w:rPr>
      </w:pPr>
    </w:p>
    <w:p w14:paraId="5862337E" w14:textId="36406C69" w:rsidR="00A665F7" w:rsidRPr="00061A5F" w:rsidRDefault="00AF6B62" w:rsidP="007F5D0E">
      <w:pPr>
        <w:spacing w:line="276" w:lineRule="auto"/>
        <w:jc w:val="both"/>
        <w:rPr>
          <w:rFonts w:ascii="Times New Roman" w:hAnsi="Times New Roman"/>
          <w:sz w:val="24"/>
          <w:szCs w:val="24"/>
          <w:lang w:eastAsia="bs-Latn-BA"/>
        </w:rPr>
      </w:pPr>
      <w:proofErr w:type="spellStart"/>
      <w:r w:rsidRPr="00061A5F">
        <w:rPr>
          <w:rFonts w:ascii="Times New Roman" w:hAnsi="Times New Roman"/>
          <w:sz w:val="24"/>
          <w:szCs w:val="24"/>
        </w:rPr>
        <w:t>Anastassova</w:t>
      </w:r>
      <w:proofErr w:type="spellEnd"/>
      <w:r w:rsidRPr="00061A5F">
        <w:rPr>
          <w:rFonts w:ascii="Times New Roman" w:hAnsi="Times New Roman"/>
          <w:sz w:val="24"/>
          <w:szCs w:val="24"/>
        </w:rPr>
        <w:t xml:space="preserve"> (1999)</w:t>
      </w:r>
      <w:r w:rsidR="00A665F7" w:rsidRPr="00061A5F">
        <w:rPr>
          <w:rFonts w:ascii="Times New Roman" w:hAnsi="Times New Roman"/>
          <w:sz w:val="24"/>
          <w:szCs w:val="24"/>
        </w:rPr>
        <w:t xml:space="preserve"> uses panel data analysis of 22 countries for the period 1984-1997 and estimates the effect of </w:t>
      </w:r>
      <w:r w:rsidR="00AC1F50" w:rsidRPr="00061A5F">
        <w:rPr>
          <w:rFonts w:ascii="Times New Roman" w:hAnsi="Times New Roman"/>
          <w:sz w:val="24"/>
          <w:szCs w:val="24"/>
        </w:rPr>
        <w:t xml:space="preserve">a </w:t>
      </w:r>
      <w:r w:rsidR="00A665F7" w:rsidRPr="00061A5F">
        <w:rPr>
          <w:rFonts w:ascii="Times New Roman" w:hAnsi="Times New Roman"/>
          <w:sz w:val="24"/>
          <w:szCs w:val="24"/>
        </w:rPr>
        <w:t>CBA on</w:t>
      </w:r>
      <w:r w:rsidR="001337A0" w:rsidRPr="00061A5F">
        <w:rPr>
          <w:rFonts w:ascii="Times New Roman" w:hAnsi="Times New Roman"/>
          <w:sz w:val="24"/>
          <w:szCs w:val="24"/>
        </w:rPr>
        <w:t xml:space="preserve"> inflation by dividing</w:t>
      </w:r>
      <w:r w:rsidR="00A665F7" w:rsidRPr="00061A5F">
        <w:rPr>
          <w:rFonts w:ascii="Times New Roman" w:hAnsi="Times New Roman"/>
          <w:sz w:val="24"/>
          <w:szCs w:val="24"/>
        </w:rPr>
        <w:t xml:space="preserve"> the sample into three groups: the first consists of </w:t>
      </w:r>
      <w:r w:rsidRPr="00061A5F">
        <w:rPr>
          <w:rFonts w:ascii="Times New Roman" w:hAnsi="Times New Roman"/>
          <w:sz w:val="24"/>
          <w:szCs w:val="24"/>
        </w:rPr>
        <w:t xml:space="preserve">six </w:t>
      </w:r>
      <w:r w:rsidR="00A665F7" w:rsidRPr="00061A5F">
        <w:rPr>
          <w:rFonts w:ascii="Times New Roman" w:hAnsi="Times New Roman"/>
          <w:sz w:val="24"/>
          <w:szCs w:val="24"/>
        </w:rPr>
        <w:t>CBA countries</w:t>
      </w:r>
      <w:r w:rsidR="00550D1A" w:rsidRPr="00061A5F">
        <w:rPr>
          <w:rFonts w:ascii="Times New Roman" w:hAnsi="Times New Roman"/>
          <w:sz w:val="24"/>
          <w:szCs w:val="24"/>
        </w:rPr>
        <w:t xml:space="preserve">; </w:t>
      </w:r>
      <w:r w:rsidR="00A665F7" w:rsidRPr="00061A5F">
        <w:rPr>
          <w:rFonts w:ascii="Times New Roman" w:hAnsi="Times New Roman"/>
          <w:sz w:val="24"/>
          <w:szCs w:val="24"/>
        </w:rPr>
        <w:t xml:space="preserve">the second of </w:t>
      </w:r>
      <w:r w:rsidRPr="00061A5F">
        <w:rPr>
          <w:rFonts w:ascii="Times New Roman" w:hAnsi="Times New Roman"/>
          <w:sz w:val="24"/>
          <w:szCs w:val="24"/>
        </w:rPr>
        <w:t xml:space="preserve">five </w:t>
      </w:r>
      <w:r w:rsidR="00A665F7" w:rsidRPr="00061A5F">
        <w:rPr>
          <w:rFonts w:ascii="Times New Roman" w:hAnsi="Times New Roman"/>
          <w:sz w:val="24"/>
          <w:szCs w:val="24"/>
        </w:rPr>
        <w:t>countries with a similar-to-CBA regime</w:t>
      </w:r>
      <w:r w:rsidR="00550D1A" w:rsidRPr="00061A5F">
        <w:rPr>
          <w:rFonts w:ascii="Times New Roman" w:hAnsi="Times New Roman"/>
          <w:sz w:val="24"/>
          <w:szCs w:val="24"/>
        </w:rPr>
        <w:t>;</w:t>
      </w:r>
      <w:r w:rsidR="00A665F7" w:rsidRPr="00061A5F">
        <w:rPr>
          <w:rFonts w:ascii="Times New Roman" w:hAnsi="Times New Roman"/>
          <w:sz w:val="24"/>
          <w:szCs w:val="24"/>
        </w:rPr>
        <w:t xml:space="preserve"> and the third of </w:t>
      </w:r>
      <w:r w:rsidRPr="00061A5F">
        <w:rPr>
          <w:rFonts w:ascii="Times New Roman" w:hAnsi="Times New Roman"/>
          <w:sz w:val="24"/>
          <w:szCs w:val="24"/>
        </w:rPr>
        <w:t xml:space="preserve">eleven </w:t>
      </w:r>
      <w:r w:rsidR="00A665F7" w:rsidRPr="00061A5F">
        <w:rPr>
          <w:rFonts w:ascii="Times New Roman" w:hAnsi="Times New Roman"/>
          <w:sz w:val="24"/>
          <w:szCs w:val="24"/>
        </w:rPr>
        <w:t>countries wi</w:t>
      </w:r>
      <w:r w:rsidR="0027644C" w:rsidRPr="00061A5F">
        <w:rPr>
          <w:rFonts w:ascii="Times New Roman" w:hAnsi="Times New Roman"/>
          <w:sz w:val="24"/>
          <w:szCs w:val="24"/>
        </w:rPr>
        <w:t xml:space="preserve">th </w:t>
      </w:r>
      <w:r w:rsidR="000C6357" w:rsidRPr="00061A5F">
        <w:rPr>
          <w:rFonts w:ascii="Times New Roman" w:hAnsi="Times New Roman"/>
          <w:sz w:val="24"/>
          <w:szCs w:val="24"/>
        </w:rPr>
        <w:t xml:space="preserve">a </w:t>
      </w:r>
      <w:r w:rsidR="0027644C" w:rsidRPr="00061A5F">
        <w:rPr>
          <w:rFonts w:ascii="Times New Roman" w:hAnsi="Times New Roman"/>
          <w:sz w:val="24"/>
          <w:szCs w:val="24"/>
        </w:rPr>
        <w:t xml:space="preserve">pegged ERR or crawling band. </w:t>
      </w:r>
      <w:r w:rsidR="00A665F7" w:rsidRPr="00061A5F">
        <w:rPr>
          <w:rFonts w:ascii="Times New Roman" w:hAnsi="Times New Roman"/>
          <w:sz w:val="24"/>
          <w:szCs w:val="24"/>
        </w:rPr>
        <w:t>According to the results</w:t>
      </w:r>
      <w:r w:rsidR="0027644C" w:rsidRPr="00061A5F">
        <w:rPr>
          <w:rFonts w:ascii="Times New Roman" w:hAnsi="Times New Roman"/>
          <w:sz w:val="24"/>
          <w:szCs w:val="24"/>
        </w:rPr>
        <w:t>,</w:t>
      </w:r>
      <w:r w:rsidR="00A665F7" w:rsidRPr="00061A5F">
        <w:rPr>
          <w:rFonts w:ascii="Times New Roman" w:hAnsi="Times New Roman"/>
          <w:sz w:val="24"/>
          <w:szCs w:val="24"/>
        </w:rPr>
        <w:t xml:space="preserve"> the </w:t>
      </w:r>
      <w:r w:rsidR="00A665F7" w:rsidRPr="00061A5F">
        <w:rPr>
          <w:rFonts w:ascii="Times New Roman" w:hAnsi="Times New Roman"/>
          <w:sz w:val="24"/>
          <w:szCs w:val="24"/>
        </w:rPr>
        <w:lastRenderedPageBreak/>
        <w:t>CBA countries ha</w:t>
      </w:r>
      <w:r w:rsidR="002D5388" w:rsidRPr="00061A5F">
        <w:rPr>
          <w:rFonts w:ascii="Times New Roman" w:hAnsi="Times New Roman"/>
          <w:sz w:val="24"/>
          <w:szCs w:val="24"/>
        </w:rPr>
        <w:t>d</w:t>
      </w:r>
      <w:r w:rsidR="00A665F7" w:rsidRPr="00061A5F">
        <w:rPr>
          <w:rFonts w:ascii="Times New Roman" w:hAnsi="Times New Roman"/>
          <w:sz w:val="24"/>
          <w:szCs w:val="24"/>
        </w:rPr>
        <w:t xml:space="preserve"> lower inflation than other pegged ERRs countries (and countries with regimes similar to CBA). When</w:t>
      </w:r>
      <w:r w:rsidR="00AC1F50" w:rsidRPr="00061A5F">
        <w:rPr>
          <w:rFonts w:ascii="Times New Roman" w:hAnsi="Times New Roman"/>
          <w:sz w:val="24"/>
          <w:szCs w:val="24"/>
        </w:rPr>
        <w:t xml:space="preserve"> the</w:t>
      </w:r>
      <w:r w:rsidR="00A665F7" w:rsidRPr="00061A5F">
        <w:rPr>
          <w:rFonts w:ascii="Times New Roman" w:hAnsi="Times New Roman"/>
          <w:sz w:val="24"/>
          <w:szCs w:val="24"/>
        </w:rPr>
        <w:t xml:space="preserve"> CBA dummy is split between “strong” </w:t>
      </w:r>
      <w:r w:rsidR="0027644C" w:rsidRPr="00061A5F">
        <w:rPr>
          <w:rFonts w:ascii="Times New Roman" w:hAnsi="Times New Roman"/>
          <w:sz w:val="24"/>
          <w:szCs w:val="24"/>
        </w:rPr>
        <w:t xml:space="preserve">(more rigid) </w:t>
      </w:r>
      <w:r w:rsidR="00A665F7" w:rsidRPr="00061A5F">
        <w:rPr>
          <w:rFonts w:ascii="Times New Roman" w:hAnsi="Times New Roman"/>
          <w:sz w:val="24"/>
          <w:szCs w:val="24"/>
        </w:rPr>
        <w:t xml:space="preserve">and “weak” </w:t>
      </w:r>
      <w:r w:rsidR="0027644C" w:rsidRPr="00061A5F">
        <w:rPr>
          <w:rFonts w:ascii="Times New Roman" w:hAnsi="Times New Roman"/>
          <w:sz w:val="24"/>
          <w:szCs w:val="24"/>
        </w:rPr>
        <w:t xml:space="preserve">(less rigid) </w:t>
      </w:r>
      <w:r w:rsidR="00A665F7" w:rsidRPr="00061A5F">
        <w:rPr>
          <w:rFonts w:ascii="Times New Roman" w:hAnsi="Times New Roman"/>
          <w:sz w:val="24"/>
          <w:szCs w:val="24"/>
        </w:rPr>
        <w:t>CBAs the results indicate th</w:t>
      </w:r>
      <w:r w:rsidR="00AC1F50" w:rsidRPr="00061A5F">
        <w:rPr>
          <w:rFonts w:ascii="Times New Roman" w:hAnsi="Times New Roman"/>
          <w:sz w:val="24"/>
          <w:szCs w:val="24"/>
        </w:rPr>
        <w:t>e</w:t>
      </w:r>
      <w:r w:rsidR="001337A0" w:rsidRPr="00061A5F">
        <w:rPr>
          <w:rFonts w:ascii="Times New Roman" w:hAnsi="Times New Roman"/>
          <w:sz w:val="24"/>
          <w:szCs w:val="24"/>
        </w:rPr>
        <w:t xml:space="preserve"> stronger impact of </w:t>
      </w:r>
      <w:r w:rsidR="002D5388" w:rsidRPr="00061A5F">
        <w:rPr>
          <w:rFonts w:ascii="Times New Roman" w:hAnsi="Times New Roman"/>
          <w:sz w:val="24"/>
          <w:szCs w:val="24"/>
        </w:rPr>
        <w:t xml:space="preserve">a </w:t>
      </w:r>
      <w:r w:rsidR="001337A0" w:rsidRPr="00061A5F">
        <w:rPr>
          <w:rFonts w:ascii="Times New Roman" w:hAnsi="Times New Roman"/>
          <w:sz w:val="24"/>
          <w:szCs w:val="24"/>
        </w:rPr>
        <w:t>“strong” CBA on inflation</w:t>
      </w:r>
      <w:r w:rsidR="00A665F7" w:rsidRPr="00061A5F">
        <w:rPr>
          <w:rFonts w:ascii="Times New Roman" w:hAnsi="Times New Roman"/>
          <w:sz w:val="24"/>
          <w:szCs w:val="24"/>
        </w:rPr>
        <w:t>. However, there are some limitations in the analysis presented in this paper. First, it is not clear what the comparison group for the “strong” and “weak” CBA dummies is (all other countries from the sample, countries with regime similar to CBA or</w:t>
      </w:r>
      <w:r w:rsidR="001337A0" w:rsidRPr="00061A5F">
        <w:rPr>
          <w:rFonts w:ascii="Times New Roman" w:hAnsi="Times New Roman"/>
          <w:sz w:val="24"/>
          <w:szCs w:val="24"/>
        </w:rPr>
        <w:t xml:space="preserve"> other pegged ERRs). Moreover, by controlling only for money supply and openness, </w:t>
      </w:r>
      <w:r w:rsidR="0027644C" w:rsidRPr="00061A5F">
        <w:rPr>
          <w:rFonts w:ascii="Times New Roman" w:hAnsi="Times New Roman"/>
          <w:sz w:val="24"/>
          <w:szCs w:val="24"/>
        </w:rPr>
        <w:t xml:space="preserve">the author </w:t>
      </w:r>
      <w:r w:rsidR="001337A0" w:rsidRPr="00061A5F">
        <w:rPr>
          <w:rFonts w:ascii="Times New Roman" w:hAnsi="Times New Roman"/>
          <w:sz w:val="24"/>
          <w:szCs w:val="24"/>
        </w:rPr>
        <w:t>fails to</w:t>
      </w:r>
      <w:r w:rsidR="00A665F7" w:rsidRPr="00061A5F">
        <w:rPr>
          <w:rFonts w:ascii="Times New Roman" w:hAnsi="Times New Roman"/>
          <w:sz w:val="24"/>
          <w:szCs w:val="24"/>
        </w:rPr>
        <w:t xml:space="preserve"> control for other </w:t>
      </w:r>
      <w:r w:rsidR="00AC1F50" w:rsidRPr="00061A5F">
        <w:rPr>
          <w:rFonts w:ascii="Times New Roman" w:hAnsi="Times New Roman"/>
          <w:sz w:val="24"/>
          <w:szCs w:val="24"/>
        </w:rPr>
        <w:t xml:space="preserve">potentially important </w:t>
      </w:r>
      <w:r w:rsidR="00A665F7" w:rsidRPr="00061A5F">
        <w:rPr>
          <w:rFonts w:ascii="Times New Roman" w:hAnsi="Times New Roman"/>
          <w:sz w:val="24"/>
          <w:szCs w:val="24"/>
        </w:rPr>
        <w:t xml:space="preserve">variables, such as </w:t>
      </w:r>
      <w:r w:rsidR="002D5388" w:rsidRPr="00061A5F">
        <w:rPr>
          <w:rFonts w:ascii="Times New Roman" w:hAnsi="Times New Roman"/>
          <w:sz w:val="24"/>
          <w:szCs w:val="24"/>
        </w:rPr>
        <w:t xml:space="preserve">the degree of </w:t>
      </w:r>
      <w:r w:rsidR="00A665F7" w:rsidRPr="00061A5F">
        <w:rPr>
          <w:rFonts w:ascii="Times New Roman" w:hAnsi="Times New Roman"/>
          <w:sz w:val="24"/>
          <w:szCs w:val="24"/>
        </w:rPr>
        <w:t>central bank independ</w:t>
      </w:r>
      <w:r w:rsidR="001337A0" w:rsidRPr="00061A5F">
        <w:rPr>
          <w:rFonts w:ascii="Times New Roman" w:hAnsi="Times New Roman"/>
          <w:sz w:val="24"/>
          <w:szCs w:val="24"/>
        </w:rPr>
        <w:t>ence and GDP growth</w:t>
      </w:r>
      <w:r w:rsidR="00A665F7" w:rsidRPr="00061A5F">
        <w:rPr>
          <w:rFonts w:ascii="Times New Roman" w:hAnsi="Times New Roman"/>
          <w:sz w:val="24"/>
          <w:szCs w:val="24"/>
        </w:rPr>
        <w:t xml:space="preserve">. A further important limitation is that </w:t>
      </w:r>
      <w:r w:rsidR="00E63336" w:rsidRPr="00061A5F">
        <w:rPr>
          <w:rFonts w:ascii="Times New Roman" w:hAnsi="Times New Roman"/>
          <w:sz w:val="24"/>
          <w:szCs w:val="24"/>
        </w:rPr>
        <w:t xml:space="preserve">the </w:t>
      </w:r>
      <w:r w:rsidR="00A665F7" w:rsidRPr="00061A5F">
        <w:rPr>
          <w:rFonts w:ascii="Times New Roman" w:hAnsi="Times New Roman"/>
          <w:sz w:val="24"/>
          <w:szCs w:val="24"/>
        </w:rPr>
        <w:t>potential endogeneity of the regime choice is not controlled</w:t>
      </w:r>
      <w:r w:rsidR="00550D1A" w:rsidRPr="00061A5F">
        <w:rPr>
          <w:rFonts w:ascii="Times New Roman" w:hAnsi="Times New Roman"/>
          <w:sz w:val="24"/>
          <w:szCs w:val="24"/>
        </w:rPr>
        <w:t>.</w:t>
      </w:r>
      <w:r w:rsidR="00A665F7" w:rsidRPr="00061A5F">
        <w:rPr>
          <w:rFonts w:ascii="Times New Roman" w:hAnsi="Times New Roman"/>
          <w:sz w:val="24"/>
          <w:szCs w:val="24"/>
        </w:rPr>
        <w:t xml:space="preserve"> Moreover, the observed period after the adoption of CBA is quite short (being only a year for some countries, such as Bulgaria)</w:t>
      </w:r>
      <w:r w:rsidR="00550D1A" w:rsidRPr="00061A5F">
        <w:rPr>
          <w:rFonts w:ascii="Times New Roman" w:hAnsi="Times New Roman"/>
          <w:sz w:val="24"/>
          <w:szCs w:val="24"/>
        </w:rPr>
        <w:t xml:space="preserve"> an</w:t>
      </w:r>
      <w:r w:rsidR="002D5388" w:rsidRPr="00061A5F">
        <w:rPr>
          <w:rFonts w:ascii="Times New Roman" w:hAnsi="Times New Roman"/>
          <w:sz w:val="24"/>
          <w:szCs w:val="24"/>
        </w:rPr>
        <w:t xml:space="preserve">d </w:t>
      </w:r>
      <w:r w:rsidR="00A665F7" w:rsidRPr="00061A5F">
        <w:rPr>
          <w:rFonts w:ascii="Times New Roman" w:hAnsi="Times New Roman"/>
          <w:sz w:val="24"/>
          <w:szCs w:val="24"/>
        </w:rPr>
        <w:t xml:space="preserve">Bosnia and Herzegovina </w:t>
      </w:r>
      <w:proofErr w:type="gramStart"/>
      <w:r w:rsidR="00A665F7" w:rsidRPr="00061A5F">
        <w:rPr>
          <w:rFonts w:ascii="Times New Roman" w:hAnsi="Times New Roman"/>
          <w:sz w:val="24"/>
          <w:szCs w:val="24"/>
        </w:rPr>
        <w:t>is</w:t>
      </w:r>
      <w:proofErr w:type="gramEnd"/>
      <w:r w:rsidR="00A665F7" w:rsidRPr="00061A5F">
        <w:rPr>
          <w:rFonts w:ascii="Times New Roman" w:hAnsi="Times New Roman"/>
          <w:sz w:val="24"/>
          <w:szCs w:val="24"/>
        </w:rPr>
        <w:t xml:space="preserve"> not included in the sample, due to unavailability of data. Finally, diagnostic tests of the empirical analysis are not reported</w:t>
      </w:r>
      <w:r w:rsidR="001337A0" w:rsidRPr="00061A5F">
        <w:rPr>
          <w:rFonts w:ascii="Times New Roman" w:hAnsi="Times New Roman"/>
          <w:sz w:val="24"/>
          <w:szCs w:val="24"/>
        </w:rPr>
        <w:t xml:space="preserve"> and the author does not control for dynamics</w:t>
      </w:r>
      <w:r w:rsidR="00A665F7" w:rsidRPr="00061A5F">
        <w:rPr>
          <w:rFonts w:ascii="Times New Roman" w:hAnsi="Times New Roman"/>
          <w:sz w:val="24"/>
          <w:szCs w:val="24"/>
        </w:rPr>
        <w:t xml:space="preserve">. </w:t>
      </w:r>
    </w:p>
    <w:p w14:paraId="4A5E5E56" w14:textId="77777777" w:rsidR="00A665F7" w:rsidRPr="00061A5F" w:rsidRDefault="00A665F7" w:rsidP="007F5D0E">
      <w:pPr>
        <w:spacing w:line="276" w:lineRule="auto"/>
        <w:jc w:val="both"/>
        <w:rPr>
          <w:rFonts w:ascii="Times New Roman" w:hAnsi="Times New Roman"/>
          <w:sz w:val="24"/>
          <w:szCs w:val="24"/>
          <w:lang w:eastAsia="bs-Latn-BA"/>
        </w:rPr>
      </w:pPr>
    </w:p>
    <w:p w14:paraId="2155E2DC" w14:textId="455D1B4A" w:rsidR="00A665F7" w:rsidRPr="00061A5F" w:rsidRDefault="00A665F7" w:rsidP="007F5D0E">
      <w:pPr>
        <w:spacing w:line="276" w:lineRule="auto"/>
        <w:jc w:val="both"/>
        <w:rPr>
          <w:rFonts w:ascii="Times New Roman" w:hAnsi="Times New Roman"/>
          <w:sz w:val="24"/>
          <w:szCs w:val="24"/>
        </w:rPr>
      </w:pPr>
      <w:r w:rsidRPr="00061A5F">
        <w:rPr>
          <w:rFonts w:ascii="Times New Roman" w:hAnsi="Times New Roman"/>
          <w:sz w:val="24"/>
          <w:szCs w:val="24"/>
          <w:lang w:eastAsia="bs-Latn-BA"/>
        </w:rPr>
        <w:t xml:space="preserve">Ghosh et al. (1998) </w:t>
      </w:r>
      <w:r w:rsidR="0027644C" w:rsidRPr="00061A5F">
        <w:rPr>
          <w:rFonts w:ascii="Times New Roman" w:hAnsi="Times New Roman"/>
          <w:sz w:val="24"/>
          <w:szCs w:val="24"/>
          <w:lang w:eastAsia="bs-Latn-BA"/>
        </w:rPr>
        <w:t xml:space="preserve">analyse the effect of </w:t>
      </w:r>
      <w:r w:rsidR="00F54139" w:rsidRPr="00061A5F">
        <w:rPr>
          <w:rFonts w:ascii="Times New Roman" w:hAnsi="Times New Roman"/>
          <w:sz w:val="24"/>
          <w:szCs w:val="24"/>
          <w:lang w:eastAsia="bs-Latn-BA"/>
        </w:rPr>
        <w:t xml:space="preserve">different </w:t>
      </w:r>
      <w:r w:rsidR="0027644C" w:rsidRPr="00061A5F">
        <w:rPr>
          <w:rFonts w:ascii="Times New Roman" w:hAnsi="Times New Roman"/>
          <w:sz w:val="24"/>
          <w:szCs w:val="24"/>
          <w:lang w:eastAsia="bs-Latn-BA"/>
        </w:rPr>
        <w:t>ERR</w:t>
      </w:r>
      <w:r w:rsidR="00D2022D" w:rsidRPr="00061A5F">
        <w:rPr>
          <w:rFonts w:ascii="Times New Roman" w:hAnsi="Times New Roman"/>
          <w:sz w:val="24"/>
          <w:szCs w:val="24"/>
          <w:lang w:eastAsia="bs-Latn-BA"/>
        </w:rPr>
        <w:t>s</w:t>
      </w:r>
      <w:r w:rsidR="0027644C" w:rsidRPr="00061A5F">
        <w:rPr>
          <w:rFonts w:ascii="Times New Roman" w:hAnsi="Times New Roman"/>
          <w:sz w:val="24"/>
          <w:szCs w:val="24"/>
          <w:lang w:eastAsia="bs-Latn-BA"/>
        </w:rPr>
        <w:t xml:space="preserve"> on inflation in all IMF member countries for </w:t>
      </w:r>
      <w:r w:rsidR="002D5388" w:rsidRPr="00061A5F">
        <w:rPr>
          <w:rFonts w:ascii="Times New Roman" w:hAnsi="Times New Roman"/>
          <w:sz w:val="24"/>
          <w:szCs w:val="24"/>
          <w:lang w:eastAsia="bs-Latn-BA"/>
        </w:rPr>
        <w:t>the</w:t>
      </w:r>
      <w:r w:rsidR="00F11C87" w:rsidRPr="00061A5F">
        <w:rPr>
          <w:rFonts w:ascii="Times New Roman" w:hAnsi="Times New Roman"/>
          <w:sz w:val="24"/>
          <w:szCs w:val="24"/>
          <w:lang w:eastAsia="bs-Latn-BA"/>
        </w:rPr>
        <w:t xml:space="preserve"> </w:t>
      </w:r>
      <w:r w:rsidR="0027644C" w:rsidRPr="00061A5F">
        <w:rPr>
          <w:rFonts w:ascii="Times New Roman" w:hAnsi="Times New Roman"/>
          <w:sz w:val="24"/>
          <w:szCs w:val="24"/>
          <w:lang w:eastAsia="bs-Latn-BA"/>
        </w:rPr>
        <w:t xml:space="preserve">period 1970-1996. They </w:t>
      </w:r>
      <w:r w:rsidRPr="00061A5F">
        <w:rPr>
          <w:rFonts w:ascii="Times New Roman" w:hAnsi="Times New Roman"/>
          <w:sz w:val="24"/>
          <w:szCs w:val="24"/>
          <w:lang w:eastAsia="bs-Latn-BA"/>
        </w:rPr>
        <w:t>include money supply growth, openness</w:t>
      </w:r>
      <w:r w:rsidR="002E145B" w:rsidRPr="00061A5F">
        <w:rPr>
          <w:rFonts w:ascii="Times New Roman" w:hAnsi="Times New Roman"/>
          <w:sz w:val="24"/>
          <w:szCs w:val="24"/>
          <w:lang w:eastAsia="bs-Latn-BA"/>
        </w:rPr>
        <w:t>,</w:t>
      </w:r>
      <w:r w:rsidRPr="00061A5F">
        <w:rPr>
          <w:rFonts w:ascii="Times New Roman" w:hAnsi="Times New Roman"/>
          <w:sz w:val="24"/>
          <w:szCs w:val="24"/>
          <w:lang w:eastAsia="bs-Latn-BA"/>
        </w:rPr>
        <w:t xml:space="preserve"> GDP growth and a measure of </w:t>
      </w:r>
      <w:r w:rsidR="002E145B" w:rsidRPr="00061A5F">
        <w:rPr>
          <w:rFonts w:ascii="Times New Roman" w:hAnsi="Times New Roman"/>
          <w:sz w:val="24"/>
          <w:szCs w:val="24"/>
          <w:lang w:eastAsia="bs-Latn-BA"/>
        </w:rPr>
        <w:t xml:space="preserve">the </w:t>
      </w:r>
      <w:r w:rsidRPr="00061A5F">
        <w:rPr>
          <w:rFonts w:ascii="Times New Roman" w:hAnsi="Times New Roman"/>
          <w:sz w:val="24"/>
          <w:szCs w:val="24"/>
          <w:lang w:eastAsia="bs-Latn-BA"/>
        </w:rPr>
        <w:t xml:space="preserve">central bank’s independence in the inflation regression as controls. Additionally, annual dummies are added to control for global inflation shocks. Since </w:t>
      </w:r>
      <w:r w:rsidR="002D5388" w:rsidRPr="00061A5F">
        <w:rPr>
          <w:rFonts w:ascii="Times New Roman" w:hAnsi="Times New Roman"/>
          <w:sz w:val="24"/>
          <w:szCs w:val="24"/>
          <w:lang w:eastAsia="bs-Latn-BA"/>
        </w:rPr>
        <w:t>they</w:t>
      </w:r>
      <w:r w:rsidRPr="00061A5F">
        <w:rPr>
          <w:rFonts w:ascii="Times New Roman" w:hAnsi="Times New Roman"/>
          <w:sz w:val="24"/>
          <w:szCs w:val="24"/>
          <w:lang w:eastAsia="bs-Latn-BA"/>
        </w:rPr>
        <w:t xml:space="preserve"> argue that countries prone to low inflation are more likely to adopt a CBA, Ghosh et al. treated the resulting potential endogeneity issue by </w:t>
      </w:r>
      <w:r w:rsidR="000C6357" w:rsidRPr="00061A5F">
        <w:rPr>
          <w:rFonts w:ascii="Times New Roman" w:hAnsi="Times New Roman"/>
          <w:sz w:val="24"/>
          <w:szCs w:val="24"/>
          <w:lang w:eastAsia="bs-Latn-BA"/>
        </w:rPr>
        <w:t xml:space="preserve">first </w:t>
      </w:r>
      <w:r w:rsidRPr="00061A5F">
        <w:rPr>
          <w:rFonts w:ascii="Times New Roman" w:hAnsi="Times New Roman"/>
          <w:sz w:val="24"/>
          <w:szCs w:val="24"/>
          <w:lang w:eastAsia="bs-Latn-BA"/>
        </w:rPr>
        <w:t xml:space="preserve">estimating a </w:t>
      </w:r>
      <w:proofErr w:type="spellStart"/>
      <w:r w:rsidRPr="00061A5F">
        <w:rPr>
          <w:rFonts w:ascii="Times New Roman" w:hAnsi="Times New Roman"/>
          <w:sz w:val="24"/>
          <w:szCs w:val="24"/>
          <w:lang w:eastAsia="bs-Latn-BA"/>
        </w:rPr>
        <w:t>probit</w:t>
      </w:r>
      <w:proofErr w:type="spellEnd"/>
      <w:r w:rsidRPr="00061A5F">
        <w:rPr>
          <w:rFonts w:ascii="Times New Roman" w:hAnsi="Times New Roman"/>
          <w:sz w:val="24"/>
          <w:szCs w:val="24"/>
          <w:lang w:eastAsia="bs-Latn-BA"/>
        </w:rPr>
        <w:t xml:space="preserve"> </w:t>
      </w:r>
      <w:r w:rsidR="000C6357" w:rsidRPr="00061A5F">
        <w:rPr>
          <w:rFonts w:ascii="Times New Roman" w:hAnsi="Times New Roman"/>
          <w:sz w:val="24"/>
          <w:szCs w:val="24"/>
          <w:lang w:eastAsia="bs-Latn-BA"/>
        </w:rPr>
        <w:t xml:space="preserve">model in a </w:t>
      </w:r>
      <w:r w:rsidR="008F2660" w:rsidRPr="00061A5F">
        <w:rPr>
          <w:rFonts w:ascii="Times New Roman" w:hAnsi="Times New Roman"/>
          <w:sz w:val="24"/>
          <w:szCs w:val="24"/>
          <w:lang w:eastAsia="bs-Latn-BA"/>
        </w:rPr>
        <w:t>two-stage procedure</w:t>
      </w:r>
      <w:r w:rsidRPr="00061A5F">
        <w:rPr>
          <w:rFonts w:ascii="Times New Roman" w:hAnsi="Times New Roman"/>
          <w:sz w:val="24"/>
          <w:szCs w:val="24"/>
          <w:lang w:eastAsia="bs-Latn-BA"/>
        </w:rPr>
        <w:t xml:space="preserve"> using the fitted values as instruments. Their results suggest that the average inflation rate under a CBA </w:t>
      </w:r>
      <w:r w:rsidR="00743B9C" w:rsidRPr="00061A5F">
        <w:rPr>
          <w:rFonts w:ascii="Times New Roman" w:hAnsi="Times New Roman"/>
          <w:sz w:val="24"/>
          <w:szCs w:val="24"/>
          <w:lang w:eastAsia="bs-Latn-BA"/>
        </w:rPr>
        <w:t>wa</w:t>
      </w:r>
      <w:r w:rsidRPr="00061A5F">
        <w:rPr>
          <w:rFonts w:ascii="Times New Roman" w:hAnsi="Times New Roman"/>
          <w:sz w:val="24"/>
          <w:szCs w:val="24"/>
          <w:lang w:eastAsia="bs-Latn-BA"/>
        </w:rPr>
        <w:t>s about 4 percentage point</w:t>
      </w:r>
      <w:r w:rsidR="00CB3356" w:rsidRPr="00061A5F">
        <w:rPr>
          <w:rFonts w:ascii="Times New Roman" w:hAnsi="Times New Roman"/>
          <w:sz w:val="24"/>
          <w:szCs w:val="24"/>
          <w:lang w:eastAsia="bs-Latn-BA"/>
        </w:rPr>
        <w:t>s</w:t>
      </w:r>
      <w:r w:rsidRPr="00061A5F">
        <w:rPr>
          <w:rFonts w:ascii="Times New Roman" w:hAnsi="Times New Roman"/>
          <w:sz w:val="24"/>
          <w:szCs w:val="24"/>
          <w:lang w:eastAsia="bs-Latn-BA"/>
        </w:rPr>
        <w:t xml:space="preserve"> lower than </w:t>
      </w:r>
      <w:r w:rsidR="002E145B" w:rsidRPr="00061A5F">
        <w:rPr>
          <w:rFonts w:ascii="Times New Roman" w:hAnsi="Times New Roman"/>
          <w:sz w:val="24"/>
          <w:szCs w:val="24"/>
          <w:lang w:eastAsia="bs-Latn-BA"/>
        </w:rPr>
        <w:t xml:space="preserve">the </w:t>
      </w:r>
      <w:r w:rsidRPr="00061A5F">
        <w:rPr>
          <w:rFonts w:ascii="Times New Roman" w:hAnsi="Times New Roman"/>
          <w:sz w:val="24"/>
          <w:szCs w:val="24"/>
          <w:lang w:eastAsia="bs-Latn-BA"/>
        </w:rPr>
        <w:t xml:space="preserve">inflation rate in other pegged exchange rate countries. </w:t>
      </w:r>
      <w:r w:rsidRPr="00061A5F">
        <w:rPr>
          <w:rFonts w:ascii="Times New Roman" w:hAnsi="Times New Roman"/>
          <w:sz w:val="24"/>
          <w:szCs w:val="24"/>
        </w:rPr>
        <w:t xml:space="preserve">However, there are </w:t>
      </w:r>
      <w:r w:rsidR="00743B9C" w:rsidRPr="00061A5F">
        <w:rPr>
          <w:rFonts w:ascii="Times New Roman" w:hAnsi="Times New Roman"/>
          <w:sz w:val="24"/>
          <w:szCs w:val="24"/>
        </w:rPr>
        <w:t xml:space="preserve">a </w:t>
      </w:r>
      <w:r w:rsidRPr="00061A5F">
        <w:rPr>
          <w:rFonts w:ascii="Times New Roman" w:hAnsi="Times New Roman"/>
          <w:sz w:val="24"/>
          <w:szCs w:val="24"/>
        </w:rPr>
        <w:t>few limitat</w:t>
      </w:r>
      <w:r w:rsidR="001337A0" w:rsidRPr="00061A5F">
        <w:rPr>
          <w:rFonts w:ascii="Times New Roman" w:hAnsi="Times New Roman"/>
          <w:sz w:val="24"/>
          <w:szCs w:val="24"/>
        </w:rPr>
        <w:t>ions of this study. Firstly, they fail to control for</w:t>
      </w:r>
      <w:r w:rsidRPr="00061A5F">
        <w:rPr>
          <w:rFonts w:ascii="Times New Roman" w:hAnsi="Times New Roman"/>
          <w:sz w:val="24"/>
          <w:szCs w:val="24"/>
        </w:rPr>
        <w:t xml:space="preserve"> country</w:t>
      </w:r>
      <w:r w:rsidR="002E145B" w:rsidRPr="00061A5F">
        <w:rPr>
          <w:rFonts w:ascii="Times New Roman" w:hAnsi="Times New Roman"/>
          <w:sz w:val="24"/>
          <w:szCs w:val="24"/>
        </w:rPr>
        <w:t>-</w:t>
      </w:r>
      <w:r w:rsidRPr="00061A5F">
        <w:rPr>
          <w:rFonts w:ascii="Times New Roman" w:hAnsi="Times New Roman"/>
          <w:sz w:val="24"/>
          <w:szCs w:val="24"/>
        </w:rPr>
        <w:t>spec</w:t>
      </w:r>
      <w:r w:rsidR="001337A0" w:rsidRPr="00061A5F">
        <w:rPr>
          <w:rFonts w:ascii="Times New Roman" w:hAnsi="Times New Roman"/>
          <w:sz w:val="24"/>
          <w:szCs w:val="24"/>
        </w:rPr>
        <w:t>ific</w:t>
      </w:r>
      <w:r w:rsidR="002E145B" w:rsidRPr="00061A5F">
        <w:rPr>
          <w:rFonts w:ascii="Times New Roman" w:hAnsi="Times New Roman"/>
          <w:sz w:val="24"/>
          <w:szCs w:val="24"/>
        </w:rPr>
        <w:t xml:space="preserve"> factors</w:t>
      </w:r>
      <w:r w:rsidRPr="00061A5F">
        <w:rPr>
          <w:rFonts w:ascii="Times New Roman" w:hAnsi="Times New Roman"/>
          <w:sz w:val="24"/>
          <w:szCs w:val="24"/>
        </w:rPr>
        <w:t xml:space="preserve">. Secondly, since </w:t>
      </w:r>
      <w:r w:rsidR="00743B9C" w:rsidRPr="00061A5F">
        <w:rPr>
          <w:rFonts w:ascii="Times New Roman" w:hAnsi="Times New Roman"/>
          <w:sz w:val="24"/>
          <w:szCs w:val="24"/>
        </w:rPr>
        <w:t xml:space="preserve">the period they covered in their analysis does not include any significant economic disruptions, </w:t>
      </w:r>
      <w:r w:rsidRPr="00061A5F">
        <w:rPr>
          <w:rFonts w:ascii="Times New Roman" w:hAnsi="Times New Roman"/>
          <w:sz w:val="24"/>
          <w:szCs w:val="24"/>
        </w:rPr>
        <w:t>the auth</w:t>
      </w:r>
      <w:r w:rsidR="001337A0" w:rsidRPr="00061A5F">
        <w:rPr>
          <w:rFonts w:ascii="Times New Roman" w:hAnsi="Times New Roman"/>
          <w:sz w:val="24"/>
          <w:szCs w:val="24"/>
        </w:rPr>
        <w:t>ors a</w:t>
      </w:r>
      <w:r w:rsidR="00743B9C" w:rsidRPr="00061A5F">
        <w:rPr>
          <w:rFonts w:ascii="Times New Roman" w:hAnsi="Times New Roman"/>
          <w:sz w:val="24"/>
          <w:szCs w:val="24"/>
        </w:rPr>
        <w:t>cknowledge</w:t>
      </w:r>
      <w:r w:rsidR="001337A0" w:rsidRPr="00061A5F">
        <w:rPr>
          <w:rFonts w:ascii="Times New Roman" w:hAnsi="Times New Roman"/>
          <w:sz w:val="24"/>
          <w:szCs w:val="24"/>
        </w:rPr>
        <w:t xml:space="preserve"> that </w:t>
      </w:r>
      <w:r w:rsidRPr="00061A5F">
        <w:rPr>
          <w:rFonts w:ascii="Times New Roman" w:hAnsi="Times New Roman"/>
          <w:sz w:val="24"/>
          <w:szCs w:val="24"/>
        </w:rPr>
        <w:t xml:space="preserve">currency board arrangements may </w:t>
      </w:r>
      <w:r w:rsidR="00743B9C" w:rsidRPr="00061A5F">
        <w:rPr>
          <w:rFonts w:ascii="Times New Roman" w:hAnsi="Times New Roman"/>
          <w:sz w:val="24"/>
          <w:szCs w:val="24"/>
        </w:rPr>
        <w:t xml:space="preserve">perform </w:t>
      </w:r>
      <w:r w:rsidRPr="00061A5F">
        <w:rPr>
          <w:rFonts w:ascii="Times New Roman" w:hAnsi="Times New Roman"/>
          <w:sz w:val="24"/>
          <w:szCs w:val="24"/>
        </w:rPr>
        <w:t xml:space="preserve">better </w:t>
      </w:r>
      <w:r w:rsidR="001337A0" w:rsidRPr="00061A5F">
        <w:rPr>
          <w:rFonts w:ascii="Times New Roman" w:hAnsi="Times New Roman"/>
          <w:sz w:val="24"/>
          <w:szCs w:val="24"/>
        </w:rPr>
        <w:t xml:space="preserve">than they </w:t>
      </w:r>
      <w:r w:rsidR="00743B9C" w:rsidRPr="00061A5F">
        <w:rPr>
          <w:rFonts w:ascii="Times New Roman" w:hAnsi="Times New Roman"/>
          <w:sz w:val="24"/>
          <w:szCs w:val="24"/>
        </w:rPr>
        <w:t>would in a more unstable period. Moreover,</w:t>
      </w:r>
      <w:r w:rsidRPr="00061A5F">
        <w:rPr>
          <w:rFonts w:ascii="Times New Roman" w:hAnsi="Times New Roman"/>
          <w:sz w:val="24"/>
          <w:szCs w:val="24"/>
        </w:rPr>
        <w:t xml:space="preserve"> their sample contains a relatively small number of CBA countries and only a short period after the introduction of most CBAs. Finally, these authors do not report diagnostic tests. A similar group of authors (Ghosh et al., 2000) conducted a similar analysis, extended for </w:t>
      </w:r>
      <w:r w:rsidR="00CB3356" w:rsidRPr="00061A5F">
        <w:rPr>
          <w:rFonts w:ascii="Times New Roman" w:hAnsi="Times New Roman"/>
          <w:sz w:val="24"/>
          <w:szCs w:val="24"/>
        </w:rPr>
        <w:t xml:space="preserve">a </w:t>
      </w:r>
      <w:r w:rsidRPr="00061A5F">
        <w:rPr>
          <w:rFonts w:ascii="Times New Roman" w:hAnsi="Times New Roman"/>
          <w:sz w:val="24"/>
          <w:szCs w:val="24"/>
        </w:rPr>
        <w:t xml:space="preserve">robustness check, in which the fiscal balance, nominal exchange rate variability, institutional quality index </w:t>
      </w:r>
      <w:proofErr w:type="gramStart"/>
      <w:r w:rsidR="00F22895" w:rsidRPr="00061A5F">
        <w:rPr>
          <w:rFonts w:ascii="Times New Roman" w:hAnsi="Times New Roman"/>
          <w:sz w:val="24"/>
          <w:szCs w:val="24"/>
        </w:rPr>
        <w:t>we</w:t>
      </w:r>
      <w:r w:rsidRPr="00061A5F">
        <w:rPr>
          <w:rFonts w:ascii="Times New Roman" w:hAnsi="Times New Roman"/>
          <w:sz w:val="24"/>
          <w:szCs w:val="24"/>
        </w:rPr>
        <w:t>re</w:t>
      </w:r>
      <w:proofErr w:type="gramEnd"/>
      <w:r w:rsidRPr="00061A5F">
        <w:rPr>
          <w:rFonts w:ascii="Times New Roman" w:hAnsi="Times New Roman"/>
          <w:sz w:val="24"/>
          <w:szCs w:val="24"/>
        </w:rPr>
        <w:t xml:space="preserve"> included in the inflation regression. These additional controls did not alter the negative relationship and significance of </w:t>
      </w:r>
      <w:r w:rsidR="00DA4E92" w:rsidRPr="00061A5F">
        <w:rPr>
          <w:rFonts w:ascii="Times New Roman" w:hAnsi="Times New Roman"/>
          <w:sz w:val="24"/>
          <w:szCs w:val="24"/>
        </w:rPr>
        <w:t xml:space="preserve">the </w:t>
      </w:r>
      <w:r w:rsidRPr="00061A5F">
        <w:rPr>
          <w:rFonts w:ascii="Times New Roman" w:hAnsi="Times New Roman"/>
          <w:sz w:val="24"/>
          <w:szCs w:val="24"/>
        </w:rPr>
        <w:t xml:space="preserve">CBA’s effect on inflation. </w:t>
      </w:r>
    </w:p>
    <w:p w14:paraId="76ECCEB0" w14:textId="77777777" w:rsidR="00A665F7" w:rsidRPr="00061A5F" w:rsidRDefault="00A665F7" w:rsidP="007F5D0E">
      <w:pPr>
        <w:spacing w:line="276" w:lineRule="auto"/>
        <w:jc w:val="both"/>
        <w:rPr>
          <w:rFonts w:ascii="Times New Roman" w:hAnsi="Times New Roman"/>
          <w:sz w:val="24"/>
          <w:szCs w:val="24"/>
        </w:rPr>
      </w:pPr>
    </w:p>
    <w:p w14:paraId="75C21BB0" w14:textId="541F34C4" w:rsidR="00A665F7" w:rsidRPr="00061A5F" w:rsidRDefault="0027644C" w:rsidP="007F5D0E">
      <w:pPr>
        <w:spacing w:line="276" w:lineRule="auto"/>
        <w:jc w:val="both"/>
        <w:rPr>
          <w:rFonts w:ascii="Times New Roman" w:hAnsi="Times New Roman"/>
          <w:sz w:val="24"/>
          <w:szCs w:val="24"/>
        </w:rPr>
      </w:pPr>
      <w:r w:rsidRPr="00061A5F">
        <w:rPr>
          <w:rFonts w:ascii="Times New Roman" w:hAnsi="Times New Roman"/>
          <w:sz w:val="24"/>
          <w:szCs w:val="24"/>
        </w:rPr>
        <w:t xml:space="preserve">Besides the controls that were used in Gosh et al. (2000), </w:t>
      </w:r>
      <w:r w:rsidR="00A665F7" w:rsidRPr="00061A5F">
        <w:rPr>
          <w:rFonts w:ascii="Times New Roman" w:hAnsi="Times New Roman"/>
          <w:sz w:val="24"/>
          <w:szCs w:val="24"/>
        </w:rPr>
        <w:t>Wolf et al.</w:t>
      </w:r>
      <w:r w:rsidR="002E145B" w:rsidRPr="00061A5F">
        <w:rPr>
          <w:rFonts w:ascii="Times New Roman" w:hAnsi="Times New Roman"/>
          <w:sz w:val="24"/>
          <w:szCs w:val="24"/>
        </w:rPr>
        <w:t>’s</w:t>
      </w:r>
      <w:r w:rsidR="00A665F7" w:rsidRPr="00061A5F">
        <w:rPr>
          <w:rFonts w:ascii="Times New Roman" w:hAnsi="Times New Roman"/>
          <w:sz w:val="24"/>
          <w:szCs w:val="24"/>
        </w:rPr>
        <w:t xml:space="preserve"> (2008) inflation equation includes a ‘central bank’s governor turnover’ variable</w:t>
      </w:r>
      <w:r w:rsidR="00CB3356" w:rsidRPr="00061A5F">
        <w:rPr>
          <w:rFonts w:ascii="Times New Roman" w:hAnsi="Times New Roman"/>
          <w:sz w:val="24"/>
          <w:szCs w:val="24"/>
        </w:rPr>
        <w:t>,</w:t>
      </w:r>
      <w:r w:rsidR="00A665F7" w:rsidRPr="00061A5F">
        <w:rPr>
          <w:rFonts w:ascii="Times New Roman" w:hAnsi="Times New Roman"/>
          <w:sz w:val="24"/>
          <w:szCs w:val="24"/>
        </w:rPr>
        <w:t xml:space="preserve"> which is a </w:t>
      </w:r>
      <w:r w:rsidR="00743B9C" w:rsidRPr="00061A5F">
        <w:rPr>
          <w:rFonts w:ascii="Times New Roman" w:hAnsi="Times New Roman"/>
          <w:sz w:val="24"/>
          <w:szCs w:val="24"/>
        </w:rPr>
        <w:t xml:space="preserve">further </w:t>
      </w:r>
      <w:r w:rsidR="00A665F7" w:rsidRPr="00061A5F">
        <w:rPr>
          <w:rFonts w:ascii="Times New Roman" w:hAnsi="Times New Roman"/>
          <w:sz w:val="24"/>
          <w:szCs w:val="24"/>
        </w:rPr>
        <w:t>proxy for central bank independence</w:t>
      </w:r>
      <w:r w:rsidR="00743B9C" w:rsidRPr="00061A5F">
        <w:rPr>
          <w:rFonts w:ascii="Times New Roman" w:hAnsi="Times New Roman"/>
          <w:sz w:val="24"/>
          <w:szCs w:val="24"/>
        </w:rPr>
        <w:t xml:space="preserve"> and</w:t>
      </w:r>
      <w:r w:rsidR="00A665F7" w:rsidRPr="00061A5F">
        <w:rPr>
          <w:rFonts w:ascii="Times New Roman" w:hAnsi="Times New Roman"/>
          <w:sz w:val="24"/>
          <w:szCs w:val="24"/>
        </w:rPr>
        <w:t xml:space="preserve"> terms of trade shocks. GDP growth, money growth rate and fiscal balance are inst</w:t>
      </w:r>
      <w:r w:rsidR="006C2D06" w:rsidRPr="00061A5F">
        <w:rPr>
          <w:rFonts w:ascii="Times New Roman" w:hAnsi="Times New Roman"/>
          <w:sz w:val="24"/>
          <w:szCs w:val="24"/>
        </w:rPr>
        <w:t xml:space="preserve">rumented by their lagged values, </w:t>
      </w:r>
      <w:r w:rsidR="00A665F7" w:rsidRPr="00061A5F">
        <w:rPr>
          <w:rFonts w:ascii="Times New Roman" w:hAnsi="Times New Roman"/>
          <w:sz w:val="24"/>
          <w:szCs w:val="24"/>
        </w:rPr>
        <w:t xml:space="preserve">to control for their potential endogeneity. The results again indicate that, on average, the CBA countries had lower inflation than countries with other pegged or flexible ERRs. The results are robust after excluding the first few years following the adoption (to control for the potential “contamination”), inclusion of fixed effects and accounting for the possible endogeneity of the regime choice. Additionally, Wolf et al. </w:t>
      </w:r>
      <w:r w:rsidR="000870E1" w:rsidRPr="00061A5F">
        <w:rPr>
          <w:rFonts w:ascii="Times New Roman" w:hAnsi="Times New Roman"/>
          <w:sz w:val="24"/>
          <w:szCs w:val="24"/>
        </w:rPr>
        <w:t xml:space="preserve">(2008) </w:t>
      </w:r>
      <w:r w:rsidR="00A665F7" w:rsidRPr="00061A5F">
        <w:rPr>
          <w:rFonts w:ascii="Times New Roman" w:hAnsi="Times New Roman"/>
          <w:sz w:val="24"/>
          <w:szCs w:val="24"/>
        </w:rPr>
        <w:t xml:space="preserve">tested the success (defined as the ability to maintain inflation below its pre-stabilisation </w:t>
      </w:r>
      <w:r w:rsidR="00CB3356" w:rsidRPr="00061A5F">
        <w:rPr>
          <w:rFonts w:ascii="Times New Roman" w:hAnsi="Times New Roman"/>
          <w:sz w:val="24"/>
          <w:szCs w:val="24"/>
        </w:rPr>
        <w:t xml:space="preserve">rate </w:t>
      </w:r>
      <w:r w:rsidR="00A665F7" w:rsidRPr="00061A5F">
        <w:rPr>
          <w:rFonts w:ascii="Times New Roman" w:hAnsi="Times New Roman"/>
          <w:sz w:val="24"/>
          <w:szCs w:val="24"/>
        </w:rPr>
        <w:t xml:space="preserve">after three years) and durability (defined as the ability to maintain inflation below its initial post-stabilisation </w:t>
      </w:r>
      <w:r w:rsidR="00CB3356" w:rsidRPr="00061A5F">
        <w:rPr>
          <w:rFonts w:ascii="Times New Roman" w:hAnsi="Times New Roman"/>
          <w:sz w:val="24"/>
          <w:szCs w:val="24"/>
        </w:rPr>
        <w:t xml:space="preserve">rate </w:t>
      </w:r>
      <w:r w:rsidR="00A665F7" w:rsidRPr="00061A5F">
        <w:rPr>
          <w:rFonts w:ascii="Times New Roman" w:hAnsi="Times New Roman"/>
          <w:sz w:val="24"/>
          <w:szCs w:val="24"/>
        </w:rPr>
        <w:t xml:space="preserve">after three years) of </w:t>
      </w:r>
      <w:r w:rsidR="002E145B" w:rsidRPr="00061A5F">
        <w:rPr>
          <w:rFonts w:ascii="Times New Roman" w:hAnsi="Times New Roman"/>
          <w:sz w:val="24"/>
          <w:szCs w:val="24"/>
        </w:rPr>
        <w:t xml:space="preserve">the </w:t>
      </w:r>
      <w:r w:rsidR="00A665F7" w:rsidRPr="00061A5F">
        <w:rPr>
          <w:rFonts w:ascii="Times New Roman" w:hAnsi="Times New Roman"/>
          <w:sz w:val="24"/>
          <w:szCs w:val="24"/>
        </w:rPr>
        <w:t xml:space="preserve">positive effects of CBA on inflation performance </w:t>
      </w:r>
      <w:r w:rsidR="00A665F7" w:rsidRPr="00061A5F">
        <w:rPr>
          <w:rFonts w:ascii="Times New Roman" w:hAnsi="Times New Roman"/>
          <w:sz w:val="24"/>
          <w:szCs w:val="24"/>
        </w:rPr>
        <w:lastRenderedPageBreak/>
        <w:t xml:space="preserve">compared to other ERRs. They found that the levels of “success” and “durability” were considerably higher for CBA countries than countries with other ERRs. They also estimated that CBAs have been more successful in lowering inflation in countries that started with high inflation. </w:t>
      </w:r>
    </w:p>
    <w:p w14:paraId="32AD228E" w14:textId="77777777" w:rsidR="00A665F7" w:rsidRPr="00061A5F" w:rsidRDefault="00A665F7" w:rsidP="007F5D0E">
      <w:pPr>
        <w:spacing w:line="276" w:lineRule="auto"/>
        <w:jc w:val="both"/>
        <w:rPr>
          <w:rFonts w:ascii="Times New Roman" w:hAnsi="Times New Roman"/>
          <w:sz w:val="24"/>
          <w:szCs w:val="24"/>
        </w:rPr>
      </w:pPr>
    </w:p>
    <w:p w14:paraId="37135F8D" w14:textId="3CA63206" w:rsidR="00A665F7" w:rsidRPr="00061A5F" w:rsidRDefault="00A665F7" w:rsidP="007F5D0E">
      <w:pPr>
        <w:spacing w:line="276" w:lineRule="auto"/>
        <w:jc w:val="both"/>
        <w:rPr>
          <w:rFonts w:ascii="Times New Roman" w:hAnsi="Times New Roman"/>
          <w:color w:val="000000" w:themeColor="text1"/>
          <w:sz w:val="24"/>
          <w:szCs w:val="24"/>
        </w:rPr>
      </w:pPr>
      <w:r w:rsidRPr="00061A5F">
        <w:rPr>
          <w:rFonts w:ascii="Times New Roman" w:hAnsi="Times New Roman"/>
          <w:sz w:val="24"/>
          <w:szCs w:val="24"/>
        </w:rPr>
        <w:t xml:space="preserve">The </w:t>
      </w:r>
      <w:r w:rsidR="002E145B" w:rsidRPr="00061A5F">
        <w:rPr>
          <w:rFonts w:ascii="Times New Roman" w:hAnsi="Times New Roman"/>
          <w:sz w:val="24"/>
          <w:szCs w:val="24"/>
        </w:rPr>
        <w:t>previous</w:t>
      </w:r>
      <w:r w:rsidRPr="00061A5F">
        <w:rPr>
          <w:rFonts w:ascii="Times New Roman" w:hAnsi="Times New Roman"/>
          <w:sz w:val="24"/>
          <w:szCs w:val="24"/>
        </w:rPr>
        <w:t xml:space="preserve"> three studies did not note what type of ERR classification (</w:t>
      </w:r>
      <w:r w:rsidRPr="00061A5F">
        <w:rPr>
          <w:rFonts w:ascii="Times New Roman" w:hAnsi="Times New Roman"/>
          <w:i/>
          <w:sz w:val="24"/>
          <w:szCs w:val="24"/>
        </w:rPr>
        <w:t>de jure</w:t>
      </w:r>
      <w:r w:rsidRPr="00061A5F">
        <w:rPr>
          <w:rFonts w:ascii="Times New Roman" w:hAnsi="Times New Roman"/>
          <w:sz w:val="24"/>
          <w:szCs w:val="24"/>
        </w:rPr>
        <w:t xml:space="preserve"> or </w:t>
      </w:r>
      <w:r w:rsidRPr="00061A5F">
        <w:rPr>
          <w:rFonts w:ascii="Times New Roman" w:hAnsi="Times New Roman"/>
          <w:i/>
          <w:sz w:val="24"/>
          <w:szCs w:val="24"/>
        </w:rPr>
        <w:t>de facto</w:t>
      </w:r>
      <w:r w:rsidRPr="00061A5F">
        <w:rPr>
          <w:rFonts w:ascii="Times New Roman" w:hAnsi="Times New Roman"/>
          <w:sz w:val="24"/>
          <w:szCs w:val="24"/>
        </w:rPr>
        <w:t xml:space="preserve">) they </w:t>
      </w:r>
      <w:r w:rsidR="002E145B" w:rsidRPr="00061A5F">
        <w:rPr>
          <w:rFonts w:ascii="Times New Roman" w:hAnsi="Times New Roman"/>
          <w:sz w:val="24"/>
          <w:szCs w:val="24"/>
        </w:rPr>
        <w:t xml:space="preserve">used to classify </w:t>
      </w:r>
      <w:r w:rsidRPr="00061A5F">
        <w:rPr>
          <w:rFonts w:ascii="Times New Roman" w:hAnsi="Times New Roman"/>
          <w:sz w:val="24"/>
          <w:szCs w:val="24"/>
        </w:rPr>
        <w:t>the countries into a specific group. Moreover, they treat</w:t>
      </w:r>
      <w:r w:rsidR="002E145B" w:rsidRPr="00061A5F">
        <w:rPr>
          <w:rFonts w:ascii="Times New Roman" w:hAnsi="Times New Roman"/>
          <w:sz w:val="24"/>
          <w:szCs w:val="24"/>
        </w:rPr>
        <w:t>ed</w:t>
      </w:r>
      <w:r w:rsidRPr="00061A5F">
        <w:rPr>
          <w:rFonts w:ascii="Times New Roman" w:hAnsi="Times New Roman"/>
          <w:sz w:val="24"/>
          <w:szCs w:val="24"/>
        </w:rPr>
        <w:t xml:space="preserve"> a CBA only as an ERR, not a monetary </w:t>
      </w:r>
      <w:r w:rsidR="00F54139" w:rsidRPr="00061A5F">
        <w:rPr>
          <w:rFonts w:ascii="Times New Roman" w:hAnsi="Times New Roman"/>
          <w:sz w:val="24"/>
          <w:szCs w:val="24"/>
        </w:rPr>
        <w:t>regime/</w:t>
      </w:r>
      <w:r w:rsidRPr="00061A5F">
        <w:rPr>
          <w:rFonts w:ascii="Times New Roman" w:hAnsi="Times New Roman"/>
          <w:sz w:val="24"/>
          <w:szCs w:val="24"/>
        </w:rPr>
        <w:t xml:space="preserve">framework. </w:t>
      </w:r>
      <w:r w:rsidRPr="00061A5F">
        <w:rPr>
          <w:rFonts w:ascii="Times New Roman" w:hAnsi="Times New Roman"/>
          <w:sz w:val="24"/>
          <w:szCs w:val="24"/>
          <w:lang w:eastAsia="bs-Latn-BA"/>
        </w:rPr>
        <w:t xml:space="preserve">Although it is defined as an ERR in the IMF classification, </w:t>
      </w:r>
      <w:r w:rsidR="002E145B" w:rsidRPr="00061A5F">
        <w:rPr>
          <w:rFonts w:ascii="Times New Roman" w:hAnsi="Times New Roman"/>
          <w:sz w:val="24"/>
          <w:szCs w:val="24"/>
          <w:lang w:eastAsia="bs-Latn-BA"/>
        </w:rPr>
        <w:t xml:space="preserve">a </w:t>
      </w:r>
      <w:r w:rsidRPr="00061A5F">
        <w:rPr>
          <w:rFonts w:ascii="Times New Roman" w:hAnsi="Times New Roman"/>
          <w:sz w:val="24"/>
          <w:szCs w:val="24"/>
          <w:lang w:eastAsia="bs-Latn-BA"/>
        </w:rPr>
        <w:t xml:space="preserve">CBA is </w:t>
      </w:r>
      <w:r w:rsidR="007A0A0A" w:rsidRPr="00061A5F">
        <w:rPr>
          <w:rFonts w:ascii="Times New Roman" w:hAnsi="Times New Roman"/>
          <w:sz w:val="24"/>
          <w:szCs w:val="24"/>
          <w:lang w:eastAsia="bs-Latn-BA"/>
        </w:rPr>
        <w:t xml:space="preserve">also </w:t>
      </w:r>
      <w:r w:rsidRPr="00061A5F">
        <w:rPr>
          <w:rFonts w:ascii="Times New Roman" w:hAnsi="Times New Roman"/>
          <w:sz w:val="24"/>
          <w:szCs w:val="24"/>
          <w:lang w:eastAsia="bs-Latn-BA"/>
        </w:rPr>
        <w:t xml:space="preserve">a monetary regime </w:t>
      </w:r>
      <w:r w:rsidR="00F54139" w:rsidRPr="00061A5F">
        <w:rPr>
          <w:rFonts w:ascii="Times New Roman" w:hAnsi="Times New Roman"/>
          <w:sz w:val="24"/>
          <w:szCs w:val="24"/>
          <w:lang w:eastAsia="bs-Latn-BA"/>
        </w:rPr>
        <w:t>which</w:t>
      </w:r>
      <w:r w:rsidR="007A0A0A" w:rsidRPr="00061A5F">
        <w:rPr>
          <w:rFonts w:ascii="Times New Roman" w:hAnsi="Times New Roman"/>
          <w:sz w:val="24"/>
          <w:szCs w:val="24"/>
          <w:lang w:eastAsia="bs-Latn-BA"/>
        </w:rPr>
        <w:t xml:space="preserve"> inco</w:t>
      </w:r>
      <w:r w:rsidR="002F2FC1" w:rsidRPr="00061A5F">
        <w:rPr>
          <w:rFonts w:ascii="Times New Roman" w:hAnsi="Times New Roman"/>
          <w:sz w:val="24"/>
          <w:szCs w:val="24"/>
          <w:lang w:eastAsia="bs-Latn-BA"/>
        </w:rPr>
        <w:t>r</w:t>
      </w:r>
      <w:r w:rsidR="007A0A0A" w:rsidRPr="00061A5F">
        <w:rPr>
          <w:rFonts w:ascii="Times New Roman" w:hAnsi="Times New Roman"/>
          <w:sz w:val="24"/>
          <w:szCs w:val="24"/>
          <w:lang w:eastAsia="bs-Latn-BA"/>
        </w:rPr>
        <w:t>p</w:t>
      </w:r>
      <w:r w:rsidR="002F2FC1" w:rsidRPr="00061A5F">
        <w:rPr>
          <w:rFonts w:ascii="Times New Roman" w:hAnsi="Times New Roman"/>
          <w:sz w:val="24"/>
          <w:szCs w:val="24"/>
          <w:lang w:eastAsia="bs-Latn-BA"/>
        </w:rPr>
        <w:t>o</w:t>
      </w:r>
      <w:r w:rsidR="007A0A0A" w:rsidRPr="00061A5F">
        <w:rPr>
          <w:rFonts w:ascii="Times New Roman" w:hAnsi="Times New Roman"/>
          <w:sz w:val="24"/>
          <w:szCs w:val="24"/>
          <w:lang w:eastAsia="bs-Latn-BA"/>
        </w:rPr>
        <w:t>rates</w:t>
      </w:r>
      <w:r w:rsidR="00F54139" w:rsidRPr="00061A5F">
        <w:rPr>
          <w:rFonts w:ascii="Times New Roman" w:hAnsi="Times New Roman"/>
          <w:sz w:val="24"/>
          <w:szCs w:val="24"/>
          <w:lang w:eastAsia="bs-Latn-BA"/>
        </w:rPr>
        <w:t xml:space="preserve"> monetary rules and the level of monetary discretion (for more details see </w:t>
      </w:r>
      <w:proofErr w:type="spellStart"/>
      <w:r w:rsidR="00EB3BBB" w:rsidRPr="00061A5F">
        <w:rPr>
          <w:rFonts w:ascii="Times New Roman" w:hAnsi="Times New Roman"/>
          <w:sz w:val="24"/>
          <w:szCs w:val="24"/>
          <w:lang w:eastAsia="bs-Latn-BA"/>
        </w:rPr>
        <w:t>Kuttner</w:t>
      </w:r>
      <w:proofErr w:type="spellEnd"/>
      <w:r w:rsidR="00EB3BBB" w:rsidRPr="00061A5F">
        <w:rPr>
          <w:rFonts w:ascii="Times New Roman" w:hAnsi="Times New Roman"/>
          <w:sz w:val="24"/>
          <w:szCs w:val="24"/>
          <w:lang w:eastAsia="bs-Latn-BA"/>
        </w:rPr>
        <w:t xml:space="preserve"> and Posen, 2001 and </w:t>
      </w:r>
      <w:proofErr w:type="spellStart"/>
      <w:r w:rsidR="00F54139" w:rsidRPr="00061A5F">
        <w:rPr>
          <w:rFonts w:ascii="Times New Roman" w:hAnsi="Times New Roman"/>
          <w:sz w:val="24"/>
          <w:szCs w:val="24"/>
          <w:lang w:eastAsia="bs-Latn-BA"/>
        </w:rPr>
        <w:t>Nenovsky</w:t>
      </w:r>
      <w:proofErr w:type="spellEnd"/>
      <w:r w:rsidR="00F54139" w:rsidRPr="00061A5F">
        <w:rPr>
          <w:rFonts w:ascii="Times New Roman" w:hAnsi="Times New Roman"/>
          <w:sz w:val="24"/>
          <w:szCs w:val="24"/>
          <w:lang w:eastAsia="bs-Latn-BA"/>
        </w:rPr>
        <w:t>, 20</w:t>
      </w:r>
      <w:r w:rsidR="0055096B" w:rsidRPr="00061A5F">
        <w:rPr>
          <w:rFonts w:ascii="Times New Roman" w:hAnsi="Times New Roman"/>
          <w:sz w:val="24"/>
          <w:szCs w:val="24"/>
          <w:lang w:eastAsia="bs-Latn-BA"/>
        </w:rPr>
        <w:t>09</w:t>
      </w:r>
      <w:r w:rsidR="00F54139" w:rsidRPr="00061A5F">
        <w:rPr>
          <w:rFonts w:ascii="Times New Roman" w:hAnsi="Times New Roman"/>
          <w:sz w:val="24"/>
          <w:szCs w:val="24"/>
          <w:lang w:eastAsia="bs-Latn-BA"/>
        </w:rPr>
        <w:t xml:space="preserve">) </w:t>
      </w:r>
      <w:r w:rsidRPr="00061A5F">
        <w:rPr>
          <w:rFonts w:ascii="Times New Roman" w:hAnsi="Times New Roman"/>
          <w:sz w:val="24"/>
          <w:szCs w:val="24"/>
          <w:lang w:eastAsia="bs-Latn-BA"/>
        </w:rPr>
        <w:t xml:space="preserve">and therefore it </w:t>
      </w:r>
      <w:r w:rsidR="002E145B" w:rsidRPr="00061A5F">
        <w:rPr>
          <w:rFonts w:ascii="Times New Roman" w:hAnsi="Times New Roman"/>
          <w:sz w:val="24"/>
          <w:szCs w:val="24"/>
          <w:lang w:eastAsia="bs-Latn-BA"/>
        </w:rPr>
        <w:t>is</w:t>
      </w:r>
      <w:r w:rsidRPr="00061A5F">
        <w:rPr>
          <w:rFonts w:ascii="Times New Roman" w:hAnsi="Times New Roman"/>
          <w:sz w:val="24"/>
          <w:szCs w:val="24"/>
          <w:lang w:eastAsia="bs-Latn-BA"/>
        </w:rPr>
        <w:t xml:space="preserve"> </w:t>
      </w:r>
      <w:r w:rsidR="00743B9C" w:rsidRPr="00061A5F">
        <w:rPr>
          <w:rFonts w:ascii="Times New Roman" w:hAnsi="Times New Roman"/>
          <w:sz w:val="24"/>
          <w:szCs w:val="24"/>
          <w:lang w:eastAsia="bs-Latn-BA"/>
        </w:rPr>
        <w:t>important</w:t>
      </w:r>
      <w:r w:rsidRPr="00061A5F">
        <w:rPr>
          <w:rFonts w:ascii="Times New Roman" w:hAnsi="Times New Roman"/>
          <w:sz w:val="24"/>
          <w:szCs w:val="24"/>
          <w:lang w:eastAsia="bs-Latn-BA"/>
        </w:rPr>
        <w:t xml:space="preserve"> to compare it with other monetary regimes. </w:t>
      </w:r>
      <w:r w:rsidR="00787EE7" w:rsidRPr="00061A5F">
        <w:rPr>
          <w:rFonts w:ascii="Times New Roman" w:hAnsi="Times New Roman"/>
          <w:sz w:val="24"/>
          <w:szCs w:val="24"/>
          <w:lang w:eastAsia="bs-Latn-BA"/>
        </w:rPr>
        <w:t>Moreover, since periods included in these studies d</w:t>
      </w:r>
      <w:r w:rsidR="002E145B" w:rsidRPr="00061A5F">
        <w:rPr>
          <w:rFonts w:ascii="Times New Roman" w:hAnsi="Times New Roman"/>
          <w:sz w:val="24"/>
          <w:szCs w:val="24"/>
          <w:lang w:eastAsia="bs-Latn-BA"/>
        </w:rPr>
        <w:t>id</w:t>
      </w:r>
      <w:r w:rsidR="00787EE7" w:rsidRPr="00061A5F">
        <w:rPr>
          <w:rFonts w:ascii="Times New Roman" w:hAnsi="Times New Roman"/>
          <w:sz w:val="24"/>
          <w:szCs w:val="24"/>
          <w:lang w:eastAsia="bs-Latn-BA"/>
        </w:rPr>
        <w:t xml:space="preserve"> not include </w:t>
      </w:r>
      <w:r w:rsidR="002E145B" w:rsidRPr="00061A5F">
        <w:rPr>
          <w:rFonts w:ascii="Times New Roman" w:hAnsi="Times New Roman"/>
          <w:sz w:val="24"/>
          <w:szCs w:val="24"/>
          <w:lang w:eastAsia="bs-Latn-BA"/>
        </w:rPr>
        <w:t>the GFC</w:t>
      </w:r>
      <w:r w:rsidR="00A821AA" w:rsidRPr="00061A5F">
        <w:rPr>
          <w:rFonts w:ascii="Times New Roman" w:hAnsi="Times New Roman"/>
          <w:sz w:val="24"/>
          <w:szCs w:val="24"/>
          <w:lang w:eastAsia="bs-Latn-BA"/>
        </w:rPr>
        <w:t xml:space="preserve"> </w:t>
      </w:r>
      <w:r w:rsidR="00787EE7" w:rsidRPr="00061A5F">
        <w:rPr>
          <w:rFonts w:ascii="Times New Roman" w:hAnsi="Times New Roman"/>
          <w:sz w:val="24"/>
          <w:szCs w:val="24"/>
          <w:lang w:eastAsia="bs-Latn-BA"/>
        </w:rPr>
        <w:t>they were not able to identify the effect of CBA</w:t>
      </w:r>
      <w:r w:rsidR="00FA5146" w:rsidRPr="00061A5F">
        <w:rPr>
          <w:rFonts w:ascii="Times New Roman" w:hAnsi="Times New Roman"/>
          <w:sz w:val="24"/>
          <w:szCs w:val="24"/>
          <w:lang w:eastAsia="bs-Latn-BA"/>
        </w:rPr>
        <w:t>s</w:t>
      </w:r>
      <w:r w:rsidR="00787EE7" w:rsidRPr="00061A5F">
        <w:rPr>
          <w:rFonts w:ascii="Times New Roman" w:hAnsi="Times New Roman"/>
          <w:sz w:val="24"/>
          <w:szCs w:val="24"/>
          <w:lang w:eastAsia="bs-Latn-BA"/>
        </w:rPr>
        <w:t xml:space="preserve"> during </w:t>
      </w:r>
      <w:r w:rsidR="00FA5146" w:rsidRPr="00061A5F">
        <w:rPr>
          <w:rFonts w:ascii="Times New Roman" w:hAnsi="Times New Roman"/>
          <w:sz w:val="24"/>
          <w:szCs w:val="24"/>
          <w:lang w:eastAsia="bs-Latn-BA"/>
        </w:rPr>
        <w:t>the</w:t>
      </w:r>
      <w:r w:rsidR="00787EE7" w:rsidRPr="00061A5F">
        <w:rPr>
          <w:rFonts w:ascii="Times New Roman" w:hAnsi="Times New Roman"/>
          <w:sz w:val="24"/>
          <w:szCs w:val="24"/>
          <w:lang w:eastAsia="bs-Latn-BA"/>
        </w:rPr>
        <w:t xml:space="preserve"> </w:t>
      </w:r>
      <w:r w:rsidR="007A0A0A" w:rsidRPr="00061A5F">
        <w:rPr>
          <w:rFonts w:ascii="Times New Roman" w:hAnsi="Times New Roman"/>
          <w:sz w:val="24"/>
          <w:szCs w:val="24"/>
          <w:lang w:eastAsia="bs-Latn-BA"/>
        </w:rPr>
        <w:t xml:space="preserve">global </w:t>
      </w:r>
      <w:r w:rsidR="00787EE7" w:rsidRPr="00061A5F">
        <w:rPr>
          <w:rFonts w:ascii="Times New Roman" w:hAnsi="Times New Roman"/>
          <w:sz w:val="24"/>
          <w:szCs w:val="24"/>
          <w:lang w:eastAsia="bs-Latn-BA"/>
        </w:rPr>
        <w:t xml:space="preserve">crisis. </w:t>
      </w:r>
      <w:r w:rsidRPr="00061A5F">
        <w:rPr>
          <w:rFonts w:ascii="Times New Roman" w:hAnsi="Times New Roman"/>
          <w:color w:val="000000" w:themeColor="text1"/>
          <w:sz w:val="24"/>
          <w:szCs w:val="24"/>
        </w:rPr>
        <w:t>Finally, none of the above studies control</w:t>
      </w:r>
      <w:r w:rsidR="00A821AA" w:rsidRPr="00061A5F">
        <w:rPr>
          <w:rFonts w:ascii="Times New Roman" w:hAnsi="Times New Roman"/>
          <w:color w:val="000000" w:themeColor="text1"/>
          <w:sz w:val="24"/>
          <w:szCs w:val="24"/>
        </w:rPr>
        <w:t>led</w:t>
      </w:r>
      <w:r w:rsidRPr="00061A5F">
        <w:rPr>
          <w:rFonts w:ascii="Times New Roman" w:hAnsi="Times New Roman"/>
          <w:color w:val="000000" w:themeColor="text1"/>
          <w:sz w:val="24"/>
          <w:szCs w:val="24"/>
        </w:rPr>
        <w:t xml:space="preserve"> for potential inflation hysteresis by using dynamic estimators.</w:t>
      </w:r>
      <w:r w:rsidR="00787EE7" w:rsidRPr="00061A5F">
        <w:rPr>
          <w:rFonts w:ascii="Times New Roman" w:hAnsi="Times New Roman"/>
          <w:color w:val="000000" w:themeColor="text1"/>
          <w:sz w:val="24"/>
          <w:szCs w:val="24"/>
        </w:rPr>
        <w:t xml:space="preserve"> To overcome these limitations, this study addresses </w:t>
      </w:r>
      <w:r w:rsidR="00A821AA" w:rsidRPr="00061A5F">
        <w:rPr>
          <w:rFonts w:ascii="Times New Roman" w:hAnsi="Times New Roman"/>
          <w:color w:val="000000" w:themeColor="text1"/>
          <w:sz w:val="24"/>
          <w:szCs w:val="24"/>
        </w:rPr>
        <w:t xml:space="preserve">each of </w:t>
      </w:r>
      <w:r w:rsidR="00787EE7" w:rsidRPr="00061A5F">
        <w:rPr>
          <w:rFonts w:ascii="Times New Roman" w:hAnsi="Times New Roman"/>
          <w:color w:val="000000" w:themeColor="text1"/>
          <w:sz w:val="24"/>
          <w:szCs w:val="24"/>
        </w:rPr>
        <w:t xml:space="preserve">these issues. </w:t>
      </w:r>
    </w:p>
    <w:p w14:paraId="40FAE05F" w14:textId="77777777" w:rsidR="00B33FE2" w:rsidRPr="00061A5F" w:rsidRDefault="00B33FE2" w:rsidP="007F5D0E">
      <w:pPr>
        <w:autoSpaceDE w:val="0"/>
        <w:autoSpaceDN w:val="0"/>
        <w:adjustRightInd w:val="0"/>
        <w:spacing w:line="276" w:lineRule="auto"/>
        <w:jc w:val="both"/>
        <w:rPr>
          <w:rFonts w:ascii="Times New Roman" w:hAnsi="Times New Roman"/>
          <w:sz w:val="24"/>
          <w:szCs w:val="24"/>
        </w:rPr>
      </w:pPr>
    </w:p>
    <w:p w14:paraId="41720A6E" w14:textId="2AC0D17C" w:rsidR="009408EE" w:rsidRPr="00061A5F" w:rsidRDefault="009408EE" w:rsidP="007F5D0E">
      <w:pPr>
        <w:pStyle w:val="Heading2"/>
        <w:spacing w:before="0" w:line="276" w:lineRule="auto"/>
        <w:jc w:val="both"/>
      </w:pPr>
      <w:bookmarkStart w:id="23" w:name="_Toc306954948"/>
      <w:bookmarkStart w:id="24" w:name="_Toc400712935"/>
      <w:bookmarkStart w:id="25" w:name="_Toc400718968"/>
      <w:bookmarkStart w:id="26" w:name="_Toc400719005"/>
      <w:bookmarkStart w:id="27" w:name="_Toc400730327"/>
      <w:bookmarkStart w:id="28" w:name="_Toc401221385"/>
      <w:bookmarkStart w:id="29" w:name="_Toc401221476"/>
      <w:bookmarkStart w:id="30" w:name="_Toc401221525"/>
      <w:bookmarkStart w:id="31" w:name="_Toc421105241"/>
      <w:r w:rsidRPr="00061A5F">
        <w:t>3</w:t>
      </w:r>
      <w:r w:rsidR="00B3329B" w:rsidRPr="00061A5F">
        <w:t>.</w:t>
      </w:r>
      <w:r w:rsidRPr="00061A5F">
        <w:t xml:space="preserve"> </w:t>
      </w:r>
      <w:bookmarkStart w:id="32" w:name="_Toc306954949"/>
      <w:bookmarkStart w:id="33" w:name="_Toc400712936"/>
      <w:bookmarkStart w:id="34" w:name="_Toc400718969"/>
      <w:bookmarkStart w:id="35" w:name="_Toc400719006"/>
      <w:bookmarkStart w:id="36" w:name="_Toc400730328"/>
      <w:bookmarkStart w:id="37" w:name="_Toc401221386"/>
      <w:bookmarkStart w:id="38" w:name="_Toc401221477"/>
      <w:bookmarkStart w:id="39" w:name="_Toc401221526"/>
      <w:bookmarkStart w:id="40" w:name="_Toc421105242"/>
      <w:bookmarkEnd w:id="23"/>
      <w:bookmarkEnd w:id="24"/>
      <w:bookmarkEnd w:id="25"/>
      <w:bookmarkEnd w:id="26"/>
      <w:bookmarkEnd w:id="27"/>
      <w:bookmarkEnd w:id="28"/>
      <w:bookmarkEnd w:id="29"/>
      <w:bookmarkEnd w:id="30"/>
      <w:bookmarkEnd w:id="31"/>
      <w:r w:rsidRPr="00061A5F">
        <w:t>Choice of sample and sample specifics</w:t>
      </w:r>
      <w:bookmarkEnd w:id="32"/>
      <w:bookmarkEnd w:id="33"/>
      <w:bookmarkEnd w:id="34"/>
      <w:bookmarkEnd w:id="35"/>
      <w:bookmarkEnd w:id="36"/>
      <w:bookmarkEnd w:id="37"/>
      <w:bookmarkEnd w:id="38"/>
      <w:bookmarkEnd w:id="39"/>
      <w:bookmarkEnd w:id="40"/>
      <w:r w:rsidRPr="00061A5F">
        <w:t xml:space="preserve"> </w:t>
      </w:r>
    </w:p>
    <w:p w14:paraId="4F06ED9C" w14:textId="77777777" w:rsidR="009408EE" w:rsidRPr="00061A5F" w:rsidRDefault="009408EE" w:rsidP="007F5D0E">
      <w:pPr>
        <w:spacing w:line="276" w:lineRule="auto"/>
        <w:jc w:val="both"/>
        <w:rPr>
          <w:rFonts w:ascii="Times New Roman" w:hAnsi="Times New Roman"/>
          <w:sz w:val="24"/>
          <w:szCs w:val="24"/>
        </w:rPr>
      </w:pPr>
    </w:p>
    <w:p w14:paraId="57D656BB" w14:textId="121F1EA2" w:rsidR="009408EE" w:rsidRPr="00061A5F" w:rsidRDefault="009408EE" w:rsidP="007F5D0E">
      <w:pPr>
        <w:spacing w:line="276" w:lineRule="auto"/>
        <w:jc w:val="both"/>
        <w:rPr>
          <w:rFonts w:ascii="Times New Roman" w:hAnsi="Times New Roman"/>
          <w:sz w:val="24"/>
          <w:szCs w:val="24"/>
        </w:rPr>
      </w:pPr>
      <w:r w:rsidRPr="00061A5F">
        <w:rPr>
          <w:rFonts w:ascii="Times New Roman" w:hAnsi="Times New Roman"/>
          <w:sz w:val="24"/>
          <w:szCs w:val="24"/>
        </w:rPr>
        <w:t xml:space="preserve">To estimate the effect of a CBA on </w:t>
      </w:r>
      <w:r w:rsidR="00D8292F" w:rsidRPr="00061A5F">
        <w:rPr>
          <w:rFonts w:ascii="Times New Roman" w:hAnsi="Times New Roman"/>
          <w:sz w:val="24"/>
          <w:szCs w:val="24"/>
        </w:rPr>
        <w:t>inflation</w:t>
      </w:r>
      <w:r w:rsidR="00037386" w:rsidRPr="00061A5F">
        <w:rPr>
          <w:rFonts w:ascii="Times New Roman" w:hAnsi="Times New Roman"/>
          <w:sz w:val="24"/>
          <w:szCs w:val="24"/>
        </w:rPr>
        <w:t>,</w:t>
      </w:r>
      <w:r w:rsidRPr="00061A5F">
        <w:rPr>
          <w:rFonts w:ascii="Times New Roman" w:hAnsi="Times New Roman"/>
          <w:sz w:val="24"/>
          <w:szCs w:val="24"/>
        </w:rPr>
        <w:t xml:space="preserve"> panel data from a sample comprising 25 transition countries from the Central, South-Eastern Europe and </w:t>
      </w:r>
      <w:r w:rsidR="002E0837" w:rsidRPr="00061A5F">
        <w:rPr>
          <w:rFonts w:ascii="Times New Roman" w:hAnsi="Times New Roman"/>
          <w:sz w:val="24"/>
          <w:szCs w:val="24"/>
        </w:rPr>
        <w:t xml:space="preserve">the </w:t>
      </w:r>
      <w:r w:rsidRPr="00061A5F">
        <w:rPr>
          <w:rFonts w:ascii="Times New Roman" w:hAnsi="Times New Roman"/>
          <w:sz w:val="24"/>
          <w:szCs w:val="24"/>
        </w:rPr>
        <w:t>former Sovie</w:t>
      </w:r>
      <w:r w:rsidR="00D8292F" w:rsidRPr="00061A5F">
        <w:rPr>
          <w:rFonts w:ascii="Times New Roman" w:hAnsi="Times New Roman"/>
          <w:sz w:val="24"/>
          <w:szCs w:val="24"/>
        </w:rPr>
        <w:t>t Union</w:t>
      </w:r>
      <w:r w:rsidR="00B33FE2" w:rsidRPr="00061A5F">
        <w:rPr>
          <w:rStyle w:val="FootnoteReference"/>
          <w:rFonts w:ascii="Times New Roman" w:hAnsi="Times New Roman"/>
          <w:sz w:val="24"/>
          <w:szCs w:val="24"/>
        </w:rPr>
        <w:footnoteReference w:id="2"/>
      </w:r>
      <w:r w:rsidR="00D8292F" w:rsidRPr="00061A5F">
        <w:rPr>
          <w:rFonts w:ascii="Times New Roman" w:hAnsi="Times New Roman"/>
          <w:sz w:val="24"/>
          <w:szCs w:val="24"/>
        </w:rPr>
        <w:t xml:space="preserve"> for</w:t>
      </w:r>
      <w:r w:rsidR="007A0A0A" w:rsidRPr="00061A5F">
        <w:rPr>
          <w:rFonts w:ascii="Times New Roman" w:hAnsi="Times New Roman"/>
          <w:sz w:val="24"/>
          <w:szCs w:val="24"/>
        </w:rPr>
        <w:t xml:space="preserve"> the</w:t>
      </w:r>
      <w:r w:rsidR="002E0837" w:rsidRPr="00061A5F">
        <w:rPr>
          <w:rFonts w:ascii="Times New Roman" w:hAnsi="Times New Roman"/>
          <w:sz w:val="24"/>
          <w:szCs w:val="24"/>
        </w:rPr>
        <w:t xml:space="preserve"> year</w:t>
      </w:r>
      <w:r w:rsidR="007A0A0A" w:rsidRPr="00061A5F">
        <w:rPr>
          <w:rFonts w:ascii="Times New Roman" w:hAnsi="Times New Roman"/>
          <w:sz w:val="24"/>
          <w:szCs w:val="24"/>
        </w:rPr>
        <w:t>s</w:t>
      </w:r>
      <w:r w:rsidR="00D8292F" w:rsidRPr="00061A5F">
        <w:rPr>
          <w:rFonts w:ascii="Times New Roman" w:hAnsi="Times New Roman"/>
          <w:sz w:val="24"/>
          <w:szCs w:val="24"/>
        </w:rPr>
        <w:t xml:space="preserve"> 1998-2015</w:t>
      </w:r>
      <w:r w:rsidRPr="00061A5F">
        <w:rPr>
          <w:rFonts w:ascii="Times New Roman" w:hAnsi="Times New Roman"/>
          <w:sz w:val="24"/>
          <w:szCs w:val="24"/>
        </w:rPr>
        <w:t xml:space="preserve"> </w:t>
      </w:r>
      <w:r w:rsidR="007D53D1" w:rsidRPr="00061A5F">
        <w:rPr>
          <w:rFonts w:ascii="Times New Roman" w:hAnsi="Times New Roman"/>
          <w:sz w:val="24"/>
          <w:szCs w:val="24"/>
        </w:rPr>
        <w:t>are</w:t>
      </w:r>
      <w:r w:rsidRPr="00061A5F">
        <w:rPr>
          <w:rFonts w:ascii="Times New Roman" w:hAnsi="Times New Roman"/>
          <w:sz w:val="24"/>
          <w:szCs w:val="24"/>
        </w:rPr>
        <w:t xml:space="preserve"> used. The main reason for not including the period prior 1998 is a data constraint. Since </w:t>
      </w:r>
      <w:r w:rsidR="00D8292F" w:rsidRPr="00061A5F">
        <w:rPr>
          <w:rFonts w:ascii="Times New Roman" w:hAnsi="Times New Roman"/>
          <w:sz w:val="24"/>
          <w:szCs w:val="24"/>
        </w:rPr>
        <w:t xml:space="preserve">there is no </w:t>
      </w:r>
      <w:r w:rsidRPr="00061A5F">
        <w:rPr>
          <w:rFonts w:ascii="Times New Roman" w:hAnsi="Times New Roman"/>
          <w:sz w:val="24"/>
          <w:szCs w:val="24"/>
        </w:rPr>
        <w:t xml:space="preserve">data on the EBRD indicator for </w:t>
      </w:r>
      <w:r w:rsidR="002E0837" w:rsidRPr="00061A5F">
        <w:rPr>
          <w:rFonts w:ascii="Times New Roman" w:hAnsi="Times New Roman"/>
          <w:sz w:val="24"/>
          <w:szCs w:val="24"/>
        </w:rPr>
        <w:t xml:space="preserve">the </w:t>
      </w:r>
      <w:r w:rsidRPr="00061A5F">
        <w:rPr>
          <w:rFonts w:ascii="Times New Roman" w:hAnsi="Times New Roman"/>
          <w:sz w:val="24"/>
          <w:szCs w:val="24"/>
        </w:rPr>
        <w:t xml:space="preserve">Czech Republic for the years </w:t>
      </w:r>
      <w:r w:rsidR="00D8292F" w:rsidRPr="00061A5F">
        <w:rPr>
          <w:rFonts w:ascii="Times New Roman" w:hAnsi="Times New Roman"/>
          <w:sz w:val="24"/>
          <w:szCs w:val="24"/>
        </w:rPr>
        <w:t>after 2008</w:t>
      </w:r>
      <w:r w:rsidR="00037386" w:rsidRPr="00061A5F">
        <w:rPr>
          <w:rFonts w:ascii="Times New Roman" w:hAnsi="Times New Roman"/>
          <w:sz w:val="24"/>
          <w:szCs w:val="24"/>
        </w:rPr>
        <w:t>,</w:t>
      </w:r>
      <w:r w:rsidR="00D8292F" w:rsidRPr="00061A5F">
        <w:rPr>
          <w:rFonts w:ascii="Times New Roman" w:hAnsi="Times New Roman"/>
          <w:sz w:val="24"/>
          <w:szCs w:val="24"/>
        </w:rPr>
        <w:t xml:space="preserve"> </w:t>
      </w:r>
      <w:r w:rsidRPr="00061A5F">
        <w:rPr>
          <w:rFonts w:ascii="Times New Roman" w:hAnsi="Times New Roman"/>
          <w:sz w:val="24"/>
          <w:szCs w:val="24"/>
        </w:rPr>
        <w:t xml:space="preserve">and data on the general government balance for Serbia in 1998 and 1999 and on openness for Hungary and Lithuania for 2009 are missing, the panel is unbalanced. Data for all countries and all years for certain variables are not always available from the same source. For most countries the data used are those from international databases, such as the IMF’s and the World Bank’s databases, but for some countries national statistics had to be consulted. Data sources for the variables used in each regression will be discussed and analysed within the appropriate sub-sections. </w:t>
      </w:r>
    </w:p>
    <w:p w14:paraId="54CA34B3" w14:textId="77777777" w:rsidR="009408EE" w:rsidRPr="00061A5F" w:rsidRDefault="009408EE" w:rsidP="007F5D0E">
      <w:pPr>
        <w:spacing w:line="276" w:lineRule="auto"/>
        <w:jc w:val="both"/>
        <w:rPr>
          <w:rFonts w:ascii="Times New Roman" w:hAnsi="Times New Roman"/>
          <w:sz w:val="24"/>
          <w:szCs w:val="24"/>
        </w:rPr>
      </w:pPr>
    </w:p>
    <w:p w14:paraId="6AA440A5" w14:textId="77777777" w:rsidR="00370685" w:rsidRPr="00061A5F" w:rsidRDefault="0072163E" w:rsidP="007F5D0E">
      <w:pPr>
        <w:spacing w:line="276" w:lineRule="auto"/>
        <w:jc w:val="both"/>
        <w:rPr>
          <w:rFonts w:ascii="Times New Roman" w:hAnsi="Times New Roman"/>
          <w:sz w:val="24"/>
          <w:szCs w:val="24"/>
        </w:rPr>
      </w:pPr>
      <w:r w:rsidRPr="00061A5F">
        <w:rPr>
          <w:rFonts w:ascii="Times New Roman" w:hAnsi="Times New Roman"/>
          <w:sz w:val="24"/>
          <w:szCs w:val="24"/>
        </w:rPr>
        <w:t>It has been argued that t</w:t>
      </w:r>
      <w:r w:rsidR="009408EE" w:rsidRPr="00061A5F">
        <w:rPr>
          <w:rFonts w:ascii="Times New Roman" w:hAnsi="Times New Roman"/>
          <w:sz w:val="24"/>
          <w:szCs w:val="24"/>
        </w:rPr>
        <w:t>ransition (and developing) countries should be treated separately from developed countries</w:t>
      </w:r>
      <w:r w:rsidR="002E0837" w:rsidRPr="00061A5F">
        <w:rPr>
          <w:rFonts w:ascii="Times New Roman" w:hAnsi="Times New Roman"/>
          <w:sz w:val="24"/>
          <w:szCs w:val="24"/>
        </w:rPr>
        <w:t>,</w:t>
      </w:r>
      <w:r w:rsidR="009408EE" w:rsidRPr="00061A5F">
        <w:rPr>
          <w:rFonts w:ascii="Times New Roman" w:hAnsi="Times New Roman"/>
          <w:sz w:val="24"/>
          <w:szCs w:val="24"/>
        </w:rPr>
        <w:t xml:space="preserve"> since they have specific features (such as lack of policy makers’ credibility, limited access to international markets, high default risk, weak and underdeveloped institutions) and are going through the process of transition towards a market-oriented economy, which is likely to affect macroeconomic variables significantly (</w:t>
      </w:r>
      <w:proofErr w:type="spellStart"/>
      <w:r w:rsidR="009408EE" w:rsidRPr="00061A5F">
        <w:rPr>
          <w:rFonts w:ascii="Times New Roman" w:hAnsi="Times New Roman"/>
          <w:sz w:val="24"/>
          <w:szCs w:val="24"/>
        </w:rPr>
        <w:t>Domac</w:t>
      </w:r>
      <w:proofErr w:type="spellEnd"/>
      <w:r w:rsidR="009408EE" w:rsidRPr="00061A5F">
        <w:rPr>
          <w:rFonts w:ascii="Times New Roman" w:hAnsi="Times New Roman"/>
          <w:sz w:val="24"/>
          <w:szCs w:val="24"/>
        </w:rPr>
        <w:t xml:space="preserve"> et al., 2004; Barlow, 2010; Frankel, 2010). Moreover, most of the counties in this sample changed their monetary and/or ERRs as a part of the transition process (</w:t>
      </w:r>
      <w:proofErr w:type="spellStart"/>
      <w:r w:rsidR="009408EE" w:rsidRPr="00061A5F">
        <w:rPr>
          <w:rFonts w:ascii="Times New Roman" w:hAnsi="Times New Roman"/>
          <w:sz w:val="24"/>
          <w:szCs w:val="24"/>
        </w:rPr>
        <w:t>Domac</w:t>
      </w:r>
      <w:proofErr w:type="spellEnd"/>
      <w:r w:rsidR="009408EE" w:rsidRPr="00061A5F">
        <w:rPr>
          <w:rFonts w:ascii="Times New Roman" w:hAnsi="Times New Roman"/>
          <w:sz w:val="24"/>
          <w:szCs w:val="24"/>
        </w:rPr>
        <w:t xml:space="preserve"> et al., 2004). </w:t>
      </w:r>
      <w:r w:rsidR="00372EBE" w:rsidRPr="00061A5F">
        <w:rPr>
          <w:rFonts w:ascii="Times New Roman" w:hAnsi="Times New Roman"/>
          <w:sz w:val="24"/>
          <w:szCs w:val="24"/>
        </w:rPr>
        <w:t xml:space="preserve">Four of these countries (Bosnia and Herzegovina, </w:t>
      </w:r>
      <w:r w:rsidR="007A0A0A" w:rsidRPr="00061A5F">
        <w:rPr>
          <w:rFonts w:ascii="Times New Roman" w:hAnsi="Times New Roman"/>
          <w:sz w:val="24"/>
          <w:szCs w:val="24"/>
        </w:rPr>
        <w:t xml:space="preserve">Bulgaria, </w:t>
      </w:r>
      <w:r w:rsidR="00372EBE" w:rsidRPr="00061A5F">
        <w:rPr>
          <w:rFonts w:ascii="Times New Roman" w:hAnsi="Times New Roman"/>
          <w:sz w:val="24"/>
          <w:szCs w:val="24"/>
        </w:rPr>
        <w:t>Estonia and Lithuania)</w:t>
      </w:r>
      <w:r w:rsidR="009408EE" w:rsidRPr="00061A5F">
        <w:rPr>
          <w:rFonts w:ascii="Times New Roman" w:hAnsi="Times New Roman"/>
          <w:sz w:val="24"/>
          <w:szCs w:val="24"/>
        </w:rPr>
        <w:t xml:space="preserve"> </w:t>
      </w:r>
      <w:r w:rsidR="00372EBE" w:rsidRPr="00061A5F">
        <w:rPr>
          <w:rFonts w:ascii="Times New Roman" w:hAnsi="Times New Roman"/>
          <w:sz w:val="24"/>
          <w:szCs w:val="24"/>
        </w:rPr>
        <w:t xml:space="preserve">introduced </w:t>
      </w:r>
      <w:r w:rsidR="009408EE" w:rsidRPr="00061A5F">
        <w:rPr>
          <w:rFonts w:ascii="Times New Roman" w:hAnsi="Times New Roman"/>
          <w:sz w:val="24"/>
          <w:szCs w:val="24"/>
        </w:rPr>
        <w:t>a CBA</w:t>
      </w:r>
      <w:r w:rsidR="00372EBE" w:rsidRPr="00061A5F">
        <w:rPr>
          <w:rFonts w:ascii="Times New Roman" w:hAnsi="Times New Roman"/>
          <w:sz w:val="24"/>
          <w:szCs w:val="24"/>
        </w:rPr>
        <w:t>,</w:t>
      </w:r>
      <w:r w:rsidR="00680E57" w:rsidRPr="00061A5F">
        <w:rPr>
          <w:rFonts w:ascii="Times New Roman" w:hAnsi="Times New Roman"/>
          <w:sz w:val="24"/>
          <w:szCs w:val="24"/>
        </w:rPr>
        <w:t xml:space="preserve"> </w:t>
      </w:r>
      <w:r w:rsidR="00372EBE" w:rsidRPr="00061A5F">
        <w:rPr>
          <w:rFonts w:ascii="Times New Roman" w:hAnsi="Times New Roman"/>
          <w:sz w:val="24"/>
          <w:szCs w:val="24"/>
        </w:rPr>
        <w:t xml:space="preserve">largely </w:t>
      </w:r>
      <w:r w:rsidR="00680E57" w:rsidRPr="00061A5F">
        <w:rPr>
          <w:rFonts w:ascii="Times New Roman" w:hAnsi="Times New Roman"/>
          <w:sz w:val="24"/>
          <w:szCs w:val="24"/>
        </w:rPr>
        <w:t xml:space="preserve">as a means of </w:t>
      </w:r>
      <w:r w:rsidR="007D53D1" w:rsidRPr="00061A5F">
        <w:rPr>
          <w:rFonts w:ascii="Times New Roman" w:hAnsi="Times New Roman"/>
          <w:sz w:val="24"/>
          <w:szCs w:val="24"/>
        </w:rPr>
        <w:t>re-</w:t>
      </w:r>
      <w:r w:rsidR="00680E57" w:rsidRPr="00061A5F">
        <w:rPr>
          <w:rFonts w:ascii="Times New Roman" w:hAnsi="Times New Roman"/>
          <w:sz w:val="24"/>
          <w:szCs w:val="24"/>
        </w:rPr>
        <w:t>establishing</w:t>
      </w:r>
      <w:r w:rsidRPr="00061A5F">
        <w:rPr>
          <w:rFonts w:ascii="Times New Roman" w:hAnsi="Times New Roman"/>
          <w:sz w:val="24"/>
          <w:szCs w:val="24"/>
        </w:rPr>
        <w:t xml:space="preserve"> macroeconomic</w:t>
      </w:r>
      <w:r w:rsidR="00680E57" w:rsidRPr="00061A5F">
        <w:rPr>
          <w:rFonts w:ascii="Times New Roman" w:hAnsi="Times New Roman"/>
          <w:sz w:val="24"/>
          <w:szCs w:val="24"/>
        </w:rPr>
        <w:t xml:space="preserve"> </w:t>
      </w:r>
      <w:r w:rsidR="009408EE" w:rsidRPr="00061A5F">
        <w:rPr>
          <w:rFonts w:ascii="Times New Roman" w:hAnsi="Times New Roman"/>
          <w:sz w:val="24"/>
          <w:szCs w:val="24"/>
        </w:rPr>
        <w:t xml:space="preserve">stability. </w:t>
      </w:r>
      <w:r w:rsidR="00D264ED" w:rsidRPr="00061A5F">
        <w:rPr>
          <w:rFonts w:ascii="Times New Roman" w:hAnsi="Times New Roman"/>
          <w:sz w:val="24"/>
          <w:szCs w:val="24"/>
        </w:rPr>
        <w:t xml:space="preserve">Before reporting our formal </w:t>
      </w:r>
      <w:proofErr w:type="gramStart"/>
      <w:r w:rsidR="00D264ED" w:rsidRPr="00061A5F">
        <w:rPr>
          <w:rFonts w:ascii="Times New Roman" w:hAnsi="Times New Roman"/>
          <w:sz w:val="24"/>
          <w:szCs w:val="24"/>
        </w:rPr>
        <w:t>modelling</w:t>
      </w:r>
      <w:proofErr w:type="gramEnd"/>
      <w:r w:rsidR="00D264ED" w:rsidRPr="00061A5F">
        <w:rPr>
          <w:rFonts w:ascii="Times New Roman" w:hAnsi="Times New Roman"/>
          <w:sz w:val="24"/>
          <w:szCs w:val="24"/>
        </w:rPr>
        <w:t xml:space="preserve"> we describe and comment on inflation trends in transition countries from two </w:t>
      </w:r>
      <w:r w:rsidR="00D264ED" w:rsidRPr="00061A5F">
        <w:rPr>
          <w:rFonts w:ascii="Times New Roman" w:hAnsi="Times New Roman"/>
          <w:sz w:val="24"/>
          <w:szCs w:val="24"/>
        </w:rPr>
        <w:lastRenderedPageBreak/>
        <w:t>perspectives: (</w:t>
      </w:r>
      <w:proofErr w:type="spellStart"/>
      <w:r w:rsidR="00D264ED" w:rsidRPr="00061A5F">
        <w:rPr>
          <w:rFonts w:ascii="Times New Roman" w:hAnsi="Times New Roman"/>
          <w:sz w:val="24"/>
          <w:szCs w:val="24"/>
        </w:rPr>
        <w:t>i</w:t>
      </w:r>
      <w:proofErr w:type="spellEnd"/>
      <w:r w:rsidR="00D264ED" w:rsidRPr="00061A5F">
        <w:rPr>
          <w:rFonts w:ascii="Times New Roman" w:hAnsi="Times New Roman"/>
          <w:sz w:val="24"/>
          <w:szCs w:val="24"/>
        </w:rPr>
        <w:t>) according to differences in monetary policy and exchange rate regimes; (ii) according to the EBRD classification of transition economies.</w:t>
      </w:r>
    </w:p>
    <w:p w14:paraId="43559621" w14:textId="5E4726B1" w:rsidR="009408EE" w:rsidRPr="00061A5F" w:rsidRDefault="00D264ED" w:rsidP="007F5D0E">
      <w:pPr>
        <w:spacing w:line="276" w:lineRule="auto"/>
        <w:jc w:val="both"/>
        <w:rPr>
          <w:rFonts w:ascii="Times New Roman" w:hAnsi="Times New Roman"/>
          <w:sz w:val="24"/>
          <w:szCs w:val="24"/>
        </w:rPr>
      </w:pPr>
      <w:r w:rsidRPr="00061A5F">
        <w:rPr>
          <w:rFonts w:ascii="Times New Roman" w:hAnsi="Times New Roman"/>
          <w:sz w:val="24"/>
          <w:szCs w:val="24"/>
        </w:rPr>
        <w:t xml:space="preserve"> </w:t>
      </w:r>
    </w:p>
    <w:p w14:paraId="437D97D4" w14:textId="213B3F10" w:rsidR="00D264ED" w:rsidRPr="00061A5F" w:rsidRDefault="00D264ED" w:rsidP="007F5D0E">
      <w:pPr>
        <w:spacing w:line="276" w:lineRule="auto"/>
        <w:jc w:val="both"/>
        <w:rPr>
          <w:rFonts w:ascii="Times New Roman" w:hAnsi="Times New Roman"/>
          <w:b/>
          <w:bCs/>
          <w:sz w:val="24"/>
          <w:szCs w:val="24"/>
        </w:rPr>
      </w:pPr>
      <w:bookmarkStart w:id="41" w:name="_Hlk21200124"/>
      <w:r w:rsidRPr="00061A5F">
        <w:rPr>
          <w:rFonts w:ascii="Times New Roman" w:hAnsi="Times New Roman"/>
          <w:b/>
          <w:bCs/>
          <w:sz w:val="24"/>
          <w:szCs w:val="24"/>
        </w:rPr>
        <w:t>Inflation trends according to different monetary and exchange rate regimes</w:t>
      </w:r>
    </w:p>
    <w:p w14:paraId="76D9D027" w14:textId="77777777" w:rsidR="00D264ED" w:rsidRPr="00061A5F" w:rsidRDefault="00D264ED" w:rsidP="007F5D0E">
      <w:pPr>
        <w:spacing w:line="276" w:lineRule="auto"/>
        <w:jc w:val="both"/>
        <w:rPr>
          <w:rFonts w:ascii="Times New Roman" w:hAnsi="Times New Roman"/>
          <w:sz w:val="24"/>
          <w:szCs w:val="24"/>
        </w:rPr>
      </w:pPr>
    </w:p>
    <w:p w14:paraId="38E92C0A" w14:textId="44366BFE" w:rsidR="002D0F34" w:rsidRPr="00061A5F" w:rsidRDefault="002D0F34" w:rsidP="007F5D0E">
      <w:pPr>
        <w:spacing w:line="276" w:lineRule="auto"/>
        <w:jc w:val="both"/>
        <w:rPr>
          <w:rFonts w:ascii="Times New Roman" w:hAnsi="Times New Roman"/>
          <w:sz w:val="24"/>
          <w:szCs w:val="24"/>
        </w:rPr>
      </w:pPr>
      <w:r w:rsidRPr="00061A5F">
        <w:rPr>
          <w:rFonts w:ascii="Times New Roman" w:hAnsi="Times New Roman"/>
          <w:sz w:val="24"/>
          <w:szCs w:val="24"/>
        </w:rPr>
        <w:t xml:space="preserve">After the collapse of the planned economies, the transition countries followed different paths when it comes to their chosen monetary and exchange rate regimes. However, as noted in </w:t>
      </w:r>
      <w:proofErr w:type="spellStart"/>
      <w:r w:rsidRPr="00061A5F">
        <w:rPr>
          <w:rFonts w:ascii="Times New Roman" w:hAnsi="Times New Roman"/>
          <w:sz w:val="24"/>
          <w:szCs w:val="24"/>
        </w:rPr>
        <w:t>Nenovsky</w:t>
      </w:r>
      <w:proofErr w:type="spellEnd"/>
      <w:r w:rsidRPr="00061A5F">
        <w:rPr>
          <w:rFonts w:ascii="Times New Roman" w:hAnsi="Times New Roman"/>
          <w:sz w:val="24"/>
          <w:szCs w:val="24"/>
        </w:rPr>
        <w:t xml:space="preserve"> (20</w:t>
      </w:r>
      <w:r w:rsidR="0055096B" w:rsidRPr="00061A5F">
        <w:rPr>
          <w:rFonts w:ascii="Times New Roman" w:hAnsi="Times New Roman"/>
          <w:sz w:val="24"/>
          <w:szCs w:val="24"/>
        </w:rPr>
        <w:t>09</w:t>
      </w:r>
      <w:r w:rsidRPr="00061A5F">
        <w:rPr>
          <w:rFonts w:ascii="Times New Roman" w:hAnsi="Times New Roman"/>
          <w:sz w:val="24"/>
          <w:szCs w:val="24"/>
        </w:rPr>
        <w:t xml:space="preserve">), some trends can be captured. </w:t>
      </w:r>
      <w:proofErr w:type="spellStart"/>
      <w:r w:rsidRPr="00061A5F">
        <w:rPr>
          <w:rFonts w:ascii="Times New Roman" w:hAnsi="Times New Roman"/>
          <w:sz w:val="24"/>
          <w:szCs w:val="24"/>
        </w:rPr>
        <w:t>Nenovsky</w:t>
      </w:r>
      <w:proofErr w:type="spellEnd"/>
      <w:r w:rsidRPr="00061A5F">
        <w:rPr>
          <w:rFonts w:ascii="Times New Roman" w:hAnsi="Times New Roman"/>
          <w:sz w:val="24"/>
          <w:szCs w:val="24"/>
        </w:rPr>
        <w:t xml:space="preserve"> differentiates between two </w:t>
      </w:r>
      <w:r w:rsidR="00603CB5" w:rsidRPr="00061A5F">
        <w:rPr>
          <w:rFonts w:ascii="Times New Roman" w:hAnsi="Times New Roman"/>
          <w:sz w:val="24"/>
          <w:szCs w:val="24"/>
        </w:rPr>
        <w:t>types</w:t>
      </w:r>
      <w:r w:rsidRPr="00061A5F">
        <w:rPr>
          <w:rFonts w:ascii="Times New Roman" w:hAnsi="Times New Roman"/>
          <w:sz w:val="24"/>
          <w:szCs w:val="24"/>
        </w:rPr>
        <w:t xml:space="preserve">: </w:t>
      </w:r>
      <w:r w:rsidR="00603CB5" w:rsidRPr="00061A5F">
        <w:rPr>
          <w:rFonts w:ascii="Times New Roman" w:hAnsi="Times New Roman"/>
          <w:sz w:val="24"/>
          <w:szCs w:val="24"/>
        </w:rPr>
        <w:t xml:space="preserve">(I) </w:t>
      </w:r>
      <w:r w:rsidRPr="00061A5F">
        <w:rPr>
          <w:rFonts w:ascii="Times New Roman" w:hAnsi="Times New Roman"/>
          <w:sz w:val="24"/>
          <w:szCs w:val="24"/>
        </w:rPr>
        <w:t xml:space="preserve">the “fixed-start” type, which includes countries that started with a fixed exchange rate regime and a strict control of money supply and subsequently moved to a floating exchange rate regime, inflation targeting or kept their strict regimes; and </w:t>
      </w:r>
      <w:r w:rsidR="00603CB5" w:rsidRPr="00061A5F">
        <w:rPr>
          <w:rFonts w:ascii="Times New Roman" w:hAnsi="Times New Roman"/>
          <w:sz w:val="24"/>
          <w:szCs w:val="24"/>
        </w:rPr>
        <w:t xml:space="preserve">(II) </w:t>
      </w:r>
      <w:r w:rsidRPr="00061A5F">
        <w:rPr>
          <w:rFonts w:ascii="Times New Roman" w:hAnsi="Times New Roman"/>
          <w:sz w:val="24"/>
          <w:szCs w:val="24"/>
        </w:rPr>
        <w:t>the “floating start” type. The latter starting with a floating rate and later on introduc</w:t>
      </w:r>
      <w:r w:rsidR="007A0A0A" w:rsidRPr="00061A5F">
        <w:rPr>
          <w:rFonts w:ascii="Times New Roman" w:hAnsi="Times New Roman"/>
          <w:sz w:val="24"/>
          <w:szCs w:val="24"/>
        </w:rPr>
        <w:t>ed</w:t>
      </w:r>
      <w:r w:rsidRPr="00061A5F">
        <w:rPr>
          <w:rFonts w:ascii="Times New Roman" w:hAnsi="Times New Roman"/>
          <w:sz w:val="24"/>
          <w:szCs w:val="24"/>
        </w:rPr>
        <w:t xml:space="preserve"> rigorous monetary regimes or ke</w:t>
      </w:r>
      <w:r w:rsidR="007A0A0A" w:rsidRPr="00061A5F">
        <w:rPr>
          <w:rFonts w:ascii="Times New Roman" w:hAnsi="Times New Roman"/>
          <w:sz w:val="24"/>
          <w:szCs w:val="24"/>
        </w:rPr>
        <w:t>pt</w:t>
      </w:r>
      <w:r w:rsidRPr="00061A5F">
        <w:rPr>
          <w:rFonts w:ascii="Times New Roman" w:hAnsi="Times New Roman"/>
          <w:sz w:val="24"/>
          <w:szCs w:val="24"/>
        </w:rPr>
        <w:t xml:space="preserve"> their floating rate regimes. </w:t>
      </w:r>
    </w:p>
    <w:p w14:paraId="644B4B94" w14:textId="77777777" w:rsidR="002D0F34" w:rsidRPr="00061A5F" w:rsidRDefault="002D0F34" w:rsidP="007F5D0E">
      <w:pPr>
        <w:spacing w:line="276" w:lineRule="auto"/>
        <w:jc w:val="both"/>
        <w:rPr>
          <w:rFonts w:ascii="Times New Roman" w:hAnsi="Times New Roman"/>
          <w:sz w:val="24"/>
          <w:szCs w:val="24"/>
        </w:rPr>
      </w:pPr>
    </w:p>
    <w:p w14:paraId="379F65B3" w14:textId="5343F592" w:rsidR="002D0F34" w:rsidRPr="00061A5F" w:rsidRDefault="002D0F34" w:rsidP="007F5D0E">
      <w:pPr>
        <w:spacing w:line="276" w:lineRule="auto"/>
        <w:jc w:val="both"/>
        <w:rPr>
          <w:rFonts w:ascii="Times New Roman" w:hAnsi="Times New Roman"/>
          <w:sz w:val="24"/>
          <w:szCs w:val="24"/>
        </w:rPr>
      </w:pPr>
      <w:proofErr w:type="spellStart"/>
      <w:r w:rsidRPr="00061A5F">
        <w:rPr>
          <w:rFonts w:ascii="Times New Roman" w:hAnsi="Times New Roman"/>
          <w:sz w:val="24"/>
          <w:szCs w:val="24"/>
        </w:rPr>
        <w:t>Nenovsky</w:t>
      </w:r>
      <w:proofErr w:type="spellEnd"/>
      <w:r w:rsidRPr="00061A5F">
        <w:rPr>
          <w:rFonts w:ascii="Times New Roman" w:hAnsi="Times New Roman"/>
          <w:sz w:val="24"/>
          <w:szCs w:val="24"/>
        </w:rPr>
        <w:t xml:space="preserve"> focused on European transition countries in his classification, but Asian transition countries included in our sample could be classified</w:t>
      </w:r>
      <w:r w:rsidR="007A0A0A" w:rsidRPr="00061A5F">
        <w:rPr>
          <w:rFonts w:ascii="Times New Roman" w:hAnsi="Times New Roman"/>
          <w:sz w:val="24"/>
          <w:szCs w:val="24"/>
        </w:rPr>
        <w:t xml:space="preserve"> in the</w:t>
      </w:r>
      <w:r w:rsidRPr="00061A5F">
        <w:rPr>
          <w:rFonts w:ascii="Times New Roman" w:hAnsi="Times New Roman"/>
          <w:sz w:val="24"/>
          <w:szCs w:val="24"/>
        </w:rPr>
        <w:t xml:space="preserve"> second group. However, the first  type could be divided into </w:t>
      </w:r>
      <w:r w:rsidR="00603CB5" w:rsidRPr="00061A5F">
        <w:rPr>
          <w:rFonts w:ascii="Times New Roman" w:hAnsi="Times New Roman"/>
          <w:sz w:val="24"/>
          <w:szCs w:val="24"/>
        </w:rPr>
        <w:t>three</w:t>
      </w:r>
      <w:r w:rsidRPr="00061A5F">
        <w:rPr>
          <w:rFonts w:ascii="Times New Roman" w:hAnsi="Times New Roman"/>
          <w:sz w:val="24"/>
          <w:szCs w:val="24"/>
        </w:rPr>
        <w:t xml:space="preserve"> groups: (</w:t>
      </w:r>
      <w:proofErr w:type="spellStart"/>
      <w:r w:rsidRPr="00061A5F">
        <w:rPr>
          <w:rFonts w:ascii="Times New Roman" w:hAnsi="Times New Roman"/>
          <w:sz w:val="24"/>
          <w:szCs w:val="24"/>
        </w:rPr>
        <w:t>i</w:t>
      </w:r>
      <w:proofErr w:type="spellEnd"/>
      <w:r w:rsidRPr="00061A5F">
        <w:rPr>
          <w:rFonts w:ascii="Times New Roman" w:hAnsi="Times New Roman"/>
          <w:sz w:val="24"/>
          <w:szCs w:val="24"/>
        </w:rPr>
        <w:t>) countries which opted for a strict regime and kept it through time: Bosnia and Herzegovina, Lithuania, Estonia</w:t>
      </w:r>
      <w:r w:rsidR="007A0A0A" w:rsidRPr="00061A5F">
        <w:rPr>
          <w:rFonts w:ascii="Times New Roman" w:hAnsi="Times New Roman"/>
          <w:sz w:val="24"/>
          <w:szCs w:val="24"/>
        </w:rPr>
        <w:t xml:space="preserve"> and</w:t>
      </w:r>
      <w:r w:rsidRPr="00061A5F">
        <w:rPr>
          <w:rFonts w:ascii="Times New Roman" w:hAnsi="Times New Roman"/>
          <w:sz w:val="24"/>
          <w:szCs w:val="24"/>
        </w:rPr>
        <w:t xml:space="preserve"> Bulgaria (although Bulgaria started with floating, it soon switched to </w:t>
      </w:r>
      <w:r w:rsidR="00FA5146" w:rsidRPr="00061A5F">
        <w:rPr>
          <w:rFonts w:ascii="Times New Roman" w:hAnsi="Times New Roman"/>
          <w:sz w:val="24"/>
          <w:szCs w:val="24"/>
        </w:rPr>
        <w:t xml:space="preserve">a </w:t>
      </w:r>
      <w:r w:rsidRPr="00061A5F">
        <w:rPr>
          <w:rFonts w:ascii="Times New Roman" w:hAnsi="Times New Roman"/>
          <w:sz w:val="24"/>
          <w:szCs w:val="24"/>
        </w:rPr>
        <w:t xml:space="preserve">CBA in 1997) through introducing a CBA (with Estonia and Lithuania later switching to the euro); Montenegro and Kosovo through </w:t>
      </w:r>
      <w:proofErr w:type="spellStart"/>
      <w:r w:rsidRPr="00061A5F">
        <w:rPr>
          <w:rFonts w:ascii="Times New Roman" w:hAnsi="Times New Roman"/>
          <w:sz w:val="24"/>
          <w:szCs w:val="24"/>
        </w:rPr>
        <w:t>euroisation</w:t>
      </w:r>
      <w:proofErr w:type="spellEnd"/>
      <w:r w:rsidRPr="00061A5F">
        <w:rPr>
          <w:rFonts w:ascii="Times New Roman" w:hAnsi="Times New Roman"/>
          <w:sz w:val="24"/>
          <w:szCs w:val="24"/>
        </w:rPr>
        <w:t xml:space="preserve"> (these two countries are not included in our sample due to lack of data, as these countries gained their independence in 2006 and 2008, respectively); (ii) Croatia, Latvia, Slovenia and the Slovak Republic, which opted for </w:t>
      </w:r>
      <w:r w:rsidR="00FA5146" w:rsidRPr="00061A5F">
        <w:rPr>
          <w:rFonts w:ascii="Times New Roman" w:hAnsi="Times New Roman"/>
          <w:sz w:val="24"/>
          <w:szCs w:val="24"/>
        </w:rPr>
        <w:t xml:space="preserve">a </w:t>
      </w:r>
      <w:r w:rsidRPr="00061A5F">
        <w:rPr>
          <w:rFonts w:ascii="Times New Roman" w:hAnsi="Times New Roman"/>
          <w:sz w:val="24"/>
          <w:szCs w:val="24"/>
        </w:rPr>
        <w:t xml:space="preserve">more discretionary regime but </w:t>
      </w:r>
      <w:r w:rsidRPr="00061A5F">
        <w:rPr>
          <w:rFonts w:ascii="Times New Roman" w:hAnsi="Times New Roman"/>
          <w:i/>
          <w:iCs/>
          <w:sz w:val="24"/>
          <w:szCs w:val="24"/>
        </w:rPr>
        <w:t>de facto</w:t>
      </w:r>
      <w:r w:rsidRPr="00061A5F">
        <w:rPr>
          <w:rFonts w:ascii="Times New Roman" w:hAnsi="Times New Roman"/>
          <w:sz w:val="24"/>
          <w:szCs w:val="24"/>
        </w:rPr>
        <w:t xml:space="preserve"> maintained their rates. Within the first type there is a group of countries that started with a strict regime and moved towards a more flexible/discretionary one, such as inflation targeting (iii): the Czech Republic, Poland and Hungary. Within the second group Albania, Macedonia</w:t>
      </w:r>
      <w:r w:rsidRPr="00061A5F">
        <w:rPr>
          <w:rStyle w:val="CommentReference"/>
          <w:rFonts w:eastAsia="Calibri"/>
        </w:rPr>
        <w:t xml:space="preserve">, </w:t>
      </w:r>
      <w:r w:rsidRPr="00061A5F">
        <w:rPr>
          <w:rFonts w:ascii="Times New Roman" w:hAnsi="Times New Roman"/>
          <w:sz w:val="24"/>
          <w:szCs w:val="24"/>
        </w:rPr>
        <w:t xml:space="preserve">Romania and Serbia started with a floating rate and kept it, introducing </w:t>
      </w:r>
      <w:r w:rsidRPr="00061A5F">
        <w:rPr>
          <w:rFonts w:ascii="Times New Roman" w:hAnsi="Times New Roman"/>
          <w:i/>
          <w:iCs/>
          <w:sz w:val="24"/>
          <w:szCs w:val="24"/>
        </w:rPr>
        <w:t xml:space="preserve">de facto </w:t>
      </w:r>
      <w:r w:rsidRPr="00061A5F">
        <w:rPr>
          <w:rFonts w:ascii="Times New Roman" w:hAnsi="Times New Roman"/>
          <w:sz w:val="24"/>
          <w:szCs w:val="24"/>
        </w:rPr>
        <w:t xml:space="preserve">crawling and later </w:t>
      </w:r>
      <w:r w:rsidRPr="00061A5F">
        <w:rPr>
          <w:rFonts w:ascii="Times New Roman" w:hAnsi="Times New Roman"/>
          <w:i/>
          <w:iCs/>
          <w:sz w:val="24"/>
          <w:szCs w:val="24"/>
        </w:rPr>
        <w:t>de facto</w:t>
      </w:r>
      <w:r w:rsidRPr="00061A5F">
        <w:rPr>
          <w:rFonts w:ascii="Times New Roman" w:hAnsi="Times New Roman"/>
          <w:sz w:val="24"/>
          <w:szCs w:val="24"/>
        </w:rPr>
        <w:t xml:space="preserve"> peg to euro (Romania introduced inflation targeting in 2005). </w:t>
      </w:r>
      <w:proofErr w:type="spellStart"/>
      <w:r w:rsidRPr="00061A5F">
        <w:rPr>
          <w:rFonts w:ascii="Times New Roman" w:hAnsi="Times New Roman"/>
          <w:sz w:val="24"/>
          <w:szCs w:val="24"/>
        </w:rPr>
        <w:t>Nenovsky</w:t>
      </w:r>
      <w:proofErr w:type="spellEnd"/>
      <w:r w:rsidRPr="00061A5F">
        <w:rPr>
          <w:rFonts w:ascii="Times New Roman" w:hAnsi="Times New Roman"/>
          <w:sz w:val="24"/>
          <w:szCs w:val="24"/>
        </w:rPr>
        <w:t xml:space="preserve"> (20</w:t>
      </w:r>
      <w:r w:rsidR="0055096B" w:rsidRPr="00061A5F">
        <w:rPr>
          <w:rFonts w:ascii="Times New Roman" w:hAnsi="Times New Roman"/>
          <w:sz w:val="24"/>
          <w:szCs w:val="24"/>
        </w:rPr>
        <w:t>09</w:t>
      </w:r>
      <w:r w:rsidRPr="00061A5F">
        <w:rPr>
          <w:rFonts w:ascii="Times New Roman" w:hAnsi="Times New Roman"/>
          <w:sz w:val="24"/>
          <w:szCs w:val="24"/>
        </w:rPr>
        <w:t>) argues that the</w:t>
      </w:r>
      <w:r w:rsidR="007A0A0A" w:rsidRPr="00061A5F">
        <w:rPr>
          <w:rFonts w:ascii="Times New Roman" w:hAnsi="Times New Roman"/>
          <w:sz w:val="24"/>
          <w:szCs w:val="24"/>
        </w:rPr>
        <w:t xml:space="preserve"> countries in the </w:t>
      </w:r>
      <w:r w:rsidRPr="00061A5F">
        <w:rPr>
          <w:rFonts w:ascii="Times New Roman" w:hAnsi="Times New Roman"/>
          <w:sz w:val="24"/>
          <w:szCs w:val="24"/>
        </w:rPr>
        <w:t>first</w:t>
      </w:r>
      <w:r w:rsidR="007A0A0A" w:rsidRPr="00061A5F">
        <w:rPr>
          <w:rFonts w:ascii="Times New Roman" w:hAnsi="Times New Roman"/>
          <w:sz w:val="24"/>
          <w:szCs w:val="24"/>
        </w:rPr>
        <w:t xml:space="preserve"> group were</w:t>
      </w:r>
      <w:r w:rsidRPr="00061A5F">
        <w:rPr>
          <w:rFonts w:ascii="Times New Roman" w:hAnsi="Times New Roman"/>
          <w:sz w:val="24"/>
          <w:szCs w:val="24"/>
        </w:rPr>
        <w:t xml:space="preserve"> more successful in handling the process of transition. </w:t>
      </w:r>
    </w:p>
    <w:p w14:paraId="790D644F" w14:textId="77777777" w:rsidR="002D0F34" w:rsidRPr="00061A5F" w:rsidRDefault="002D0F34" w:rsidP="007F5D0E">
      <w:pPr>
        <w:spacing w:line="276" w:lineRule="auto"/>
        <w:jc w:val="both"/>
        <w:rPr>
          <w:rFonts w:ascii="Times New Roman" w:hAnsi="Times New Roman"/>
          <w:sz w:val="24"/>
          <w:szCs w:val="24"/>
        </w:rPr>
      </w:pPr>
    </w:p>
    <w:p w14:paraId="11CE1434" w14:textId="7130D487" w:rsidR="002D0F34" w:rsidRPr="00061A5F" w:rsidRDefault="002D0F34" w:rsidP="007F5D0E">
      <w:pPr>
        <w:spacing w:line="276" w:lineRule="auto"/>
        <w:jc w:val="both"/>
        <w:rPr>
          <w:rFonts w:ascii="Times New Roman" w:hAnsi="Times New Roman"/>
          <w:sz w:val="24"/>
          <w:szCs w:val="24"/>
        </w:rPr>
      </w:pPr>
      <w:r w:rsidRPr="00061A5F">
        <w:rPr>
          <w:rFonts w:ascii="Times New Roman" w:hAnsi="Times New Roman"/>
          <w:sz w:val="24"/>
          <w:szCs w:val="24"/>
        </w:rPr>
        <w:t xml:space="preserve">Since no CIS country has run a hard peg none could be classified as the first type. </w:t>
      </w:r>
      <w:r w:rsidR="00603CB5" w:rsidRPr="00061A5F">
        <w:rPr>
          <w:rFonts w:ascii="Times New Roman" w:hAnsi="Times New Roman"/>
          <w:sz w:val="24"/>
          <w:szCs w:val="24"/>
        </w:rPr>
        <w:t xml:space="preserve">Instead, they correspond more to the second type. </w:t>
      </w:r>
      <w:r w:rsidRPr="00061A5F">
        <w:rPr>
          <w:rFonts w:ascii="Times New Roman" w:hAnsi="Times New Roman"/>
          <w:sz w:val="24"/>
          <w:szCs w:val="24"/>
        </w:rPr>
        <w:t xml:space="preserve">Tajikistan and Moldova moved from freely floating to </w:t>
      </w:r>
      <w:r w:rsidRPr="00061A5F">
        <w:rPr>
          <w:rFonts w:ascii="Times New Roman" w:hAnsi="Times New Roman"/>
          <w:i/>
          <w:iCs/>
          <w:sz w:val="24"/>
          <w:szCs w:val="24"/>
        </w:rPr>
        <w:t>de facto</w:t>
      </w:r>
      <w:r w:rsidRPr="00061A5F">
        <w:rPr>
          <w:rFonts w:ascii="Times New Roman" w:hAnsi="Times New Roman"/>
          <w:sz w:val="24"/>
          <w:szCs w:val="24"/>
        </w:rPr>
        <w:t xml:space="preserve"> crawling. Most Asian ex-soviet member states opted for a </w:t>
      </w:r>
      <w:r w:rsidRPr="00061A5F">
        <w:rPr>
          <w:rFonts w:ascii="Times New Roman" w:hAnsi="Times New Roman"/>
          <w:i/>
          <w:iCs/>
          <w:sz w:val="24"/>
          <w:szCs w:val="24"/>
        </w:rPr>
        <w:t>de facto</w:t>
      </w:r>
      <w:r w:rsidRPr="00061A5F">
        <w:rPr>
          <w:rFonts w:ascii="Times New Roman" w:hAnsi="Times New Roman"/>
          <w:sz w:val="24"/>
          <w:szCs w:val="24"/>
        </w:rPr>
        <w:t xml:space="preserve"> crawling peg (to the US dollar): Armenia, </w:t>
      </w:r>
      <w:proofErr w:type="spellStart"/>
      <w:r w:rsidRPr="00061A5F">
        <w:rPr>
          <w:rFonts w:ascii="Times New Roman" w:hAnsi="Times New Roman"/>
          <w:sz w:val="24"/>
          <w:szCs w:val="24"/>
        </w:rPr>
        <w:t>Azarbaijan</w:t>
      </w:r>
      <w:proofErr w:type="spellEnd"/>
      <w:r w:rsidRPr="00061A5F">
        <w:rPr>
          <w:rFonts w:ascii="Times New Roman" w:hAnsi="Times New Roman"/>
          <w:sz w:val="24"/>
          <w:szCs w:val="24"/>
        </w:rPr>
        <w:t xml:space="preserve"> (managed floating from 2015), </w:t>
      </w:r>
      <w:proofErr w:type="spellStart"/>
      <w:r w:rsidRPr="00061A5F">
        <w:rPr>
          <w:rFonts w:ascii="Times New Roman" w:hAnsi="Times New Roman"/>
          <w:sz w:val="24"/>
          <w:szCs w:val="24"/>
        </w:rPr>
        <w:t>Kazahstan</w:t>
      </w:r>
      <w:proofErr w:type="spellEnd"/>
      <w:r w:rsidRPr="00061A5F">
        <w:rPr>
          <w:rFonts w:ascii="Times New Roman" w:hAnsi="Times New Roman"/>
          <w:sz w:val="24"/>
          <w:szCs w:val="24"/>
        </w:rPr>
        <w:t>, Kyrgyz, Georgia, Russia,</w:t>
      </w:r>
      <w:r w:rsidR="007A0A0A" w:rsidRPr="00061A5F">
        <w:rPr>
          <w:rFonts w:ascii="Times New Roman" w:hAnsi="Times New Roman"/>
          <w:sz w:val="24"/>
          <w:szCs w:val="24"/>
        </w:rPr>
        <w:t xml:space="preserve"> and the </w:t>
      </w:r>
      <w:r w:rsidRPr="00061A5F">
        <w:rPr>
          <w:rFonts w:ascii="Times New Roman" w:hAnsi="Times New Roman"/>
          <w:sz w:val="24"/>
          <w:szCs w:val="24"/>
        </w:rPr>
        <w:t>Ukraine (floating since 2014). Belarus changed its regime five times during the observed period.</w:t>
      </w:r>
      <w:r w:rsidRPr="00061A5F">
        <w:rPr>
          <w:rStyle w:val="FootnoteReference"/>
          <w:rFonts w:ascii="Times New Roman" w:hAnsi="Times New Roman"/>
          <w:sz w:val="24"/>
          <w:szCs w:val="24"/>
        </w:rPr>
        <w:footnoteReference w:id="3"/>
      </w:r>
      <w:r w:rsidRPr="00061A5F">
        <w:rPr>
          <w:rFonts w:ascii="Times New Roman" w:hAnsi="Times New Roman"/>
          <w:sz w:val="24"/>
          <w:szCs w:val="24"/>
        </w:rPr>
        <w:t xml:space="preserve"> </w:t>
      </w:r>
      <w:r w:rsidR="00603CB5" w:rsidRPr="00061A5F">
        <w:rPr>
          <w:rFonts w:ascii="Times New Roman" w:hAnsi="Times New Roman"/>
          <w:sz w:val="24"/>
          <w:szCs w:val="24"/>
        </w:rPr>
        <w:t>Although t</w:t>
      </w:r>
      <w:r w:rsidRPr="00061A5F">
        <w:rPr>
          <w:rFonts w:ascii="Times New Roman" w:hAnsi="Times New Roman"/>
          <w:sz w:val="24"/>
          <w:szCs w:val="24"/>
        </w:rPr>
        <w:t xml:space="preserve">his classifies all CIS countries </w:t>
      </w:r>
      <w:r w:rsidR="00603CB5" w:rsidRPr="00061A5F">
        <w:rPr>
          <w:rFonts w:ascii="Times New Roman" w:hAnsi="Times New Roman"/>
          <w:sz w:val="24"/>
          <w:szCs w:val="24"/>
        </w:rPr>
        <w:t>as</w:t>
      </w:r>
      <w:r w:rsidRPr="00061A5F">
        <w:rPr>
          <w:rFonts w:ascii="Times New Roman" w:hAnsi="Times New Roman"/>
          <w:sz w:val="24"/>
          <w:szCs w:val="24"/>
        </w:rPr>
        <w:t xml:space="preserve"> the second type</w:t>
      </w:r>
      <w:r w:rsidR="00603CB5" w:rsidRPr="00061A5F">
        <w:rPr>
          <w:rFonts w:ascii="Times New Roman" w:hAnsi="Times New Roman"/>
          <w:sz w:val="24"/>
          <w:szCs w:val="24"/>
        </w:rPr>
        <w:t xml:space="preserve">, </w:t>
      </w:r>
      <w:r w:rsidRPr="00061A5F">
        <w:rPr>
          <w:rFonts w:ascii="Times New Roman" w:hAnsi="Times New Roman"/>
          <w:sz w:val="24"/>
          <w:szCs w:val="24"/>
        </w:rPr>
        <w:t>we observe them separately from the European “floating-start” type countries</w:t>
      </w:r>
      <w:r w:rsidR="00BD7F65" w:rsidRPr="00061A5F">
        <w:rPr>
          <w:rFonts w:ascii="Times New Roman" w:hAnsi="Times New Roman"/>
          <w:sz w:val="24"/>
          <w:szCs w:val="24"/>
        </w:rPr>
        <w:t>,</w:t>
      </w:r>
      <w:r w:rsidRPr="00061A5F">
        <w:rPr>
          <w:rFonts w:ascii="Times New Roman" w:hAnsi="Times New Roman"/>
          <w:sz w:val="24"/>
          <w:szCs w:val="24"/>
        </w:rPr>
        <w:t xml:space="preserve"> since European transition countries </w:t>
      </w:r>
      <w:r w:rsidRPr="00061A5F">
        <w:rPr>
          <w:rFonts w:ascii="Times New Roman" w:hAnsi="Times New Roman"/>
          <w:i/>
          <w:iCs/>
          <w:sz w:val="24"/>
          <w:szCs w:val="24"/>
        </w:rPr>
        <w:t>de facto</w:t>
      </w:r>
      <w:r w:rsidRPr="00061A5F">
        <w:rPr>
          <w:rFonts w:ascii="Times New Roman" w:hAnsi="Times New Roman"/>
          <w:sz w:val="24"/>
          <w:szCs w:val="24"/>
        </w:rPr>
        <w:t xml:space="preserve"> try not to deviate much from the euro on their way to the EU/EMU integration. </w:t>
      </w:r>
      <w:proofErr w:type="spellStart"/>
      <w:r w:rsidRPr="00061A5F">
        <w:rPr>
          <w:rFonts w:ascii="Times New Roman" w:hAnsi="Times New Roman"/>
          <w:sz w:val="24"/>
          <w:szCs w:val="24"/>
        </w:rPr>
        <w:t>D</w:t>
      </w:r>
      <w:r w:rsidR="00917F7B" w:rsidRPr="00061A5F">
        <w:rPr>
          <w:rFonts w:ascii="Times New Roman" w:hAnsi="Times New Roman"/>
          <w:sz w:val="24"/>
          <w:szCs w:val="24"/>
        </w:rPr>
        <w:t>a</w:t>
      </w:r>
      <w:r w:rsidRPr="00061A5F">
        <w:rPr>
          <w:rFonts w:ascii="Times New Roman" w:hAnsi="Times New Roman"/>
          <w:sz w:val="24"/>
          <w:szCs w:val="24"/>
        </w:rPr>
        <w:t>browski</w:t>
      </w:r>
      <w:proofErr w:type="spellEnd"/>
      <w:r w:rsidRPr="00061A5F">
        <w:rPr>
          <w:rFonts w:ascii="Times New Roman" w:hAnsi="Times New Roman"/>
          <w:sz w:val="24"/>
          <w:szCs w:val="24"/>
        </w:rPr>
        <w:t xml:space="preserve"> (2013) argues that the worst inflation performance among Asian transition countries was by the non-credible </w:t>
      </w:r>
      <w:proofErr w:type="spellStart"/>
      <w:r w:rsidRPr="00061A5F">
        <w:rPr>
          <w:rFonts w:ascii="Times New Roman" w:hAnsi="Times New Roman"/>
          <w:sz w:val="24"/>
          <w:szCs w:val="24"/>
        </w:rPr>
        <w:t>peggers</w:t>
      </w:r>
      <w:proofErr w:type="spellEnd"/>
      <w:r w:rsidRPr="00061A5F">
        <w:rPr>
          <w:rFonts w:ascii="Times New Roman" w:hAnsi="Times New Roman"/>
          <w:sz w:val="24"/>
          <w:szCs w:val="24"/>
        </w:rPr>
        <w:t xml:space="preserve"> (which were not even classified as pegs in </w:t>
      </w:r>
      <w:r w:rsidRPr="00061A5F">
        <w:rPr>
          <w:rFonts w:ascii="Times New Roman" w:hAnsi="Times New Roman"/>
          <w:i/>
          <w:iCs/>
          <w:sz w:val="24"/>
          <w:szCs w:val="24"/>
        </w:rPr>
        <w:t>de facto</w:t>
      </w:r>
      <w:r w:rsidRPr="00061A5F">
        <w:rPr>
          <w:rFonts w:ascii="Times New Roman" w:hAnsi="Times New Roman"/>
          <w:sz w:val="24"/>
          <w:szCs w:val="24"/>
        </w:rPr>
        <w:t xml:space="preserve"> classifications) such as Belarus and Ukraine or countries experimenting with various forms of a crawling peg/band depreciation, i.e., Uzbekistan, Tajikistan and Russia. </w:t>
      </w:r>
    </w:p>
    <w:p w14:paraId="29E9B8C7" w14:textId="77777777" w:rsidR="002D0F34" w:rsidRPr="00061A5F" w:rsidRDefault="002D0F34" w:rsidP="007F5D0E">
      <w:pPr>
        <w:spacing w:line="276" w:lineRule="auto"/>
        <w:jc w:val="both"/>
        <w:rPr>
          <w:rFonts w:ascii="Times New Roman" w:hAnsi="Times New Roman"/>
          <w:sz w:val="24"/>
          <w:szCs w:val="24"/>
        </w:rPr>
      </w:pPr>
    </w:p>
    <w:p w14:paraId="06627261" w14:textId="3216758F" w:rsidR="002D0F34" w:rsidRPr="00061A5F" w:rsidRDefault="002D0F34" w:rsidP="007F5D0E">
      <w:pPr>
        <w:spacing w:line="276" w:lineRule="auto"/>
        <w:jc w:val="both"/>
        <w:rPr>
          <w:rFonts w:ascii="Times New Roman" w:hAnsi="Times New Roman"/>
          <w:sz w:val="24"/>
          <w:szCs w:val="24"/>
        </w:rPr>
      </w:pPr>
      <w:r w:rsidRPr="00061A5F">
        <w:rPr>
          <w:rFonts w:ascii="Times New Roman" w:hAnsi="Times New Roman"/>
          <w:sz w:val="24"/>
          <w:szCs w:val="24"/>
        </w:rPr>
        <w:t xml:space="preserve">If we make five distinctive groups – CBA; </w:t>
      </w:r>
      <w:r w:rsidRPr="00061A5F">
        <w:rPr>
          <w:rFonts w:ascii="Times New Roman" w:hAnsi="Times New Roman"/>
          <w:i/>
          <w:iCs/>
          <w:sz w:val="24"/>
          <w:szCs w:val="24"/>
        </w:rPr>
        <w:t>de facto</w:t>
      </w:r>
      <w:r w:rsidRPr="00061A5F">
        <w:rPr>
          <w:rFonts w:ascii="Times New Roman" w:hAnsi="Times New Roman"/>
          <w:sz w:val="24"/>
          <w:szCs w:val="24"/>
        </w:rPr>
        <w:t xml:space="preserve"> fixers; fixers that switched to inflation targeting; floaters that switched to more rigid regimes; and mostly crawling bands (CIS countries) – we can see that the last two performed the worst with respect to inflation (Figure 1). </w:t>
      </w:r>
      <w:bookmarkStart w:id="42" w:name="_Hlk21200721"/>
      <w:r w:rsidRPr="00061A5F">
        <w:rPr>
          <w:rFonts w:ascii="Times New Roman" w:hAnsi="Times New Roman"/>
          <w:sz w:val="24"/>
          <w:szCs w:val="24"/>
        </w:rPr>
        <w:t xml:space="preserve">Among </w:t>
      </w:r>
      <w:r w:rsidR="001F1430" w:rsidRPr="00061A5F">
        <w:rPr>
          <w:rFonts w:ascii="Times New Roman" w:hAnsi="Times New Roman"/>
          <w:sz w:val="24"/>
          <w:szCs w:val="24"/>
        </w:rPr>
        <w:t>all five groups</w:t>
      </w:r>
      <w:r w:rsidRPr="00061A5F">
        <w:rPr>
          <w:rFonts w:ascii="Times New Roman" w:hAnsi="Times New Roman"/>
          <w:sz w:val="24"/>
          <w:szCs w:val="24"/>
        </w:rPr>
        <w:t xml:space="preserve">, CBA countries </w:t>
      </w:r>
      <w:r w:rsidR="001F1430" w:rsidRPr="00061A5F">
        <w:rPr>
          <w:rFonts w:ascii="Times New Roman" w:hAnsi="Times New Roman"/>
          <w:sz w:val="24"/>
          <w:szCs w:val="24"/>
        </w:rPr>
        <w:t xml:space="preserve">recorded the lowest inflation in 10 of the 18 years in our sample period </w:t>
      </w:r>
      <w:r w:rsidRPr="00061A5F">
        <w:rPr>
          <w:rFonts w:ascii="Times New Roman" w:hAnsi="Times New Roman"/>
          <w:sz w:val="24"/>
          <w:szCs w:val="24"/>
        </w:rPr>
        <w:t>(Figure</w:t>
      </w:r>
      <w:r w:rsidR="001F1430" w:rsidRPr="00061A5F">
        <w:rPr>
          <w:rFonts w:ascii="Times New Roman" w:hAnsi="Times New Roman"/>
          <w:sz w:val="24"/>
          <w:szCs w:val="24"/>
        </w:rPr>
        <w:t>s</w:t>
      </w:r>
      <w:r w:rsidRPr="00061A5F">
        <w:rPr>
          <w:rFonts w:ascii="Times New Roman" w:hAnsi="Times New Roman"/>
          <w:sz w:val="24"/>
          <w:szCs w:val="24"/>
        </w:rPr>
        <w:t xml:space="preserve"> </w:t>
      </w:r>
      <w:r w:rsidR="001F1430" w:rsidRPr="00061A5F">
        <w:rPr>
          <w:rFonts w:ascii="Times New Roman" w:hAnsi="Times New Roman"/>
          <w:sz w:val="24"/>
          <w:szCs w:val="24"/>
        </w:rPr>
        <w:t xml:space="preserve">1 and </w:t>
      </w:r>
      <w:r w:rsidRPr="00061A5F">
        <w:rPr>
          <w:rFonts w:ascii="Times New Roman" w:hAnsi="Times New Roman"/>
          <w:sz w:val="24"/>
          <w:szCs w:val="24"/>
        </w:rPr>
        <w:t>2).</w:t>
      </w:r>
      <w:bookmarkEnd w:id="42"/>
    </w:p>
    <w:bookmarkEnd w:id="41"/>
    <w:p w14:paraId="77FEE70F" w14:textId="38A7236D" w:rsidR="009270F1" w:rsidRPr="00061A5F" w:rsidRDefault="009270F1" w:rsidP="007F5D0E">
      <w:pPr>
        <w:spacing w:line="276" w:lineRule="auto"/>
        <w:jc w:val="both"/>
        <w:rPr>
          <w:rFonts w:ascii="Times New Roman" w:hAnsi="Times New Roman"/>
          <w:sz w:val="24"/>
          <w:szCs w:val="24"/>
        </w:rPr>
      </w:pPr>
    </w:p>
    <w:p w14:paraId="7F06D606" w14:textId="444DA4AF" w:rsidR="00D56DE2" w:rsidRPr="00061A5F" w:rsidRDefault="00D56DE2" w:rsidP="007F5D0E">
      <w:pPr>
        <w:spacing w:line="276" w:lineRule="auto"/>
        <w:jc w:val="both"/>
        <w:rPr>
          <w:rFonts w:ascii="Times New Roman" w:hAnsi="Times New Roman"/>
          <w:b/>
          <w:bCs/>
          <w:sz w:val="24"/>
          <w:szCs w:val="24"/>
        </w:rPr>
      </w:pPr>
    </w:p>
    <w:p w14:paraId="71B394D4" w14:textId="5D2AC75B" w:rsidR="00D56DE2" w:rsidRPr="00061A5F" w:rsidRDefault="00AD63DD" w:rsidP="007F5D0E">
      <w:pPr>
        <w:spacing w:line="276" w:lineRule="auto"/>
        <w:jc w:val="both"/>
        <w:rPr>
          <w:rFonts w:ascii="Times New Roman" w:hAnsi="Times New Roman"/>
          <w:b/>
          <w:bCs/>
          <w:sz w:val="24"/>
          <w:szCs w:val="24"/>
        </w:rPr>
      </w:pPr>
      <w:r w:rsidRPr="00061A5F">
        <w:rPr>
          <w:rFonts w:ascii="Times New Roman" w:hAnsi="Times New Roman"/>
          <w:b/>
          <w:bCs/>
          <w:sz w:val="24"/>
          <w:szCs w:val="24"/>
        </w:rPr>
        <w:t>Insert Figure 1 around here</w:t>
      </w:r>
    </w:p>
    <w:p w14:paraId="4D2ED59C" w14:textId="77777777" w:rsidR="002D0F34" w:rsidRPr="00061A5F" w:rsidRDefault="002D0F34" w:rsidP="007F5D0E">
      <w:pPr>
        <w:spacing w:line="276" w:lineRule="auto"/>
        <w:jc w:val="both"/>
        <w:rPr>
          <w:rFonts w:ascii="Times New Roman" w:hAnsi="Times New Roman"/>
          <w:b/>
          <w:bCs/>
          <w:sz w:val="24"/>
          <w:szCs w:val="24"/>
        </w:rPr>
      </w:pPr>
    </w:p>
    <w:p w14:paraId="51838B47" w14:textId="3E82F37E" w:rsidR="00AD63DD" w:rsidRPr="00061A5F" w:rsidRDefault="00AD63DD" w:rsidP="007F5D0E">
      <w:pPr>
        <w:spacing w:line="276" w:lineRule="auto"/>
        <w:jc w:val="both"/>
        <w:rPr>
          <w:rFonts w:ascii="Times New Roman" w:hAnsi="Times New Roman"/>
          <w:b/>
          <w:bCs/>
          <w:sz w:val="24"/>
          <w:szCs w:val="24"/>
        </w:rPr>
      </w:pPr>
    </w:p>
    <w:p w14:paraId="40C3F44D" w14:textId="032B2628" w:rsidR="00AD63DD" w:rsidRPr="00061A5F" w:rsidRDefault="00AD63DD" w:rsidP="007F5D0E">
      <w:pPr>
        <w:spacing w:line="276" w:lineRule="auto"/>
        <w:jc w:val="both"/>
        <w:rPr>
          <w:rFonts w:ascii="Times New Roman" w:hAnsi="Times New Roman"/>
          <w:b/>
          <w:bCs/>
          <w:sz w:val="24"/>
          <w:szCs w:val="24"/>
        </w:rPr>
      </w:pPr>
      <w:r w:rsidRPr="00061A5F">
        <w:rPr>
          <w:rFonts w:ascii="Times New Roman" w:hAnsi="Times New Roman"/>
          <w:b/>
          <w:bCs/>
          <w:sz w:val="24"/>
          <w:szCs w:val="24"/>
        </w:rPr>
        <w:t>Insert Figure 2 around here</w:t>
      </w:r>
    </w:p>
    <w:p w14:paraId="6CE16192" w14:textId="3699CE3F" w:rsidR="00D56DE2" w:rsidRPr="00061A5F" w:rsidRDefault="00D56DE2" w:rsidP="007F5D0E">
      <w:pPr>
        <w:spacing w:line="276" w:lineRule="auto"/>
        <w:jc w:val="both"/>
        <w:rPr>
          <w:rFonts w:ascii="Times New Roman" w:hAnsi="Times New Roman"/>
          <w:sz w:val="24"/>
          <w:szCs w:val="24"/>
        </w:rPr>
      </w:pPr>
    </w:p>
    <w:p w14:paraId="458A13EA" w14:textId="03D075DF" w:rsidR="002D0F34" w:rsidRPr="00061A5F" w:rsidRDefault="00D264ED" w:rsidP="007F5D0E">
      <w:pPr>
        <w:spacing w:line="276" w:lineRule="auto"/>
        <w:jc w:val="both"/>
        <w:rPr>
          <w:rFonts w:ascii="Times New Roman" w:hAnsi="Times New Roman"/>
          <w:b/>
          <w:bCs/>
          <w:sz w:val="24"/>
          <w:szCs w:val="24"/>
        </w:rPr>
      </w:pPr>
      <w:r w:rsidRPr="00061A5F">
        <w:rPr>
          <w:rFonts w:ascii="Times New Roman" w:hAnsi="Times New Roman"/>
          <w:b/>
          <w:bCs/>
          <w:sz w:val="24"/>
          <w:szCs w:val="24"/>
        </w:rPr>
        <w:t>Inflation trends according to the EBRD classification of transition economies</w:t>
      </w:r>
    </w:p>
    <w:p w14:paraId="6F469F09" w14:textId="77777777" w:rsidR="00D264ED" w:rsidRPr="00061A5F" w:rsidRDefault="00D264ED" w:rsidP="007F5D0E">
      <w:pPr>
        <w:spacing w:line="276" w:lineRule="auto"/>
        <w:jc w:val="both"/>
        <w:rPr>
          <w:rFonts w:ascii="Times New Roman" w:hAnsi="Times New Roman"/>
          <w:sz w:val="24"/>
          <w:szCs w:val="24"/>
        </w:rPr>
      </w:pPr>
    </w:p>
    <w:p w14:paraId="40E74FB4" w14:textId="6167B8D6" w:rsidR="009408EE" w:rsidRPr="00061A5F" w:rsidRDefault="009408EE" w:rsidP="007F5D0E">
      <w:pPr>
        <w:spacing w:line="276" w:lineRule="auto"/>
        <w:jc w:val="both"/>
        <w:rPr>
          <w:rFonts w:ascii="Times New Roman" w:hAnsi="Times New Roman"/>
          <w:sz w:val="24"/>
          <w:szCs w:val="24"/>
        </w:rPr>
      </w:pPr>
      <w:r w:rsidRPr="00061A5F">
        <w:rPr>
          <w:rFonts w:ascii="Times New Roman" w:hAnsi="Times New Roman"/>
          <w:sz w:val="24"/>
          <w:szCs w:val="24"/>
        </w:rPr>
        <w:t>Economic reform in transition countries has been achieved through stabilisation, liberalisation and privatisation processes (Barlow, 2010). Although the transition process in all countries started at the beginning of the 1990s, it did not progress at the same pace in all countries. Moreover, different countries had different pre-transition conditions and therefore their progress in transition would have been expected to differ. Therefore,</w:t>
      </w:r>
      <w:r w:rsidR="0031583F" w:rsidRPr="00061A5F">
        <w:rPr>
          <w:rFonts w:ascii="Times New Roman" w:hAnsi="Times New Roman"/>
          <w:sz w:val="24"/>
          <w:szCs w:val="24"/>
        </w:rPr>
        <w:t xml:space="preserve"> these</w:t>
      </w:r>
      <w:r w:rsidRPr="00061A5F">
        <w:rPr>
          <w:rFonts w:ascii="Times New Roman" w:hAnsi="Times New Roman"/>
          <w:sz w:val="24"/>
          <w:szCs w:val="24"/>
        </w:rPr>
        <w:t xml:space="preserve"> countries are typically divided into three groups, following the grouping suggested in the EBRD transition reports. The first group consists of </w:t>
      </w:r>
      <w:r w:rsidR="00736BDE" w:rsidRPr="00061A5F">
        <w:rPr>
          <w:rFonts w:ascii="Times New Roman" w:hAnsi="Times New Roman"/>
          <w:sz w:val="24"/>
          <w:szCs w:val="24"/>
        </w:rPr>
        <w:t xml:space="preserve">Central Europe and the Baltic States </w:t>
      </w:r>
      <w:r w:rsidR="00737856" w:rsidRPr="00061A5F">
        <w:rPr>
          <w:rFonts w:ascii="Times New Roman" w:hAnsi="Times New Roman"/>
          <w:sz w:val="24"/>
          <w:szCs w:val="24"/>
        </w:rPr>
        <w:t>(</w:t>
      </w:r>
      <w:r w:rsidRPr="00061A5F">
        <w:rPr>
          <w:rFonts w:ascii="Times New Roman" w:hAnsi="Times New Roman"/>
          <w:sz w:val="24"/>
          <w:szCs w:val="24"/>
        </w:rPr>
        <w:t>CEB</w:t>
      </w:r>
      <w:r w:rsidR="00737856" w:rsidRPr="00061A5F">
        <w:rPr>
          <w:rFonts w:ascii="Times New Roman" w:hAnsi="Times New Roman"/>
          <w:sz w:val="24"/>
          <w:szCs w:val="24"/>
        </w:rPr>
        <w:t>)</w:t>
      </w:r>
      <w:r w:rsidRPr="00061A5F">
        <w:rPr>
          <w:rFonts w:ascii="Times New Roman" w:hAnsi="Times New Roman"/>
          <w:sz w:val="24"/>
          <w:szCs w:val="24"/>
        </w:rPr>
        <w:t>, which</w:t>
      </w:r>
      <w:r w:rsidR="002E0837" w:rsidRPr="00061A5F">
        <w:rPr>
          <w:rFonts w:ascii="Times New Roman" w:hAnsi="Times New Roman"/>
          <w:sz w:val="24"/>
          <w:szCs w:val="24"/>
        </w:rPr>
        <w:t xml:space="preserve"> </w:t>
      </w:r>
      <w:r w:rsidRPr="00061A5F">
        <w:rPr>
          <w:rFonts w:ascii="Times New Roman" w:hAnsi="Times New Roman"/>
          <w:sz w:val="24"/>
          <w:szCs w:val="24"/>
        </w:rPr>
        <w:t>includes the Czech Republic, Estonia, Hungary, Latvia, Lithuania, Poland, Slovakia</w:t>
      </w:r>
      <w:r w:rsidR="00D4295F" w:rsidRPr="00061A5F">
        <w:rPr>
          <w:rFonts w:ascii="Times New Roman" w:hAnsi="Times New Roman"/>
          <w:sz w:val="24"/>
          <w:szCs w:val="24"/>
        </w:rPr>
        <w:t>,</w:t>
      </w:r>
      <w:r w:rsidRPr="00061A5F">
        <w:rPr>
          <w:rFonts w:ascii="Times New Roman" w:hAnsi="Times New Roman"/>
          <w:sz w:val="24"/>
          <w:szCs w:val="24"/>
        </w:rPr>
        <w:t xml:space="preserve"> and Slovenia. The second group is </w:t>
      </w:r>
      <w:r w:rsidR="00737856" w:rsidRPr="00061A5F">
        <w:rPr>
          <w:rFonts w:ascii="Times New Roman" w:hAnsi="Times New Roman"/>
          <w:sz w:val="24"/>
          <w:szCs w:val="24"/>
        </w:rPr>
        <w:t>South-eastern European countries (</w:t>
      </w:r>
      <w:r w:rsidRPr="00061A5F">
        <w:rPr>
          <w:rFonts w:ascii="Times New Roman" w:hAnsi="Times New Roman"/>
          <w:sz w:val="24"/>
          <w:szCs w:val="24"/>
        </w:rPr>
        <w:t>SEE</w:t>
      </w:r>
      <w:r w:rsidR="00737856" w:rsidRPr="00061A5F">
        <w:rPr>
          <w:rFonts w:ascii="Times New Roman" w:hAnsi="Times New Roman"/>
          <w:sz w:val="24"/>
          <w:szCs w:val="24"/>
        </w:rPr>
        <w:t>)</w:t>
      </w:r>
      <w:r w:rsidRPr="00061A5F">
        <w:rPr>
          <w:rFonts w:ascii="Times New Roman" w:hAnsi="Times New Roman"/>
          <w:sz w:val="24"/>
          <w:szCs w:val="24"/>
        </w:rPr>
        <w:t>, which includes: Albania, Bosnia and Herzegovina, Bulgaria, Croatia, Macedonia, Romania</w:t>
      </w:r>
      <w:r w:rsidR="00D4295F" w:rsidRPr="00061A5F">
        <w:rPr>
          <w:rFonts w:ascii="Times New Roman" w:hAnsi="Times New Roman"/>
          <w:sz w:val="24"/>
          <w:szCs w:val="24"/>
        </w:rPr>
        <w:t>,</w:t>
      </w:r>
      <w:r w:rsidRPr="00061A5F">
        <w:rPr>
          <w:rFonts w:ascii="Times New Roman" w:hAnsi="Times New Roman"/>
          <w:sz w:val="24"/>
          <w:szCs w:val="24"/>
        </w:rPr>
        <w:t xml:space="preserve"> and Serbia. The third group is the group of </w:t>
      </w:r>
      <w:r w:rsidR="00736BDE" w:rsidRPr="00061A5F">
        <w:rPr>
          <w:rFonts w:ascii="Times New Roman" w:hAnsi="Times New Roman"/>
          <w:sz w:val="24"/>
          <w:szCs w:val="24"/>
        </w:rPr>
        <w:t>Commonwealth of Independent States (</w:t>
      </w:r>
      <w:r w:rsidRPr="00061A5F">
        <w:rPr>
          <w:rFonts w:ascii="Times New Roman" w:hAnsi="Times New Roman"/>
          <w:sz w:val="24"/>
          <w:szCs w:val="24"/>
        </w:rPr>
        <w:t>CIS</w:t>
      </w:r>
      <w:r w:rsidR="00736BDE" w:rsidRPr="00061A5F">
        <w:rPr>
          <w:rFonts w:ascii="Times New Roman" w:hAnsi="Times New Roman"/>
          <w:sz w:val="24"/>
          <w:szCs w:val="24"/>
        </w:rPr>
        <w:t>),</w:t>
      </w:r>
      <w:r w:rsidRPr="00061A5F">
        <w:rPr>
          <w:rFonts w:ascii="Times New Roman" w:hAnsi="Times New Roman"/>
          <w:sz w:val="24"/>
          <w:szCs w:val="24"/>
        </w:rPr>
        <w:t xml:space="preserve"> which includes: Armenia, Azerbaijan, Belarus, Georgia, Kazakhstan, Kyrgyzstan, Moldova, Russia, Tajikistan</w:t>
      </w:r>
      <w:r w:rsidR="00D4295F" w:rsidRPr="00061A5F">
        <w:rPr>
          <w:rFonts w:ascii="Times New Roman" w:hAnsi="Times New Roman"/>
          <w:sz w:val="24"/>
          <w:szCs w:val="24"/>
        </w:rPr>
        <w:t>,</w:t>
      </w:r>
      <w:r w:rsidRPr="00061A5F">
        <w:rPr>
          <w:rFonts w:ascii="Times New Roman" w:hAnsi="Times New Roman"/>
          <w:sz w:val="24"/>
          <w:szCs w:val="24"/>
        </w:rPr>
        <w:t xml:space="preserve"> and Ukraine</w:t>
      </w:r>
      <w:r w:rsidR="002E0837" w:rsidRPr="00061A5F">
        <w:rPr>
          <w:rFonts w:ascii="Times New Roman" w:hAnsi="Times New Roman"/>
          <w:sz w:val="24"/>
          <w:szCs w:val="24"/>
        </w:rPr>
        <w:t xml:space="preserve">. </w:t>
      </w:r>
      <w:r w:rsidRPr="00061A5F">
        <w:rPr>
          <w:rFonts w:ascii="Times New Roman" w:hAnsi="Times New Roman"/>
          <w:sz w:val="24"/>
          <w:szCs w:val="24"/>
        </w:rPr>
        <w:t xml:space="preserve"> </w:t>
      </w:r>
    </w:p>
    <w:p w14:paraId="2E79B1A3" w14:textId="77777777" w:rsidR="00D31C4E" w:rsidRPr="00061A5F" w:rsidRDefault="00D31C4E" w:rsidP="007F5D0E">
      <w:pPr>
        <w:spacing w:line="276" w:lineRule="auto"/>
        <w:jc w:val="both"/>
        <w:rPr>
          <w:rFonts w:ascii="Times New Roman" w:hAnsi="Times New Roman"/>
          <w:sz w:val="24"/>
          <w:szCs w:val="24"/>
        </w:rPr>
      </w:pPr>
    </w:p>
    <w:p w14:paraId="3AEECE45" w14:textId="035010DD" w:rsidR="00F11C87" w:rsidRPr="00061A5F" w:rsidRDefault="009408EE" w:rsidP="007F5D0E">
      <w:pPr>
        <w:pStyle w:val="Figures"/>
        <w:spacing w:line="276" w:lineRule="auto"/>
      </w:pPr>
      <w:bookmarkStart w:id="43" w:name="_Hlk21201969"/>
      <w:r w:rsidRPr="00061A5F">
        <w:t>Most of the</w:t>
      </w:r>
      <w:r w:rsidR="003B0074" w:rsidRPr="00061A5F">
        <w:t>se</w:t>
      </w:r>
      <w:r w:rsidRPr="00061A5F">
        <w:t xml:space="preserve"> countries experienced high inflation rates at the beginning of the transition process</w:t>
      </w:r>
      <w:r w:rsidR="003B0074" w:rsidRPr="00061A5F">
        <w:t xml:space="preserve"> but</w:t>
      </w:r>
      <w:r w:rsidRPr="00061A5F">
        <w:t xml:space="preserve"> managed to lower their inflation rates by the middle 1990s. </w:t>
      </w:r>
      <w:r w:rsidR="00EE515F" w:rsidRPr="00061A5F">
        <w:t xml:space="preserve">This period is not included in the sample. </w:t>
      </w:r>
      <w:r w:rsidRPr="00061A5F">
        <w:t xml:space="preserve">However, </w:t>
      </w:r>
      <w:r w:rsidR="00F34314" w:rsidRPr="00061A5F">
        <w:t xml:space="preserve">as shown in Figure </w:t>
      </w:r>
      <w:r w:rsidR="00AD63DD" w:rsidRPr="00061A5F">
        <w:t>3</w:t>
      </w:r>
      <w:r w:rsidR="00F34314" w:rsidRPr="00061A5F">
        <w:t xml:space="preserve">, </w:t>
      </w:r>
      <w:r w:rsidRPr="00061A5F">
        <w:t xml:space="preserve">there were some high inflation rates in the late 1990s in the CIS countries, </w:t>
      </w:r>
      <w:r w:rsidRPr="00061A5F">
        <w:rPr>
          <w:color w:val="000000"/>
        </w:rPr>
        <w:t>which are likely to be the result of the Russian financial crisis in 1998</w:t>
      </w:r>
      <w:r w:rsidR="00EE56AE" w:rsidRPr="00061A5F">
        <w:rPr>
          <w:color w:val="000000"/>
        </w:rPr>
        <w:t xml:space="preserve"> </w:t>
      </w:r>
      <w:r w:rsidR="00EE56AE" w:rsidRPr="00061A5F">
        <w:rPr>
          <w:rFonts w:cs="Times New Roman"/>
          <w:color w:val="000000"/>
        </w:rPr>
        <w:t>and the follow-up series of substantial currency devaluations/depreciations</w:t>
      </w:r>
      <w:r w:rsidRPr="00061A5F">
        <w:rPr>
          <w:color w:val="000000"/>
        </w:rPr>
        <w:t xml:space="preserve">. </w:t>
      </w:r>
      <w:r w:rsidRPr="00061A5F">
        <w:t xml:space="preserve">The high average inflation rate for CIS countries in 1999 was mainly driven by the extremely high inflation rates in Belarus (293%) and Russia (85%). </w:t>
      </w:r>
      <w:bookmarkStart w:id="44" w:name="_Toc418095716"/>
      <w:r w:rsidR="00EE515F" w:rsidRPr="00061A5F">
        <w:t>The h</w:t>
      </w:r>
      <w:r w:rsidR="00761620" w:rsidRPr="00061A5F">
        <w:t xml:space="preserve">igh average rate of inflation in 1998 in SEE countries </w:t>
      </w:r>
      <w:r w:rsidR="00EE515F" w:rsidRPr="00061A5F">
        <w:t>wa</w:t>
      </w:r>
      <w:r w:rsidR="00761620" w:rsidRPr="00061A5F">
        <w:t>s mainly driven by high rates in Romania following the elimination of subsidies.</w:t>
      </w:r>
    </w:p>
    <w:p w14:paraId="21EC48F0" w14:textId="77777777" w:rsidR="00AB55DF" w:rsidRPr="00061A5F" w:rsidRDefault="00AB55DF" w:rsidP="007F5D0E">
      <w:pPr>
        <w:pStyle w:val="Figures"/>
        <w:spacing w:line="276" w:lineRule="auto"/>
      </w:pPr>
    </w:p>
    <w:p w14:paraId="2A93B578" w14:textId="31A393AD" w:rsidR="00F11C87" w:rsidRPr="00061A5F" w:rsidRDefault="00AB55DF" w:rsidP="007F5D0E">
      <w:pPr>
        <w:pStyle w:val="Figures"/>
        <w:spacing w:line="276" w:lineRule="auto"/>
        <w:rPr>
          <w:b/>
        </w:rPr>
      </w:pPr>
      <w:r w:rsidRPr="00061A5F">
        <w:rPr>
          <w:b/>
        </w:rPr>
        <w:t xml:space="preserve">Insert Figure </w:t>
      </w:r>
      <w:r w:rsidR="00AD63DD" w:rsidRPr="00061A5F">
        <w:rPr>
          <w:b/>
        </w:rPr>
        <w:t>3</w:t>
      </w:r>
      <w:r w:rsidR="00073C11" w:rsidRPr="00061A5F">
        <w:rPr>
          <w:b/>
        </w:rPr>
        <w:t xml:space="preserve"> </w:t>
      </w:r>
      <w:r w:rsidRPr="00061A5F">
        <w:rPr>
          <w:b/>
        </w:rPr>
        <w:t>around here</w:t>
      </w:r>
    </w:p>
    <w:p w14:paraId="3F1E67A2" w14:textId="77777777" w:rsidR="00DF1E3B" w:rsidRPr="00061A5F" w:rsidRDefault="00DF1E3B" w:rsidP="007F5D0E">
      <w:pPr>
        <w:pStyle w:val="Figures"/>
        <w:spacing w:line="276" w:lineRule="auto"/>
        <w:rPr>
          <w:b/>
        </w:rPr>
      </w:pPr>
    </w:p>
    <w:bookmarkEnd w:id="44"/>
    <w:p w14:paraId="470E4AEE" w14:textId="13C84C1F" w:rsidR="00DF1E3B" w:rsidRPr="00061A5F" w:rsidRDefault="00DF1E3B" w:rsidP="007F5D0E">
      <w:pPr>
        <w:pStyle w:val="Figures"/>
        <w:spacing w:line="276" w:lineRule="auto"/>
      </w:pPr>
      <w:r w:rsidRPr="00061A5F">
        <w:t xml:space="preserve">The inflation </w:t>
      </w:r>
      <w:r w:rsidR="00967810" w:rsidRPr="00061A5F">
        <w:t xml:space="preserve">surge </w:t>
      </w:r>
      <w:r w:rsidRPr="00061A5F">
        <w:t xml:space="preserve">in 2001 in SEE countries was mainly </w:t>
      </w:r>
      <w:r w:rsidR="00CD5A69" w:rsidRPr="00061A5F">
        <w:t xml:space="preserve">reflecting </w:t>
      </w:r>
      <w:r w:rsidRPr="00061A5F">
        <w:t>the high inflation rate in Serbia (95%)</w:t>
      </w:r>
      <w:r w:rsidR="00CD5A69" w:rsidRPr="00061A5F">
        <w:t xml:space="preserve">, </w:t>
      </w:r>
      <w:r w:rsidRPr="00061A5F">
        <w:rPr>
          <w:color w:val="000000"/>
        </w:rPr>
        <w:t>which was the result of the Kosovo war in 1998-1999</w:t>
      </w:r>
      <w:r w:rsidR="00D264ED" w:rsidRPr="00061A5F">
        <w:rPr>
          <w:color w:val="000000"/>
        </w:rPr>
        <w:t>,</w:t>
      </w:r>
      <w:r w:rsidR="00CD5A69" w:rsidRPr="00061A5F">
        <w:t xml:space="preserve"> and</w:t>
      </w:r>
      <w:r w:rsidR="00434694" w:rsidRPr="00061A5F">
        <w:t xml:space="preserve"> in</w:t>
      </w:r>
      <w:r w:rsidR="00CD5A69" w:rsidRPr="00061A5F">
        <w:t xml:space="preserve"> Romania (35%)</w:t>
      </w:r>
      <w:r w:rsidRPr="00061A5F">
        <w:t xml:space="preserve">. However, inflation rates stabilised after 2003 in most transition countries, </w:t>
      </w:r>
      <w:r w:rsidR="00EE515F" w:rsidRPr="00061A5F">
        <w:t>only to</w:t>
      </w:r>
      <w:r w:rsidRPr="00061A5F">
        <w:t xml:space="preserve"> increas</w:t>
      </w:r>
      <w:r w:rsidR="00EE515F" w:rsidRPr="00061A5F">
        <w:t>e</w:t>
      </w:r>
      <w:r w:rsidRPr="00061A5F">
        <w:t xml:space="preserve"> </w:t>
      </w:r>
      <w:r w:rsidR="00EE515F" w:rsidRPr="00061A5F">
        <w:t xml:space="preserve">again </w:t>
      </w:r>
      <w:r w:rsidR="000751B1" w:rsidRPr="00061A5F">
        <w:t xml:space="preserve">in </w:t>
      </w:r>
      <w:r w:rsidR="000751B1" w:rsidRPr="00061A5F">
        <w:rPr>
          <w:rFonts w:cs="Times New Roman"/>
        </w:rPr>
        <w:t xml:space="preserve">the period immediately preceding the GFC </w:t>
      </w:r>
      <w:r w:rsidR="00215150" w:rsidRPr="00061A5F">
        <w:rPr>
          <w:rFonts w:cs="Times New Roman"/>
        </w:rPr>
        <w:t xml:space="preserve">– </w:t>
      </w:r>
      <w:r w:rsidR="000751B1" w:rsidRPr="00061A5F">
        <w:rPr>
          <w:rFonts w:cs="Times New Roman"/>
        </w:rPr>
        <w:t>generated</w:t>
      </w:r>
      <w:r w:rsidR="00215150" w:rsidRPr="00061A5F">
        <w:rPr>
          <w:rFonts w:cs="Times New Roman"/>
        </w:rPr>
        <w:t xml:space="preserve"> </w:t>
      </w:r>
      <w:r w:rsidR="000751B1" w:rsidRPr="00061A5F">
        <w:rPr>
          <w:rFonts w:cs="Times New Roman"/>
        </w:rPr>
        <w:t xml:space="preserve">by the expansionary monetary </w:t>
      </w:r>
      <w:r w:rsidR="000751B1" w:rsidRPr="00061A5F">
        <w:rPr>
          <w:rFonts w:cs="Times New Roman"/>
        </w:rPr>
        <w:lastRenderedPageBreak/>
        <w:t>policy of the Fed and the weak US dollar</w:t>
      </w:r>
      <w:r w:rsidR="00EE515F" w:rsidRPr="00061A5F">
        <w:rPr>
          <w:rFonts w:cs="Times New Roman"/>
        </w:rPr>
        <w:t xml:space="preserve">. Inflation </w:t>
      </w:r>
      <w:r w:rsidR="002F0CDD" w:rsidRPr="00061A5F">
        <w:t xml:space="preserve">then </w:t>
      </w:r>
      <w:r w:rsidRPr="00061A5F">
        <w:t>return</w:t>
      </w:r>
      <w:r w:rsidR="0031583F" w:rsidRPr="00061A5F">
        <w:t>ed</w:t>
      </w:r>
      <w:r w:rsidRPr="00061A5F">
        <w:t xml:space="preserve"> to</w:t>
      </w:r>
      <w:r w:rsidR="00434694" w:rsidRPr="00061A5F">
        <w:t xml:space="preserve"> </w:t>
      </w:r>
      <w:r w:rsidRPr="00061A5F">
        <w:t xml:space="preserve">pre-crisis levels at the beginning of 2009. </w:t>
      </w:r>
      <w:bookmarkStart w:id="45" w:name="_Hlk19014277"/>
      <w:r w:rsidR="00215150" w:rsidRPr="00061A5F">
        <w:t xml:space="preserve">After </w:t>
      </w:r>
      <w:r w:rsidRPr="00061A5F">
        <w:t>2011</w:t>
      </w:r>
      <w:r w:rsidR="00215150" w:rsidRPr="00061A5F">
        <w:t>,</w:t>
      </w:r>
      <w:r w:rsidRPr="00061A5F">
        <w:t xml:space="preserve"> the inflation rates generally fell (were even negative in some countries), especially in CEB and SEE countries, though this downward trend was reversed in 2013 in the CIS countries. </w:t>
      </w:r>
      <w:bookmarkEnd w:id="45"/>
      <w:r w:rsidR="00EE515F" w:rsidRPr="00061A5F">
        <w:t>For a comparison of inflation rates between CEB, SEE and CIS countries see Figure 3.</w:t>
      </w:r>
    </w:p>
    <w:p w14:paraId="381D8B9A" w14:textId="60817014" w:rsidR="00761620" w:rsidRPr="00061A5F" w:rsidRDefault="00761620" w:rsidP="007F5D0E">
      <w:pPr>
        <w:pStyle w:val="Figures"/>
        <w:spacing w:line="276" w:lineRule="auto"/>
      </w:pPr>
    </w:p>
    <w:p w14:paraId="548D0B7B" w14:textId="7105377D" w:rsidR="006B0479" w:rsidRPr="00061A5F" w:rsidRDefault="00761620" w:rsidP="007F5D0E">
      <w:pPr>
        <w:spacing w:line="276" w:lineRule="auto"/>
        <w:jc w:val="both"/>
        <w:rPr>
          <w:rFonts w:ascii="Times New Roman" w:eastAsia="Calibri" w:hAnsi="Times New Roman" w:cs="Calibri"/>
          <w:sz w:val="24"/>
          <w:szCs w:val="24"/>
        </w:rPr>
      </w:pPr>
      <w:r w:rsidRPr="00061A5F">
        <w:rPr>
          <w:rFonts w:ascii="Times New Roman" w:eastAsia="Calibri" w:hAnsi="Times New Roman" w:cs="Calibri"/>
          <w:sz w:val="24"/>
          <w:szCs w:val="24"/>
        </w:rPr>
        <w:t xml:space="preserve">Relatively high inflation rates in CIS countries in 2011 mainly </w:t>
      </w:r>
      <w:r w:rsidR="00660646" w:rsidRPr="00061A5F">
        <w:rPr>
          <w:rFonts w:ascii="Times New Roman" w:eastAsia="Calibri" w:hAnsi="Times New Roman" w:cs="Calibri"/>
          <w:sz w:val="24"/>
          <w:szCs w:val="24"/>
        </w:rPr>
        <w:t>reflect</w:t>
      </w:r>
      <w:r w:rsidRPr="00061A5F">
        <w:rPr>
          <w:rFonts w:ascii="Times New Roman" w:eastAsia="Calibri" w:hAnsi="Times New Roman" w:cs="Calibri"/>
          <w:sz w:val="24"/>
          <w:szCs w:val="24"/>
        </w:rPr>
        <w:t xml:space="preserve"> </w:t>
      </w:r>
      <w:r w:rsidR="0031583F" w:rsidRPr="00061A5F">
        <w:rPr>
          <w:rFonts w:ascii="Times New Roman" w:eastAsia="Calibri" w:hAnsi="Times New Roman" w:cs="Calibri"/>
          <w:sz w:val="24"/>
          <w:szCs w:val="24"/>
        </w:rPr>
        <w:t>the</w:t>
      </w:r>
      <w:r w:rsidRPr="00061A5F">
        <w:rPr>
          <w:rFonts w:ascii="Times New Roman" w:eastAsia="Calibri" w:hAnsi="Times New Roman" w:cs="Calibri"/>
          <w:sz w:val="24"/>
          <w:szCs w:val="24"/>
        </w:rPr>
        <w:t xml:space="preserve"> high inflation rate in Belarus, caused by </w:t>
      </w:r>
      <w:r w:rsidR="00EE515F" w:rsidRPr="00061A5F">
        <w:rPr>
          <w:rFonts w:ascii="Times New Roman" w:eastAsia="Calibri" w:hAnsi="Times New Roman" w:cs="Calibri"/>
          <w:sz w:val="24"/>
          <w:szCs w:val="24"/>
        </w:rPr>
        <w:t>a</w:t>
      </w:r>
      <w:r w:rsidRPr="00061A5F">
        <w:rPr>
          <w:rFonts w:ascii="Times New Roman" w:eastAsia="Calibri" w:hAnsi="Times New Roman" w:cs="Calibri"/>
          <w:sz w:val="24"/>
          <w:szCs w:val="24"/>
        </w:rPr>
        <w:t xml:space="preserve"> currency crisis (</w:t>
      </w:r>
      <w:r w:rsidR="00EE515F" w:rsidRPr="00061A5F">
        <w:rPr>
          <w:rFonts w:ascii="Times New Roman" w:eastAsia="Calibri" w:hAnsi="Times New Roman" w:cs="Calibri"/>
          <w:sz w:val="24"/>
          <w:szCs w:val="24"/>
        </w:rPr>
        <w:t xml:space="preserve">a </w:t>
      </w:r>
      <w:r w:rsidRPr="00061A5F">
        <w:rPr>
          <w:rFonts w:ascii="Times New Roman" w:eastAsia="Calibri" w:hAnsi="Times New Roman" w:cs="Calibri"/>
          <w:sz w:val="24"/>
          <w:szCs w:val="24"/>
        </w:rPr>
        <w:t xml:space="preserve">sharp devaluation of national currency, due to political issues that undermined the trust in </w:t>
      </w:r>
      <w:r w:rsidR="00D92A52" w:rsidRPr="00061A5F">
        <w:rPr>
          <w:rFonts w:ascii="Times New Roman" w:eastAsia="Calibri" w:hAnsi="Times New Roman" w:cs="Calibri"/>
          <w:sz w:val="24"/>
          <w:szCs w:val="24"/>
        </w:rPr>
        <w:t xml:space="preserve">the </w:t>
      </w:r>
      <w:r w:rsidRPr="00061A5F">
        <w:rPr>
          <w:rFonts w:ascii="Times New Roman" w:eastAsia="Calibri" w:hAnsi="Times New Roman" w:cs="Calibri"/>
          <w:sz w:val="24"/>
          <w:szCs w:val="24"/>
        </w:rPr>
        <w:t xml:space="preserve">central bank and </w:t>
      </w:r>
      <w:r w:rsidR="00D92A52" w:rsidRPr="00061A5F">
        <w:rPr>
          <w:rFonts w:ascii="Times New Roman" w:eastAsia="Calibri" w:hAnsi="Times New Roman" w:cs="Calibri"/>
          <w:sz w:val="24"/>
          <w:szCs w:val="24"/>
        </w:rPr>
        <w:t xml:space="preserve">the </w:t>
      </w:r>
      <w:r w:rsidRPr="00061A5F">
        <w:rPr>
          <w:rFonts w:ascii="Times New Roman" w:eastAsia="Calibri" w:hAnsi="Times New Roman" w:cs="Calibri"/>
          <w:sz w:val="24"/>
          <w:szCs w:val="24"/>
        </w:rPr>
        <w:t xml:space="preserve">currency). </w:t>
      </w:r>
      <w:r w:rsidR="00083B76" w:rsidRPr="00061A5F">
        <w:rPr>
          <w:rFonts w:ascii="Times New Roman" w:eastAsia="Calibri" w:hAnsi="Times New Roman" w:cs="Calibri"/>
          <w:sz w:val="24"/>
          <w:szCs w:val="24"/>
        </w:rPr>
        <w:t>The i</w:t>
      </w:r>
      <w:r w:rsidRPr="00061A5F">
        <w:rPr>
          <w:rFonts w:ascii="Times New Roman" w:eastAsia="Calibri" w:hAnsi="Times New Roman" w:cs="Calibri"/>
          <w:sz w:val="24"/>
          <w:szCs w:val="24"/>
        </w:rPr>
        <w:t xml:space="preserve">ncrease in inflation in CIS countries 2014 and 2015 </w:t>
      </w:r>
      <w:r w:rsidR="00083B76" w:rsidRPr="00061A5F">
        <w:rPr>
          <w:rFonts w:ascii="Times New Roman" w:eastAsia="Calibri" w:hAnsi="Times New Roman" w:cs="Calibri"/>
          <w:sz w:val="24"/>
          <w:szCs w:val="24"/>
        </w:rPr>
        <w:t>wa</w:t>
      </w:r>
      <w:r w:rsidRPr="00061A5F">
        <w:rPr>
          <w:rFonts w:ascii="Times New Roman" w:eastAsia="Calibri" w:hAnsi="Times New Roman" w:cs="Calibri"/>
          <w:sz w:val="24"/>
          <w:szCs w:val="24"/>
        </w:rPr>
        <w:t>s mostly driven by significant increase</w:t>
      </w:r>
      <w:r w:rsidR="00083B76" w:rsidRPr="00061A5F">
        <w:rPr>
          <w:rFonts w:ascii="Times New Roman" w:eastAsia="Calibri" w:hAnsi="Times New Roman" w:cs="Calibri"/>
          <w:sz w:val="24"/>
          <w:szCs w:val="24"/>
        </w:rPr>
        <w:t>s</w:t>
      </w:r>
      <w:r w:rsidRPr="00061A5F">
        <w:rPr>
          <w:rFonts w:ascii="Times New Roman" w:eastAsia="Calibri" w:hAnsi="Times New Roman" w:cs="Calibri"/>
          <w:sz w:val="24"/>
          <w:szCs w:val="24"/>
        </w:rPr>
        <w:t xml:space="preserve"> in inflation in Ukraine and Russia. These were driven mainly by territorial disputes between Ukraine and Russia in 2014. </w:t>
      </w:r>
      <w:r w:rsidR="00083B76" w:rsidRPr="00061A5F">
        <w:rPr>
          <w:rFonts w:ascii="Times New Roman" w:eastAsia="Calibri" w:hAnsi="Times New Roman" w:cs="Calibri"/>
          <w:sz w:val="24"/>
          <w:szCs w:val="24"/>
        </w:rPr>
        <w:t>T</w:t>
      </w:r>
      <w:r w:rsidRPr="00061A5F">
        <w:rPr>
          <w:rFonts w:ascii="Times New Roman" w:eastAsia="Calibri" w:hAnsi="Times New Roman" w:cs="Calibri"/>
          <w:sz w:val="24"/>
          <w:szCs w:val="24"/>
        </w:rPr>
        <w:t xml:space="preserve">he value of </w:t>
      </w:r>
      <w:r w:rsidR="00083B76" w:rsidRPr="00061A5F">
        <w:rPr>
          <w:rFonts w:ascii="Times New Roman" w:eastAsia="Calibri" w:hAnsi="Times New Roman" w:cs="Calibri"/>
          <w:sz w:val="24"/>
          <w:szCs w:val="24"/>
        </w:rPr>
        <w:t xml:space="preserve">the </w:t>
      </w:r>
      <w:r w:rsidRPr="00061A5F">
        <w:rPr>
          <w:rFonts w:ascii="Times New Roman" w:eastAsia="Calibri" w:hAnsi="Times New Roman" w:cs="Calibri"/>
          <w:sz w:val="24"/>
          <w:szCs w:val="24"/>
        </w:rPr>
        <w:t xml:space="preserve">Ukraine’s currency plummeted </w:t>
      </w:r>
      <w:r w:rsidR="00083B76" w:rsidRPr="00061A5F">
        <w:rPr>
          <w:rFonts w:ascii="Times New Roman" w:eastAsia="Calibri" w:hAnsi="Times New Roman" w:cs="Calibri"/>
          <w:sz w:val="24"/>
          <w:szCs w:val="24"/>
        </w:rPr>
        <w:t>o</w:t>
      </w:r>
      <w:r w:rsidRPr="00061A5F">
        <w:rPr>
          <w:rFonts w:ascii="Times New Roman" w:eastAsia="Calibri" w:hAnsi="Times New Roman" w:cs="Calibri"/>
          <w:sz w:val="24"/>
          <w:szCs w:val="24"/>
        </w:rPr>
        <w:t>nce the war began, driving up the cost of imported goods</w:t>
      </w:r>
      <w:r w:rsidR="00D92A52" w:rsidRPr="00061A5F">
        <w:rPr>
          <w:rFonts w:ascii="Times New Roman" w:eastAsia="Calibri" w:hAnsi="Times New Roman" w:cs="Calibri"/>
          <w:sz w:val="24"/>
          <w:szCs w:val="24"/>
        </w:rPr>
        <w:t>,</w:t>
      </w:r>
      <w:r w:rsidRPr="00061A5F">
        <w:rPr>
          <w:rFonts w:ascii="Times New Roman" w:eastAsia="Calibri" w:hAnsi="Times New Roman" w:cs="Calibri"/>
          <w:sz w:val="24"/>
          <w:szCs w:val="24"/>
        </w:rPr>
        <w:t xml:space="preserve"> and energy prices soared as the government cut its historically high subsidies. In Russia, international sanctions caused </w:t>
      </w:r>
      <w:r w:rsidR="00F22D60" w:rsidRPr="00061A5F">
        <w:rPr>
          <w:rFonts w:ascii="Times New Roman" w:eastAsia="Calibri" w:hAnsi="Times New Roman" w:cs="Calibri"/>
          <w:sz w:val="24"/>
          <w:szCs w:val="24"/>
        </w:rPr>
        <w:t xml:space="preserve">a </w:t>
      </w:r>
      <w:r w:rsidRPr="00061A5F">
        <w:rPr>
          <w:rFonts w:ascii="Times New Roman" w:eastAsia="Calibri" w:hAnsi="Times New Roman" w:cs="Calibri"/>
          <w:sz w:val="24"/>
          <w:szCs w:val="24"/>
        </w:rPr>
        <w:t xml:space="preserve">collapse in </w:t>
      </w:r>
      <w:r w:rsidR="00F22D60" w:rsidRPr="00061A5F">
        <w:rPr>
          <w:rFonts w:ascii="Times New Roman" w:eastAsia="Calibri" w:hAnsi="Times New Roman" w:cs="Calibri"/>
          <w:sz w:val="24"/>
          <w:szCs w:val="24"/>
        </w:rPr>
        <w:t xml:space="preserve">the value of the </w:t>
      </w:r>
      <w:r w:rsidRPr="00061A5F">
        <w:rPr>
          <w:rFonts w:ascii="Times New Roman" w:eastAsia="Calibri" w:hAnsi="Times New Roman" w:cs="Calibri"/>
          <w:sz w:val="24"/>
          <w:szCs w:val="24"/>
        </w:rPr>
        <w:t>Russian r</w:t>
      </w:r>
      <w:r w:rsidR="00083B76" w:rsidRPr="00061A5F">
        <w:rPr>
          <w:rFonts w:ascii="Times New Roman" w:eastAsia="Calibri" w:hAnsi="Times New Roman" w:cs="Calibri"/>
          <w:sz w:val="24"/>
          <w:szCs w:val="24"/>
        </w:rPr>
        <w:t>o</w:t>
      </w:r>
      <w:r w:rsidRPr="00061A5F">
        <w:rPr>
          <w:rFonts w:ascii="Times New Roman" w:eastAsia="Calibri" w:hAnsi="Times New Roman" w:cs="Calibri"/>
          <w:sz w:val="24"/>
          <w:szCs w:val="24"/>
        </w:rPr>
        <w:t xml:space="preserve">uble and an increase in price levels. </w:t>
      </w:r>
      <w:r w:rsidR="00660646" w:rsidRPr="00061A5F">
        <w:rPr>
          <w:rFonts w:ascii="Times New Roman" w:eastAsia="Calibri" w:hAnsi="Times New Roman" w:cs="Calibri"/>
          <w:sz w:val="24"/>
          <w:szCs w:val="24"/>
        </w:rPr>
        <w:t xml:space="preserve"> The next section specifies the potential determinants of inflation movements in transition countries which will be included in the regression analysis.  </w:t>
      </w:r>
    </w:p>
    <w:bookmarkEnd w:id="43"/>
    <w:p w14:paraId="17434366" w14:textId="2267EC2B" w:rsidR="009408EE" w:rsidRPr="00061A5F" w:rsidRDefault="009408EE" w:rsidP="007F5D0E">
      <w:pPr>
        <w:spacing w:line="276" w:lineRule="auto"/>
        <w:jc w:val="both"/>
        <w:rPr>
          <w:rFonts w:ascii="Times New Roman" w:hAnsi="Times New Roman"/>
          <w:b/>
          <w:sz w:val="24"/>
          <w:szCs w:val="24"/>
        </w:rPr>
      </w:pPr>
    </w:p>
    <w:p w14:paraId="34D32D7B" w14:textId="0909C750" w:rsidR="009408EE" w:rsidRPr="00061A5F" w:rsidRDefault="009408EE" w:rsidP="007F5D0E">
      <w:pPr>
        <w:pStyle w:val="Heading2"/>
        <w:spacing w:before="0" w:line="276" w:lineRule="auto"/>
        <w:jc w:val="both"/>
      </w:pPr>
      <w:bookmarkStart w:id="46" w:name="_Toc306954951"/>
      <w:bookmarkStart w:id="47" w:name="_Toc400712938"/>
      <w:bookmarkStart w:id="48" w:name="_Toc400718971"/>
      <w:bookmarkStart w:id="49" w:name="_Toc400719008"/>
      <w:bookmarkStart w:id="50" w:name="_Toc400730330"/>
      <w:bookmarkStart w:id="51" w:name="_Toc401221388"/>
      <w:bookmarkStart w:id="52" w:name="_Toc401221479"/>
      <w:bookmarkStart w:id="53" w:name="_Toc401221528"/>
      <w:bookmarkStart w:id="54" w:name="_Toc421105244"/>
      <w:r w:rsidRPr="00061A5F">
        <w:t>4</w:t>
      </w:r>
      <w:r w:rsidR="00B3329B" w:rsidRPr="00061A5F">
        <w:t>.</w:t>
      </w:r>
      <w:r w:rsidRPr="00061A5F">
        <w:t xml:space="preserve"> </w:t>
      </w:r>
      <w:r w:rsidR="00F11C87" w:rsidRPr="00061A5F">
        <w:t xml:space="preserve">Inflation determinants </w:t>
      </w:r>
      <w:r w:rsidR="00CA187B" w:rsidRPr="00061A5F">
        <w:t>in transition countries</w:t>
      </w:r>
      <w:bookmarkEnd w:id="46"/>
      <w:bookmarkEnd w:id="47"/>
      <w:bookmarkEnd w:id="48"/>
      <w:bookmarkEnd w:id="49"/>
      <w:bookmarkEnd w:id="50"/>
      <w:bookmarkEnd w:id="51"/>
      <w:bookmarkEnd w:id="52"/>
      <w:bookmarkEnd w:id="53"/>
      <w:bookmarkEnd w:id="54"/>
    </w:p>
    <w:p w14:paraId="572FED60" w14:textId="77777777" w:rsidR="002359A2" w:rsidRPr="00061A5F" w:rsidRDefault="002359A2" w:rsidP="002359A2"/>
    <w:p w14:paraId="2CABD036" w14:textId="08F7A391" w:rsidR="0013229D" w:rsidRPr="00061A5F" w:rsidRDefault="009408EE" w:rsidP="007F5D0E">
      <w:pPr>
        <w:spacing w:line="276" w:lineRule="auto"/>
        <w:jc w:val="both"/>
        <w:rPr>
          <w:rFonts w:ascii="Times New Roman" w:hAnsi="Times New Roman"/>
          <w:sz w:val="24"/>
          <w:szCs w:val="24"/>
        </w:rPr>
      </w:pPr>
      <w:r w:rsidRPr="00061A5F">
        <w:rPr>
          <w:rFonts w:ascii="Times New Roman" w:hAnsi="Times New Roman"/>
          <w:sz w:val="24"/>
          <w:szCs w:val="24"/>
        </w:rPr>
        <w:t>The actual and anticipated behaviour of the monetary authorities plays a crucial role in modern theories of inflation</w:t>
      </w:r>
      <w:r w:rsidR="0085732A" w:rsidRPr="00061A5F">
        <w:rPr>
          <w:rFonts w:ascii="Times New Roman" w:hAnsi="Times New Roman"/>
          <w:sz w:val="24"/>
          <w:szCs w:val="24"/>
        </w:rPr>
        <w:t>.</w:t>
      </w:r>
      <w:r w:rsidRPr="00061A5F" w:rsidDel="00AC54A3">
        <w:rPr>
          <w:rFonts w:ascii="Times New Roman" w:hAnsi="Times New Roman"/>
          <w:sz w:val="24"/>
          <w:szCs w:val="24"/>
        </w:rPr>
        <w:t xml:space="preserve"> </w:t>
      </w:r>
      <w:r w:rsidRPr="00061A5F">
        <w:rPr>
          <w:rFonts w:ascii="Times New Roman" w:hAnsi="Times New Roman"/>
          <w:sz w:val="24"/>
          <w:szCs w:val="24"/>
        </w:rPr>
        <w:t>Under more discretionary policy there is a higher possibility of time-inconsistency</w:t>
      </w:r>
      <w:r w:rsidR="002E52D3" w:rsidRPr="00061A5F">
        <w:rPr>
          <w:rFonts w:ascii="Times New Roman" w:hAnsi="Times New Roman"/>
          <w:sz w:val="24"/>
          <w:szCs w:val="24"/>
        </w:rPr>
        <w:t>,</w:t>
      </w:r>
      <w:r w:rsidRPr="00061A5F">
        <w:rPr>
          <w:rFonts w:ascii="Times New Roman" w:hAnsi="Times New Roman"/>
          <w:sz w:val="24"/>
          <w:szCs w:val="24"/>
        </w:rPr>
        <w:t xml:space="preserve"> which affects inflationary expectations</w:t>
      </w:r>
      <w:r w:rsidR="002E52D3" w:rsidRPr="00061A5F">
        <w:rPr>
          <w:rFonts w:ascii="Times New Roman" w:hAnsi="Times New Roman"/>
          <w:sz w:val="24"/>
          <w:szCs w:val="24"/>
        </w:rPr>
        <w:t>,</w:t>
      </w:r>
      <w:r w:rsidRPr="00061A5F">
        <w:rPr>
          <w:rFonts w:ascii="Times New Roman" w:hAnsi="Times New Roman"/>
          <w:sz w:val="24"/>
          <w:szCs w:val="24"/>
        </w:rPr>
        <w:t xml:space="preserve"> </w:t>
      </w:r>
      <w:r w:rsidR="002359A2" w:rsidRPr="00061A5F">
        <w:rPr>
          <w:rFonts w:ascii="Times New Roman" w:hAnsi="Times New Roman"/>
          <w:sz w:val="24"/>
          <w:szCs w:val="24"/>
        </w:rPr>
        <w:t xml:space="preserve">such that </w:t>
      </w:r>
      <w:r w:rsidRPr="00061A5F">
        <w:rPr>
          <w:rFonts w:ascii="Times New Roman" w:hAnsi="Times New Roman"/>
          <w:sz w:val="24"/>
          <w:szCs w:val="24"/>
        </w:rPr>
        <w:t xml:space="preserve">inflation is </w:t>
      </w:r>
      <w:r w:rsidR="00CB226D" w:rsidRPr="00061A5F">
        <w:rPr>
          <w:rFonts w:ascii="Times New Roman" w:hAnsi="Times New Roman"/>
          <w:sz w:val="24"/>
          <w:szCs w:val="24"/>
        </w:rPr>
        <w:t xml:space="preserve">likely </w:t>
      </w:r>
      <w:r w:rsidRPr="00061A5F">
        <w:rPr>
          <w:rFonts w:ascii="Times New Roman" w:hAnsi="Times New Roman"/>
          <w:sz w:val="24"/>
          <w:szCs w:val="24"/>
        </w:rPr>
        <w:t>to be higher. Under rule-based monetary policy, and a CBA is one of the most rigid rule-based policies, the time-inconsistency problem is reduced significantly</w:t>
      </w:r>
      <w:r w:rsidR="009B7DDE" w:rsidRPr="00061A5F">
        <w:rPr>
          <w:rFonts w:ascii="Times New Roman" w:hAnsi="Times New Roman"/>
          <w:sz w:val="24"/>
          <w:szCs w:val="24"/>
        </w:rPr>
        <w:t xml:space="preserve"> and therefore we expect it to lower </w:t>
      </w:r>
      <w:r w:rsidR="00AC2A21" w:rsidRPr="00061A5F">
        <w:rPr>
          <w:rFonts w:ascii="Times New Roman" w:hAnsi="Times New Roman"/>
          <w:sz w:val="24"/>
          <w:szCs w:val="24"/>
        </w:rPr>
        <w:t xml:space="preserve">inflationary expectations and </w:t>
      </w:r>
      <w:r w:rsidR="009B7DDE" w:rsidRPr="00061A5F">
        <w:rPr>
          <w:rFonts w:ascii="Times New Roman" w:hAnsi="Times New Roman"/>
          <w:sz w:val="24"/>
          <w:szCs w:val="24"/>
        </w:rPr>
        <w:t>inflation more than other monetary regimes</w:t>
      </w:r>
      <w:r w:rsidRPr="00061A5F">
        <w:rPr>
          <w:rFonts w:ascii="Times New Roman" w:hAnsi="Times New Roman"/>
          <w:sz w:val="24"/>
          <w:szCs w:val="24"/>
        </w:rPr>
        <w:t xml:space="preserve">. </w:t>
      </w:r>
      <w:bookmarkStart w:id="55" w:name="_Hlk19621380"/>
      <w:r w:rsidR="00422A00" w:rsidRPr="00061A5F">
        <w:rPr>
          <w:rFonts w:ascii="Times New Roman" w:hAnsi="Times New Roman"/>
          <w:sz w:val="24"/>
          <w:szCs w:val="24"/>
        </w:rPr>
        <w:t>Unfortunately, we were not able to</w:t>
      </w:r>
      <w:r w:rsidR="00AC2A21" w:rsidRPr="00061A5F">
        <w:rPr>
          <w:rFonts w:ascii="Times New Roman" w:hAnsi="Times New Roman"/>
          <w:sz w:val="24"/>
          <w:szCs w:val="24"/>
        </w:rPr>
        <w:t xml:space="preserve"> </w:t>
      </w:r>
      <w:r w:rsidR="00422A00" w:rsidRPr="00061A5F">
        <w:rPr>
          <w:rFonts w:ascii="Times New Roman" w:hAnsi="Times New Roman"/>
          <w:sz w:val="24"/>
          <w:szCs w:val="24"/>
        </w:rPr>
        <w:t>investigate the effect on inflationary expectations</w:t>
      </w:r>
      <w:r w:rsidR="002359A2" w:rsidRPr="00061A5F">
        <w:rPr>
          <w:rFonts w:ascii="Times New Roman" w:hAnsi="Times New Roman"/>
          <w:sz w:val="24"/>
          <w:szCs w:val="24"/>
        </w:rPr>
        <w:t>,</w:t>
      </w:r>
      <w:r w:rsidR="00422A00" w:rsidRPr="00061A5F">
        <w:rPr>
          <w:rFonts w:ascii="Times New Roman" w:hAnsi="Times New Roman"/>
          <w:sz w:val="24"/>
          <w:szCs w:val="24"/>
        </w:rPr>
        <w:t xml:space="preserve"> since there was insufficient data (not all countries </w:t>
      </w:r>
      <w:r w:rsidR="00AC2A21" w:rsidRPr="00061A5F">
        <w:rPr>
          <w:rFonts w:ascii="Times New Roman" w:hAnsi="Times New Roman"/>
          <w:sz w:val="24"/>
          <w:szCs w:val="24"/>
        </w:rPr>
        <w:t>survey inflationary expectations</w:t>
      </w:r>
      <w:r w:rsidR="00422A00" w:rsidRPr="00061A5F">
        <w:rPr>
          <w:rFonts w:ascii="Times New Roman" w:hAnsi="Times New Roman"/>
          <w:sz w:val="24"/>
          <w:szCs w:val="24"/>
        </w:rPr>
        <w:t xml:space="preserve">). </w:t>
      </w:r>
      <w:bookmarkEnd w:id="55"/>
    </w:p>
    <w:p w14:paraId="1F4AB88F" w14:textId="10971959" w:rsidR="003419A0" w:rsidRPr="00061A5F" w:rsidRDefault="003419A0" w:rsidP="007F5D0E">
      <w:pPr>
        <w:spacing w:line="276" w:lineRule="auto"/>
        <w:jc w:val="both"/>
        <w:rPr>
          <w:rFonts w:ascii="Times New Roman" w:hAnsi="Times New Roman"/>
          <w:sz w:val="24"/>
          <w:szCs w:val="24"/>
        </w:rPr>
      </w:pPr>
    </w:p>
    <w:p w14:paraId="0D0311E2" w14:textId="77777777" w:rsidR="003419A0" w:rsidRPr="00061A5F" w:rsidRDefault="003419A0" w:rsidP="003419A0">
      <w:pPr>
        <w:spacing w:line="276" w:lineRule="auto"/>
        <w:jc w:val="both"/>
        <w:rPr>
          <w:rFonts w:ascii="Times New Roman" w:hAnsi="Times New Roman"/>
          <w:sz w:val="24"/>
          <w:szCs w:val="24"/>
        </w:rPr>
      </w:pPr>
      <w:r w:rsidRPr="00061A5F">
        <w:rPr>
          <w:rFonts w:ascii="Times New Roman" w:hAnsi="Times New Roman"/>
          <w:sz w:val="24"/>
          <w:szCs w:val="24"/>
        </w:rPr>
        <w:t>The difference between the effect of a CBA and other regimes on inflation is estimated using a dummy variable identifying those countries and years where a CBA operated. The CBA variable captures what is unique to BH, Bulgaria, Estonia and Lithuania compared to all the other countries. Based on the comparison of macroeconomic variables and world development indicators, it can be concluded that the only outstanding similarity between these countries is a CBA and that there are no other characteristics common to those countries but different from those of the other countries in this sample.</w:t>
      </w:r>
      <w:r w:rsidRPr="00061A5F">
        <w:rPr>
          <w:rStyle w:val="FootnoteReference"/>
          <w:rFonts w:ascii="Times New Roman" w:hAnsi="Times New Roman"/>
          <w:sz w:val="24"/>
          <w:szCs w:val="24"/>
        </w:rPr>
        <w:footnoteReference w:id="4"/>
      </w:r>
      <w:r w:rsidRPr="00061A5F">
        <w:rPr>
          <w:rFonts w:ascii="Times New Roman" w:hAnsi="Times New Roman"/>
          <w:sz w:val="24"/>
          <w:szCs w:val="24"/>
        </w:rPr>
        <w:t xml:space="preserve"> There is no set of economic, political or historical characteristics that define these countries as a distinct group. Therefore, it is a reasonable presumption to believe that the CBA dummy variable is capturing the effect of CBA rather than some other set of common </w:t>
      </w:r>
      <w:proofErr w:type="gramStart"/>
      <w:r w:rsidRPr="00061A5F">
        <w:rPr>
          <w:rFonts w:ascii="Times New Roman" w:hAnsi="Times New Roman"/>
          <w:sz w:val="24"/>
          <w:szCs w:val="24"/>
        </w:rPr>
        <w:t>characteristic</w:t>
      </w:r>
      <w:proofErr w:type="gramEnd"/>
      <w:r w:rsidRPr="00061A5F">
        <w:rPr>
          <w:rFonts w:ascii="Times New Roman" w:hAnsi="Times New Roman"/>
          <w:sz w:val="24"/>
          <w:szCs w:val="24"/>
        </w:rPr>
        <w:t xml:space="preserve">(s) of these countries.  By including </w:t>
      </w:r>
      <w:proofErr w:type="gramStart"/>
      <w:r w:rsidRPr="00061A5F">
        <w:rPr>
          <w:rFonts w:ascii="Times New Roman" w:hAnsi="Times New Roman"/>
          <w:sz w:val="24"/>
          <w:szCs w:val="24"/>
        </w:rPr>
        <w:t>only</w:t>
      </w:r>
      <w:proofErr w:type="gramEnd"/>
      <w:r w:rsidRPr="00061A5F">
        <w:rPr>
          <w:rFonts w:ascii="Times New Roman" w:hAnsi="Times New Roman"/>
          <w:sz w:val="24"/>
          <w:szCs w:val="24"/>
        </w:rPr>
        <w:t xml:space="preserve"> a CBA variable the endogeneity problem between the choice of ERR and inflation is likely to be avoided. Namely, simultaneity between a CBA and inflation may occur, since it can be argued </w:t>
      </w:r>
      <w:r w:rsidRPr="00061A5F">
        <w:rPr>
          <w:rFonts w:ascii="Times New Roman" w:hAnsi="Times New Roman"/>
          <w:sz w:val="24"/>
          <w:szCs w:val="24"/>
        </w:rPr>
        <w:lastRenderedPageBreak/>
        <w:t xml:space="preserve">that countries with a greater proclivity towards low inflation may be more likely to adopt a currency board (Ghosh et al., 1998). However, periods of high inflation might explain the origins of a CBA, but not its maintenance. Since the sample period does not include a period before CBA introduction in any of these countries, it can be argued that simultaneity is not likely to be an issue, since the maintenance (and the abandonment) of a CBA is an institutional and political matter rather than determined by a countries’ inflation aversion. </w:t>
      </w:r>
      <w:r w:rsidRPr="00061A5F">
        <w:rPr>
          <w:rFonts w:ascii="Times New Roman" w:hAnsi="Times New Roman"/>
          <w:color w:val="000000"/>
          <w:sz w:val="24"/>
          <w:szCs w:val="24"/>
        </w:rPr>
        <w:t>However, it has to be noted that there is a data limitation, since we have only four countries with a CBA in our dataset, as there are no more countries which have applied this regime within transition countries. The alternative is to focus on each CBA country and observe the effects before and after, but there is insufficient time span available to conduct appropriate time series analysis.</w:t>
      </w:r>
    </w:p>
    <w:p w14:paraId="259B722B" w14:textId="77777777" w:rsidR="0013229D" w:rsidRPr="00061A5F" w:rsidRDefault="0013229D" w:rsidP="007F5D0E">
      <w:pPr>
        <w:spacing w:line="276" w:lineRule="auto"/>
        <w:jc w:val="both"/>
        <w:rPr>
          <w:rFonts w:ascii="Times New Roman" w:hAnsi="Times New Roman"/>
          <w:sz w:val="24"/>
          <w:szCs w:val="24"/>
        </w:rPr>
      </w:pPr>
    </w:p>
    <w:p w14:paraId="3AFDCC9C" w14:textId="4A0A7966" w:rsidR="008B03C5" w:rsidRPr="00061A5F" w:rsidRDefault="009408EE" w:rsidP="007F5D0E">
      <w:pPr>
        <w:spacing w:line="276" w:lineRule="auto"/>
        <w:jc w:val="both"/>
        <w:rPr>
          <w:rFonts w:ascii="Times New Roman" w:hAnsi="Times New Roman"/>
          <w:sz w:val="24"/>
          <w:szCs w:val="24"/>
        </w:rPr>
      </w:pPr>
      <w:r w:rsidRPr="00061A5F">
        <w:rPr>
          <w:rFonts w:ascii="Times New Roman" w:hAnsi="Times New Roman"/>
          <w:sz w:val="24"/>
          <w:szCs w:val="24"/>
        </w:rPr>
        <w:t xml:space="preserve">For the inflation variable </w:t>
      </w:r>
      <w:r w:rsidR="002E52D3" w:rsidRPr="00061A5F">
        <w:rPr>
          <w:rFonts w:ascii="Times New Roman" w:hAnsi="Times New Roman"/>
          <w:sz w:val="24"/>
          <w:szCs w:val="24"/>
        </w:rPr>
        <w:t xml:space="preserve">we use </w:t>
      </w:r>
      <w:r w:rsidRPr="00061A5F">
        <w:rPr>
          <w:rFonts w:ascii="Times New Roman" w:hAnsi="Times New Roman"/>
          <w:sz w:val="24"/>
          <w:szCs w:val="24"/>
        </w:rPr>
        <w:t xml:space="preserve">the logarithm of the percentage changes in </w:t>
      </w:r>
      <w:r w:rsidR="002E52D3" w:rsidRPr="00061A5F">
        <w:rPr>
          <w:rFonts w:ascii="Times New Roman" w:hAnsi="Times New Roman"/>
          <w:sz w:val="24"/>
          <w:szCs w:val="24"/>
        </w:rPr>
        <w:t xml:space="preserve">the </w:t>
      </w:r>
      <w:r w:rsidRPr="00061A5F">
        <w:rPr>
          <w:rFonts w:ascii="Times New Roman" w:hAnsi="Times New Roman"/>
          <w:sz w:val="24"/>
          <w:szCs w:val="24"/>
        </w:rPr>
        <w:t>consumer price index (logs are used in order to reduce the effect of outliers) (</w:t>
      </w:r>
      <w:proofErr w:type="spellStart"/>
      <w:r w:rsidRPr="00061A5F">
        <w:rPr>
          <w:rFonts w:ascii="Times New Roman" w:hAnsi="Times New Roman"/>
          <w:sz w:val="24"/>
          <w:szCs w:val="24"/>
        </w:rPr>
        <w:t>Staehr</w:t>
      </w:r>
      <w:proofErr w:type="spellEnd"/>
      <w:r w:rsidRPr="00061A5F">
        <w:rPr>
          <w:rFonts w:ascii="Times New Roman" w:hAnsi="Times New Roman"/>
          <w:sz w:val="24"/>
          <w:szCs w:val="24"/>
        </w:rPr>
        <w:t>, 2003</w:t>
      </w:r>
      <w:r w:rsidR="007462B7" w:rsidRPr="00061A5F">
        <w:rPr>
          <w:rFonts w:ascii="Times New Roman" w:hAnsi="Times New Roman"/>
          <w:sz w:val="24"/>
          <w:szCs w:val="24"/>
        </w:rPr>
        <w:t>;</w:t>
      </w:r>
      <w:r w:rsidRPr="00061A5F">
        <w:rPr>
          <w:rFonts w:ascii="Times New Roman" w:hAnsi="Times New Roman"/>
          <w:sz w:val="24"/>
          <w:szCs w:val="24"/>
        </w:rPr>
        <w:t xml:space="preserve"> Barlow, 2006).</w:t>
      </w:r>
      <w:r w:rsidR="00C14A5A" w:rsidRPr="00061A5F">
        <w:rPr>
          <w:rStyle w:val="FootnoteReference"/>
          <w:rFonts w:ascii="Times New Roman" w:hAnsi="Times New Roman"/>
          <w:sz w:val="24"/>
          <w:szCs w:val="24"/>
        </w:rPr>
        <w:footnoteReference w:id="5"/>
      </w:r>
      <w:r w:rsidRPr="00061A5F">
        <w:rPr>
          <w:rFonts w:ascii="Times New Roman" w:hAnsi="Times New Roman"/>
          <w:sz w:val="24"/>
          <w:szCs w:val="24"/>
        </w:rPr>
        <w:t xml:space="preserve"> As suggested by monetary theory, a higher growth in money supply is likely to increase inflation, holding other factors constant. The positive effect of money supply growth on inflation is found in many studies (Wolf et al., 2008; Ghosh et al., 2011). In developing countries money supply growth and inflation might be considered endogenous, since </w:t>
      </w:r>
      <w:r w:rsidR="001C5756" w:rsidRPr="00061A5F">
        <w:rPr>
          <w:rFonts w:ascii="Times New Roman" w:hAnsi="Times New Roman"/>
          <w:sz w:val="24"/>
          <w:szCs w:val="24"/>
        </w:rPr>
        <w:t xml:space="preserve">a </w:t>
      </w:r>
      <w:r w:rsidRPr="00061A5F">
        <w:rPr>
          <w:rFonts w:ascii="Times New Roman" w:hAnsi="Times New Roman"/>
          <w:sz w:val="24"/>
          <w:szCs w:val="24"/>
        </w:rPr>
        <w:t>higher nominal price of goods and services increases money demand</w:t>
      </w:r>
      <w:r w:rsidR="002E52D3" w:rsidRPr="00061A5F">
        <w:rPr>
          <w:rFonts w:ascii="Times New Roman" w:hAnsi="Times New Roman"/>
          <w:sz w:val="24"/>
          <w:szCs w:val="24"/>
        </w:rPr>
        <w:t>,</w:t>
      </w:r>
      <w:r w:rsidRPr="00061A5F">
        <w:rPr>
          <w:rFonts w:ascii="Times New Roman" w:hAnsi="Times New Roman"/>
          <w:sz w:val="24"/>
          <w:szCs w:val="24"/>
        </w:rPr>
        <w:t xml:space="preserve"> which may put pressure on the authorities to increase money supply (Sargent and Wallace, 1981). This is not likely to be the case in many transition countries, which established more independent central banks during the </w:t>
      </w:r>
      <w:r w:rsidR="00EB2854" w:rsidRPr="00061A5F">
        <w:rPr>
          <w:rFonts w:ascii="Times New Roman" w:hAnsi="Times New Roman"/>
          <w:sz w:val="24"/>
          <w:szCs w:val="24"/>
        </w:rPr>
        <w:t>early</w:t>
      </w:r>
      <w:r w:rsidRPr="00061A5F">
        <w:rPr>
          <w:rFonts w:ascii="Times New Roman" w:hAnsi="Times New Roman"/>
          <w:sz w:val="24"/>
          <w:szCs w:val="24"/>
        </w:rPr>
        <w:t xml:space="preserve"> years of the </w:t>
      </w:r>
      <w:r w:rsidR="00636D20" w:rsidRPr="00061A5F">
        <w:rPr>
          <w:rFonts w:ascii="Times New Roman" w:hAnsi="Times New Roman"/>
          <w:sz w:val="24"/>
          <w:szCs w:val="24"/>
        </w:rPr>
        <w:t>stabilisation process</w:t>
      </w:r>
      <w:r w:rsidRPr="00061A5F">
        <w:rPr>
          <w:rFonts w:ascii="Times New Roman" w:hAnsi="Times New Roman"/>
          <w:sz w:val="24"/>
          <w:szCs w:val="24"/>
        </w:rPr>
        <w:t>. Moreover, since the broadest monetary aggregate</w:t>
      </w:r>
      <w:r w:rsidR="00E97E36" w:rsidRPr="00061A5F">
        <w:rPr>
          <w:rFonts w:ascii="Times New Roman" w:hAnsi="Times New Roman"/>
          <w:sz w:val="24"/>
          <w:szCs w:val="24"/>
        </w:rPr>
        <w:t xml:space="preserve"> </w:t>
      </w:r>
      <w:r w:rsidR="00BE3522" w:rsidRPr="00061A5F">
        <w:rPr>
          <w:rFonts w:ascii="Times New Roman" w:hAnsi="Times New Roman"/>
          <w:sz w:val="24"/>
          <w:szCs w:val="24"/>
        </w:rPr>
        <w:t xml:space="preserve">is </w:t>
      </w:r>
      <w:r w:rsidR="00E97E36" w:rsidRPr="00061A5F">
        <w:rPr>
          <w:rFonts w:ascii="Times New Roman" w:hAnsi="Times New Roman"/>
          <w:sz w:val="24"/>
          <w:szCs w:val="24"/>
        </w:rPr>
        <w:t>used</w:t>
      </w:r>
      <w:r w:rsidRPr="00061A5F">
        <w:rPr>
          <w:rFonts w:ascii="Times New Roman" w:hAnsi="Times New Roman"/>
          <w:sz w:val="24"/>
          <w:szCs w:val="24"/>
        </w:rPr>
        <w:t xml:space="preserve">, the increase in money demand is likely to result in increases in broad money supply, even when the central bank is not increasing the monetary base, through the credit multiplication process. </w:t>
      </w:r>
      <w:r w:rsidR="00EB2854" w:rsidRPr="00061A5F">
        <w:rPr>
          <w:rFonts w:ascii="Times New Roman" w:hAnsi="Times New Roman"/>
          <w:sz w:val="24"/>
          <w:szCs w:val="24"/>
        </w:rPr>
        <w:t xml:space="preserve">Given that </w:t>
      </w:r>
      <w:r w:rsidR="00B05E14" w:rsidRPr="00061A5F">
        <w:rPr>
          <w:rFonts w:ascii="Times New Roman" w:hAnsi="Times New Roman"/>
          <w:sz w:val="24"/>
          <w:szCs w:val="24"/>
        </w:rPr>
        <w:t xml:space="preserve">the effect of </w:t>
      </w:r>
      <w:r w:rsidR="00EB2854" w:rsidRPr="00061A5F">
        <w:rPr>
          <w:rFonts w:ascii="Times New Roman" w:hAnsi="Times New Roman"/>
          <w:sz w:val="24"/>
          <w:szCs w:val="24"/>
        </w:rPr>
        <w:t xml:space="preserve">the </w:t>
      </w:r>
      <w:r w:rsidR="00EC1F59" w:rsidRPr="00061A5F">
        <w:rPr>
          <w:rFonts w:ascii="Times New Roman" w:hAnsi="Times New Roman"/>
          <w:sz w:val="24"/>
          <w:szCs w:val="24"/>
        </w:rPr>
        <w:t xml:space="preserve">monetary </w:t>
      </w:r>
      <w:r w:rsidR="00B05E14" w:rsidRPr="00061A5F">
        <w:rPr>
          <w:rFonts w:ascii="Times New Roman" w:hAnsi="Times New Roman"/>
          <w:sz w:val="24"/>
          <w:szCs w:val="24"/>
        </w:rPr>
        <w:t>regime on inflation is likely to differ at different levels of money supply growth</w:t>
      </w:r>
      <w:r w:rsidR="002359A2" w:rsidRPr="00061A5F">
        <w:rPr>
          <w:rFonts w:ascii="Times New Roman" w:hAnsi="Times New Roman"/>
          <w:sz w:val="24"/>
          <w:szCs w:val="24"/>
        </w:rPr>
        <w:t>,</w:t>
      </w:r>
      <w:r w:rsidR="00B05E14" w:rsidRPr="00061A5F">
        <w:rPr>
          <w:rFonts w:ascii="Times New Roman" w:hAnsi="Times New Roman"/>
          <w:sz w:val="24"/>
          <w:szCs w:val="24"/>
        </w:rPr>
        <w:t xml:space="preserve"> it is important to test for the interaction between the two as well.</w:t>
      </w:r>
      <w:r w:rsidR="008B03C5" w:rsidRPr="00061A5F">
        <w:rPr>
          <w:rFonts w:ascii="Times New Roman" w:hAnsi="Times New Roman"/>
          <w:sz w:val="24"/>
          <w:szCs w:val="24"/>
        </w:rPr>
        <w:t xml:space="preserve"> </w:t>
      </w:r>
      <w:r w:rsidRPr="00061A5F">
        <w:rPr>
          <w:rFonts w:ascii="Times New Roman" w:hAnsi="Times New Roman"/>
          <w:sz w:val="24"/>
          <w:szCs w:val="24"/>
        </w:rPr>
        <w:t xml:space="preserve">On the other hand, real GDP growth is expected to be negatively correlated with inflation, ceteris paribus, since faster output growth should raise money demand and consequently decrease inflation for a given expansion of money supply (Wolf et al., 2008). However, in some studies it is argued that this relationship holds only in countries with </w:t>
      </w:r>
      <w:r w:rsidR="00EB2854" w:rsidRPr="00061A5F">
        <w:rPr>
          <w:rFonts w:ascii="Times New Roman" w:hAnsi="Times New Roman"/>
          <w:sz w:val="24"/>
          <w:szCs w:val="24"/>
        </w:rPr>
        <w:t xml:space="preserve">a </w:t>
      </w:r>
      <w:r w:rsidRPr="00061A5F">
        <w:rPr>
          <w:rFonts w:ascii="Times New Roman" w:hAnsi="Times New Roman"/>
          <w:sz w:val="24"/>
          <w:szCs w:val="24"/>
        </w:rPr>
        <w:t>pegged ERR, since in countries with flexible ERRs output growth is likely to affect the exchange rate rather than inflation (Abbott and De Vita, 2011).</w:t>
      </w:r>
    </w:p>
    <w:p w14:paraId="58F39B7D" w14:textId="77777777" w:rsidR="00122009" w:rsidRPr="00061A5F" w:rsidRDefault="00122009" w:rsidP="007F5D0E">
      <w:pPr>
        <w:autoSpaceDE w:val="0"/>
        <w:autoSpaceDN w:val="0"/>
        <w:adjustRightInd w:val="0"/>
        <w:spacing w:line="276" w:lineRule="auto"/>
        <w:jc w:val="both"/>
        <w:rPr>
          <w:rFonts w:ascii="Times New Roman" w:hAnsi="Times New Roman"/>
          <w:sz w:val="24"/>
          <w:szCs w:val="24"/>
        </w:rPr>
      </w:pPr>
    </w:p>
    <w:p w14:paraId="34BF63D2" w14:textId="0F71ED35" w:rsidR="009408EE" w:rsidRPr="00061A5F" w:rsidRDefault="009408EE" w:rsidP="007F5D0E">
      <w:pPr>
        <w:autoSpaceDE w:val="0"/>
        <w:autoSpaceDN w:val="0"/>
        <w:adjustRightInd w:val="0"/>
        <w:spacing w:line="276" w:lineRule="auto"/>
        <w:jc w:val="both"/>
        <w:rPr>
          <w:rFonts w:ascii="Times New Roman" w:hAnsi="Times New Roman"/>
          <w:sz w:val="24"/>
          <w:szCs w:val="24"/>
          <w:lang w:eastAsia="en-GB"/>
        </w:rPr>
      </w:pPr>
      <w:r w:rsidRPr="00061A5F">
        <w:rPr>
          <w:rFonts w:ascii="Times New Roman" w:hAnsi="Times New Roman"/>
          <w:sz w:val="24"/>
          <w:szCs w:val="24"/>
        </w:rPr>
        <w:t>Beside the growth of money supply and output growth, the control variables usually included in inflation models are: fiscal balance</w:t>
      </w:r>
      <w:r w:rsidR="001A0207" w:rsidRPr="00061A5F">
        <w:rPr>
          <w:rFonts w:ascii="Times New Roman" w:hAnsi="Times New Roman"/>
          <w:sz w:val="24"/>
          <w:szCs w:val="24"/>
        </w:rPr>
        <w:t xml:space="preserve">; </w:t>
      </w:r>
      <w:r w:rsidR="00A13C4A" w:rsidRPr="00061A5F">
        <w:rPr>
          <w:rFonts w:ascii="Times New Roman" w:hAnsi="Times New Roman"/>
          <w:sz w:val="24"/>
          <w:szCs w:val="24"/>
        </w:rPr>
        <w:t xml:space="preserve">degree of </w:t>
      </w:r>
      <w:r w:rsidRPr="00061A5F">
        <w:rPr>
          <w:rFonts w:ascii="Times New Roman" w:hAnsi="Times New Roman"/>
          <w:sz w:val="24"/>
          <w:szCs w:val="24"/>
        </w:rPr>
        <w:t>openness</w:t>
      </w:r>
      <w:r w:rsidR="001A0207" w:rsidRPr="00061A5F">
        <w:rPr>
          <w:rFonts w:ascii="Times New Roman" w:hAnsi="Times New Roman"/>
          <w:sz w:val="24"/>
          <w:szCs w:val="24"/>
        </w:rPr>
        <w:t>;</w:t>
      </w:r>
      <w:r w:rsidRPr="00061A5F">
        <w:rPr>
          <w:rFonts w:ascii="Times New Roman" w:hAnsi="Times New Roman"/>
          <w:sz w:val="24"/>
          <w:szCs w:val="24"/>
        </w:rPr>
        <w:t xml:space="preserve"> and terms of trade. A higher fiscal deficit is usually argued to increase inflation in developing countries, since in these countries a fiscal deficit is usually financed by an increase in the money supply growth (seigniorage) (</w:t>
      </w:r>
      <w:r w:rsidRPr="00061A5F">
        <w:rPr>
          <w:rFonts w:ascii="Times New Roman" w:hAnsi="Times New Roman"/>
          <w:bCs/>
          <w:sz w:val="24"/>
          <w:szCs w:val="24"/>
        </w:rPr>
        <w:t>Lozano, 2008</w:t>
      </w:r>
      <w:r w:rsidRPr="00061A5F">
        <w:rPr>
          <w:rFonts w:ascii="Times New Roman" w:hAnsi="Times New Roman"/>
          <w:sz w:val="24"/>
          <w:szCs w:val="24"/>
        </w:rPr>
        <w:t>).</w:t>
      </w:r>
      <w:r w:rsidR="00987928" w:rsidRPr="00061A5F">
        <w:rPr>
          <w:rFonts w:ascii="Times New Roman" w:hAnsi="Times New Roman"/>
          <w:sz w:val="24"/>
          <w:szCs w:val="24"/>
        </w:rPr>
        <w:t xml:space="preserve"> </w:t>
      </w:r>
      <w:bookmarkStart w:id="56" w:name="_Hlk19094901"/>
      <w:r w:rsidR="000973DD" w:rsidRPr="00061A5F">
        <w:rPr>
          <w:rFonts w:ascii="Times New Roman" w:hAnsi="Times New Roman"/>
          <w:sz w:val="24"/>
          <w:szCs w:val="24"/>
        </w:rPr>
        <w:t xml:space="preserve">Additionally, as argued in </w:t>
      </w:r>
      <w:r w:rsidR="00987928" w:rsidRPr="00061A5F">
        <w:rPr>
          <w:rFonts w:ascii="Times New Roman" w:hAnsi="Times New Roman"/>
          <w:sz w:val="24"/>
          <w:szCs w:val="24"/>
        </w:rPr>
        <w:t xml:space="preserve">Horvath and </w:t>
      </w:r>
      <w:proofErr w:type="spellStart"/>
      <w:r w:rsidR="00987928" w:rsidRPr="00061A5F">
        <w:rPr>
          <w:rFonts w:ascii="Times New Roman" w:hAnsi="Times New Roman"/>
          <w:sz w:val="24"/>
          <w:szCs w:val="24"/>
        </w:rPr>
        <w:t>Kopernicka</w:t>
      </w:r>
      <w:proofErr w:type="spellEnd"/>
      <w:r w:rsidR="00987928" w:rsidRPr="00061A5F">
        <w:rPr>
          <w:rFonts w:ascii="Times New Roman" w:hAnsi="Times New Roman"/>
          <w:sz w:val="24"/>
          <w:szCs w:val="24"/>
        </w:rPr>
        <w:t xml:space="preserve"> (2008)</w:t>
      </w:r>
      <w:r w:rsidR="00857D59" w:rsidRPr="00061A5F">
        <w:rPr>
          <w:rFonts w:ascii="Times New Roman" w:hAnsi="Times New Roman"/>
          <w:sz w:val="24"/>
          <w:szCs w:val="24"/>
        </w:rPr>
        <w:t>,</w:t>
      </w:r>
      <w:r w:rsidR="005C4493" w:rsidRPr="00061A5F">
        <w:rPr>
          <w:rFonts w:ascii="Times New Roman" w:hAnsi="Times New Roman"/>
          <w:sz w:val="24"/>
          <w:szCs w:val="24"/>
        </w:rPr>
        <w:t xml:space="preserve"> </w:t>
      </w:r>
      <w:bookmarkStart w:id="57" w:name="_Hlk19095220"/>
      <w:r w:rsidR="005C4493" w:rsidRPr="00061A5F">
        <w:rPr>
          <w:rFonts w:ascii="Times New Roman" w:hAnsi="Times New Roman"/>
          <w:sz w:val="24"/>
          <w:szCs w:val="24"/>
        </w:rPr>
        <w:t xml:space="preserve">who examined </w:t>
      </w:r>
      <w:r w:rsidR="00857D59" w:rsidRPr="00061A5F">
        <w:rPr>
          <w:rFonts w:ascii="Times New Roman" w:hAnsi="Times New Roman"/>
          <w:sz w:val="24"/>
          <w:szCs w:val="24"/>
        </w:rPr>
        <w:t xml:space="preserve">inflation differentials between </w:t>
      </w:r>
      <w:r w:rsidR="007057C8" w:rsidRPr="00061A5F">
        <w:rPr>
          <w:rFonts w:ascii="Times New Roman" w:hAnsi="Times New Roman"/>
          <w:sz w:val="24"/>
          <w:szCs w:val="24"/>
        </w:rPr>
        <w:t>new-</w:t>
      </w:r>
      <w:r w:rsidR="00857D59" w:rsidRPr="00061A5F">
        <w:rPr>
          <w:rFonts w:ascii="Times New Roman" w:hAnsi="Times New Roman"/>
          <w:sz w:val="24"/>
          <w:szCs w:val="24"/>
        </w:rPr>
        <w:t>EU and EMU countries</w:t>
      </w:r>
      <w:bookmarkEnd w:id="57"/>
      <w:r w:rsidR="000973DD" w:rsidRPr="00061A5F">
        <w:rPr>
          <w:rFonts w:ascii="Times New Roman" w:hAnsi="Times New Roman"/>
          <w:sz w:val="24"/>
          <w:szCs w:val="24"/>
        </w:rPr>
        <w:t xml:space="preserve">, </w:t>
      </w:r>
      <w:r w:rsidR="006C1A38" w:rsidRPr="00061A5F">
        <w:rPr>
          <w:rFonts w:ascii="Times New Roman" w:hAnsi="Times New Roman"/>
          <w:sz w:val="24"/>
          <w:szCs w:val="24"/>
        </w:rPr>
        <w:t xml:space="preserve">a </w:t>
      </w:r>
      <w:r w:rsidR="000973DD" w:rsidRPr="00061A5F">
        <w:rPr>
          <w:rFonts w:ascii="Times New Roman" w:hAnsi="Times New Roman"/>
          <w:sz w:val="24"/>
          <w:szCs w:val="24"/>
        </w:rPr>
        <w:t xml:space="preserve">fiscal surplus reduces aggregate demand and therefore contributes to lower inflation. </w:t>
      </w:r>
      <w:bookmarkEnd w:id="56"/>
      <w:r w:rsidR="006C1A38" w:rsidRPr="00061A5F">
        <w:rPr>
          <w:rFonts w:ascii="Times New Roman" w:hAnsi="Times New Roman"/>
          <w:bCs/>
          <w:color w:val="000000"/>
          <w:sz w:val="24"/>
          <w:szCs w:val="24"/>
          <w:lang w:eastAsia="en-GB"/>
        </w:rPr>
        <w:t>F</w:t>
      </w:r>
      <w:r w:rsidRPr="00061A5F">
        <w:rPr>
          <w:rFonts w:ascii="Times New Roman" w:hAnsi="Times New Roman"/>
          <w:bCs/>
          <w:color w:val="000000"/>
          <w:sz w:val="24"/>
          <w:szCs w:val="24"/>
          <w:lang w:eastAsia="en-GB"/>
        </w:rPr>
        <w:t xml:space="preserve">iscal balance </w:t>
      </w:r>
      <w:r w:rsidR="007462B7" w:rsidRPr="00061A5F">
        <w:rPr>
          <w:rFonts w:ascii="Times New Roman" w:hAnsi="Times New Roman"/>
          <w:bCs/>
          <w:color w:val="000000"/>
          <w:sz w:val="24"/>
          <w:szCs w:val="24"/>
          <w:lang w:eastAsia="en-GB"/>
        </w:rPr>
        <w:t xml:space="preserve">as a </w:t>
      </w:r>
      <w:r w:rsidRPr="00061A5F">
        <w:rPr>
          <w:rFonts w:ascii="Times New Roman" w:hAnsi="Times New Roman"/>
          <w:bCs/>
          <w:color w:val="000000"/>
          <w:sz w:val="24"/>
          <w:szCs w:val="24"/>
          <w:lang w:eastAsia="en-GB"/>
        </w:rPr>
        <w:t xml:space="preserve">percentage of GDP (FB) </w:t>
      </w:r>
      <w:r w:rsidR="006C1A38" w:rsidRPr="00061A5F">
        <w:rPr>
          <w:rFonts w:ascii="Times New Roman" w:hAnsi="Times New Roman"/>
          <w:bCs/>
          <w:color w:val="000000"/>
          <w:sz w:val="24"/>
          <w:szCs w:val="24"/>
          <w:lang w:eastAsia="en-GB"/>
        </w:rPr>
        <w:t>is therefore included and a negative coefficient is expected</w:t>
      </w:r>
      <w:r w:rsidRPr="00061A5F">
        <w:rPr>
          <w:rFonts w:ascii="Times New Roman" w:hAnsi="Times New Roman"/>
          <w:bCs/>
          <w:color w:val="000000"/>
          <w:sz w:val="24"/>
          <w:szCs w:val="24"/>
          <w:lang w:eastAsia="en-GB"/>
        </w:rPr>
        <w:t xml:space="preserve">. </w:t>
      </w:r>
      <w:r w:rsidRPr="00061A5F">
        <w:rPr>
          <w:rFonts w:ascii="Times New Roman" w:hAnsi="Times New Roman"/>
          <w:sz w:val="24"/>
          <w:szCs w:val="24"/>
        </w:rPr>
        <w:t xml:space="preserve">A measure of the openness (OPEN) of an economy is usually included in the inflation regression to control for the potential </w:t>
      </w:r>
      <w:r w:rsidRPr="00061A5F">
        <w:rPr>
          <w:rFonts w:ascii="Times New Roman" w:hAnsi="Times New Roman"/>
          <w:sz w:val="24"/>
          <w:szCs w:val="24"/>
        </w:rPr>
        <w:lastRenderedPageBreak/>
        <w:t xml:space="preserve">disciplinary effect </w:t>
      </w:r>
      <w:r w:rsidR="0096623F" w:rsidRPr="00061A5F">
        <w:rPr>
          <w:rFonts w:ascii="Times New Roman" w:hAnsi="Times New Roman"/>
          <w:sz w:val="24"/>
          <w:szCs w:val="24"/>
        </w:rPr>
        <w:t>caused</w:t>
      </w:r>
      <w:r w:rsidRPr="00061A5F">
        <w:rPr>
          <w:rFonts w:ascii="Times New Roman" w:hAnsi="Times New Roman"/>
          <w:sz w:val="24"/>
          <w:szCs w:val="24"/>
        </w:rPr>
        <w:t xml:space="preserve"> by international arbitrage (Levy-</w:t>
      </w:r>
      <w:proofErr w:type="spellStart"/>
      <w:r w:rsidRPr="00061A5F">
        <w:rPr>
          <w:rFonts w:ascii="Times New Roman" w:hAnsi="Times New Roman"/>
          <w:sz w:val="24"/>
          <w:szCs w:val="24"/>
        </w:rPr>
        <w:t>Yeyati</w:t>
      </w:r>
      <w:proofErr w:type="spellEnd"/>
      <w:r w:rsidRPr="00061A5F">
        <w:rPr>
          <w:rFonts w:ascii="Times New Roman" w:hAnsi="Times New Roman"/>
          <w:sz w:val="24"/>
          <w:szCs w:val="24"/>
        </w:rPr>
        <w:t xml:space="preserve"> and </w:t>
      </w:r>
      <w:proofErr w:type="spellStart"/>
      <w:r w:rsidRPr="00061A5F">
        <w:rPr>
          <w:rFonts w:ascii="Times New Roman" w:hAnsi="Times New Roman"/>
          <w:sz w:val="24"/>
          <w:szCs w:val="24"/>
        </w:rPr>
        <w:t>Stuzengger</w:t>
      </w:r>
      <w:proofErr w:type="spellEnd"/>
      <w:r w:rsidRPr="00061A5F">
        <w:rPr>
          <w:rFonts w:ascii="Times New Roman" w:hAnsi="Times New Roman"/>
          <w:sz w:val="24"/>
          <w:szCs w:val="24"/>
        </w:rPr>
        <w:t>, 2001; Wolf et al., 2008; Ghosh et al., 2011)</w:t>
      </w:r>
      <w:r w:rsidR="00A13C4A" w:rsidRPr="00061A5F">
        <w:rPr>
          <w:rFonts w:ascii="Times New Roman" w:hAnsi="Times New Roman"/>
          <w:sz w:val="24"/>
          <w:szCs w:val="24"/>
        </w:rPr>
        <w:t>,</w:t>
      </w:r>
      <w:r w:rsidRPr="00061A5F">
        <w:rPr>
          <w:rFonts w:ascii="Times New Roman" w:hAnsi="Times New Roman"/>
          <w:sz w:val="24"/>
          <w:szCs w:val="24"/>
        </w:rPr>
        <w:t xml:space="preserve"> the expected effect of openness on inflation </w:t>
      </w:r>
      <w:r w:rsidR="00A13C4A" w:rsidRPr="00061A5F">
        <w:rPr>
          <w:rFonts w:ascii="Times New Roman" w:hAnsi="Times New Roman"/>
          <w:sz w:val="24"/>
          <w:szCs w:val="24"/>
        </w:rPr>
        <w:t>being</w:t>
      </w:r>
      <w:r w:rsidRPr="00061A5F">
        <w:rPr>
          <w:rFonts w:ascii="Times New Roman" w:hAnsi="Times New Roman"/>
          <w:sz w:val="24"/>
          <w:szCs w:val="24"/>
        </w:rPr>
        <w:t xml:space="preserve"> negative</w:t>
      </w:r>
      <w:r w:rsidR="009B7DDE" w:rsidRPr="00061A5F">
        <w:rPr>
          <w:rFonts w:ascii="Times New Roman" w:hAnsi="Times New Roman"/>
          <w:sz w:val="24"/>
          <w:szCs w:val="24"/>
        </w:rPr>
        <w:t>,</w:t>
      </w:r>
      <w:r w:rsidR="00EE2973" w:rsidRPr="00061A5F">
        <w:rPr>
          <w:rFonts w:ascii="Times New Roman" w:hAnsi="Times New Roman"/>
          <w:sz w:val="24"/>
          <w:szCs w:val="24"/>
        </w:rPr>
        <w:t xml:space="preserve"> </w:t>
      </w:r>
      <w:r w:rsidR="009B7DDE" w:rsidRPr="00061A5F">
        <w:rPr>
          <w:rFonts w:ascii="Times New Roman" w:hAnsi="Times New Roman"/>
          <w:sz w:val="24"/>
          <w:szCs w:val="24"/>
        </w:rPr>
        <w:t xml:space="preserve">as domestic prices are </w:t>
      </w:r>
      <w:r w:rsidR="006C1A38" w:rsidRPr="00061A5F">
        <w:rPr>
          <w:rFonts w:ascii="Times New Roman" w:hAnsi="Times New Roman"/>
          <w:sz w:val="24"/>
          <w:szCs w:val="24"/>
        </w:rPr>
        <w:t xml:space="preserve">more </w:t>
      </w:r>
      <w:r w:rsidR="009B7DDE" w:rsidRPr="00061A5F">
        <w:rPr>
          <w:rFonts w:ascii="Times New Roman" w:hAnsi="Times New Roman"/>
          <w:sz w:val="24"/>
          <w:szCs w:val="24"/>
        </w:rPr>
        <w:t>exposed to foreign competition</w:t>
      </w:r>
      <w:r w:rsidRPr="00061A5F">
        <w:rPr>
          <w:rFonts w:ascii="Times New Roman" w:hAnsi="Times New Roman"/>
          <w:sz w:val="24"/>
          <w:szCs w:val="24"/>
        </w:rPr>
        <w:t xml:space="preserve">. </w:t>
      </w:r>
      <w:r w:rsidR="0096014D" w:rsidRPr="00061A5F">
        <w:rPr>
          <w:rFonts w:ascii="Times New Roman" w:hAnsi="Times New Roman"/>
          <w:sz w:val="24"/>
          <w:szCs w:val="24"/>
        </w:rPr>
        <w:t>However, the effect might be reverse</w:t>
      </w:r>
      <w:r w:rsidR="00EE2973" w:rsidRPr="00061A5F">
        <w:rPr>
          <w:rFonts w:ascii="Times New Roman" w:hAnsi="Times New Roman"/>
          <w:sz w:val="24"/>
          <w:szCs w:val="24"/>
        </w:rPr>
        <w:t>d</w:t>
      </w:r>
      <w:r w:rsidR="0096014D" w:rsidRPr="00061A5F">
        <w:rPr>
          <w:rFonts w:ascii="Times New Roman" w:hAnsi="Times New Roman"/>
          <w:sz w:val="24"/>
          <w:szCs w:val="24"/>
        </w:rPr>
        <w:t xml:space="preserve"> when a country is a price taker and </w:t>
      </w:r>
      <w:r w:rsidR="00C57B33" w:rsidRPr="00061A5F">
        <w:rPr>
          <w:rFonts w:ascii="Times New Roman" w:hAnsi="Times New Roman"/>
          <w:sz w:val="24"/>
          <w:szCs w:val="24"/>
        </w:rPr>
        <w:t xml:space="preserve">predominantly </w:t>
      </w:r>
      <w:r w:rsidR="0096014D" w:rsidRPr="00061A5F">
        <w:rPr>
          <w:rFonts w:ascii="Times New Roman" w:hAnsi="Times New Roman"/>
          <w:sz w:val="24"/>
          <w:szCs w:val="24"/>
        </w:rPr>
        <w:t xml:space="preserve">imports </w:t>
      </w:r>
      <w:r w:rsidR="00A76359" w:rsidRPr="00061A5F">
        <w:rPr>
          <w:rFonts w:ascii="Times New Roman" w:hAnsi="Times New Roman"/>
          <w:sz w:val="24"/>
          <w:szCs w:val="24"/>
        </w:rPr>
        <w:t xml:space="preserve">high </w:t>
      </w:r>
      <w:r w:rsidR="00C57B33" w:rsidRPr="00061A5F">
        <w:rPr>
          <w:rFonts w:ascii="Times New Roman" w:hAnsi="Times New Roman"/>
          <w:sz w:val="24"/>
          <w:szCs w:val="24"/>
        </w:rPr>
        <w:t xml:space="preserve">unit value </w:t>
      </w:r>
      <w:r w:rsidR="00A76359" w:rsidRPr="00061A5F">
        <w:rPr>
          <w:rFonts w:ascii="Times New Roman" w:hAnsi="Times New Roman"/>
          <w:sz w:val="24"/>
          <w:szCs w:val="24"/>
        </w:rPr>
        <w:t>goods</w:t>
      </w:r>
      <w:r w:rsidR="00C57B33" w:rsidRPr="00061A5F">
        <w:rPr>
          <w:rFonts w:ascii="Times New Roman" w:hAnsi="Times New Roman"/>
          <w:sz w:val="24"/>
          <w:szCs w:val="24"/>
        </w:rPr>
        <w:t xml:space="preserve"> and services</w:t>
      </w:r>
      <w:r w:rsidR="00A76359" w:rsidRPr="00061A5F">
        <w:rPr>
          <w:rFonts w:ascii="Times New Roman" w:hAnsi="Times New Roman"/>
          <w:sz w:val="24"/>
          <w:szCs w:val="24"/>
        </w:rPr>
        <w:t>.</w:t>
      </w:r>
      <w:r w:rsidR="006E0DD6" w:rsidRPr="00061A5F">
        <w:rPr>
          <w:rFonts w:ascii="Times New Roman" w:hAnsi="Times New Roman"/>
          <w:bCs/>
          <w:color w:val="000000"/>
          <w:sz w:val="24"/>
          <w:szCs w:val="24"/>
          <w:lang w:eastAsia="en-GB"/>
        </w:rPr>
        <w:t xml:space="preserve"> </w:t>
      </w:r>
      <w:r w:rsidRPr="00061A5F">
        <w:rPr>
          <w:rFonts w:ascii="Times New Roman" w:hAnsi="Times New Roman"/>
          <w:bCs/>
          <w:color w:val="000000"/>
          <w:sz w:val="24"/>
          <w:szCs w:val="24"/>
          <w:lang w:eastAsia="en-GB"/>
        </w:rPr>
        <w:t xml:space="preserve">Fisher (1993) argued that the changes in terms of trade (TOT) are a major source of supply shocks for most developing countries. The commonly used measure for the terms of trade is </w:t>
      </w:r>
      <w:r w:rsidRPr="00061A5F">
        <w:rPr>
          <w:rFonts w:ascii="Times New Roman" w:hAnsi="Times New Roman"/>
          <w:sz w:val="24"/>
          <w:szCs w:val="24"/>
        </w:rPr>
        <w:t>a ratio of the export unit value index to the import unit value index</w:t>
      </w:r>
      <w:r w:rsidRPr="00061A5F">
        <w:rPr>
          <w:rFonts w:ascii="Times New Roman" w:hAnsi="Times New Roman"/>
          <w:bCs/>
          <w:color w:val="000000"/>
          <w:sz w:val="24"/>
          <w:szCs w:val="24"/>
          <w:lang w:eastAsia="en-GB"/>
        </w:rPr>
        <w:t>. Accordingly, it is argued that when a country’s terms of trade are improving (increasing) a c</w:t>
      </w:r>
      <w:r w:rsidR="0040241B" w:rsidRPr="00061A5F">
        <w:rPr>
          <w:rFonts w:ascii="Times New Roman" w:hAnsi="Times New Roman"/>
          <w:bCs/>
          <w:color w:val="000000"/>
          <w:sz w:val="24"/>
          <w:szCs w:val="24"/>
          <w:lang w:eastAsia="en-GB"/>
        </w:rPr>
        <w:t xml:space="preserve">ountry can afford more imports </w:t>
      </w:r>
      <w:r w:rsidRPr="00061A5F">
        <w:rPr>
          <w:rFonts w:ascii="Times New Roman" w:hAnsi="Times New Roman"/>
          <w:bCs/>
          <w:color w:val="000000"/>
          <w:sz w:val="24"/>
          <w:szCs w:val="24"/>
          <w:lang w:eastAsia="en-GB"/>
        </w:rPr>
        <w:t>due to increase</w:t>
      </w:r>
      <w:r w:rsidR="001A0207" w:rsidRPr="00061A5F">
        <w:rPr>
          <w:rFonts w:ascii="Times New Roman" w:hAnsi="Times New Roman"/>
          <w:bCs/>
          <w:color w:val="000000"/>
          <w:sz w:val="24"/>
          <w:szCs w:val="24"/>
          <w:lang w:eastAsia="en-GB"/>
        </w:rPr>
        <w:t>d</w:t>
      </w:r>
      <w:r w:rsidRPr="00061A5F">
        <w:rPr>
          <w:rFonts w:ascii="Times New Roman" w:hAnsi="Times New Roman"/>
          <w:bCs/>
          <w:color w:val="000000"/>
          <w:sz w:val="24"/>
          <w:szCs w:val="24"/>
          <w:lang w:eastAsia="en-GB"/>
        </w:rPr>
        <w:t xml:space="preserve"> earnings from exports</w:t>
      </w:r>
      <w:r w:rsidR="0096623F" w:rsidRPr="00061A5F">
        <w:rPr>
          <w:rFonts w:ascii="Times New Roman" w:hAnsi="Times New Roman"/>
          <w:bCs/>
          <w:color w:val="000000"/>
          <w:sz w:val="24"/>
          <w:szCs w:val="24"/>
          <w:lang w:eastAsia="en-GB"/>
        </w:rPr>
        <w:t>.</w:t>
      </w:r>
      <w:r w:rsidR="0042173F" w:rsidRPr="00061A5F">
        <w:rPr>
          <w:rFonts w:ascii="Times New Roman" w:hAnsi="Times New Roman"/>
          <w:bCs/>
          <w:color w:val="000000"/>
          <w:sz w:val="24"/>
          <w:szCs w:val="24"/>
          <w:lang w:eastAsia="en-GB"/>
        </w:rPr>
        <w:t xml:space="preserve"> </w:t>
      </w:r>
      <w:r w:rsidRPr="00061A5F">
        <w:rPr>
          <w:rFonts w:ascii="Times New Roman" w:hAnsi="Times New Roman"/>
          <w:bCs/>
          <w:color w:val="000000"/>
          <w:sz w:val="24"/>
          <w:szCs w:val="24"/>
          <w:lang w:eastAsia="en-GB"/>
        </w:rPr>
        <w:t xml:space="preserve">These improvements are likely to increase </w:t>
      </w:r>
      <w:r w:rsidR="0042173F" w:rsidRPr="00061A5F">
        <w:rPr>
          <w:rFonts w:ascii="Times New Roman" w:hAnsi="Times New Roman"/>
          <w:bCs/>
          <w:color w:val="000000"/>
          <w:sz w:val="24"/>
          <w:szCs w:val="24"/>
          <w:lang w:eastAsia="en-GB"/>
        </w:rPr>
        <w:t>the</w:t>
      </w:r>
      <w:r w:rsidRPr="00061A5F">
        <w:rPr>
          <w:rFonts w:ascii="Times New Roman" w:hAnsi="Times New Roman"/>
          <w:bCs/>
          <w:color w:val="000000"/>
          <w:sz w:val="24"/>
          <w:szCs w:val="24"/>
          <w:lang w:eastAsia="en-GB"/>
        </w:rPr>
        <w:t xml:space="preserve"> quantity of relatively cheaper import goods, and consequently lead to a decrease in inflation in the short-run. </w:t>
      </w:r>
    </w:p>
    <w:p w14:paraId="2D65435C" w14:textId="77777777" w:rsidR="009408EE" w:rsidRPr="00061A5F" w:rsidRDefault="009408EE" w:rsidP="007F5D0E">
      <w:pPr>
        <w:spacing w:line="276" w:lineRule="auto"/>
        <w:jc w:val="both"/>
        <w:rPr>
          <w:rFonts w:ascii="Times New Roman" w:hAnsi="Times New Roman"/>
          <w:sz w:val="24"/>
          <w:szCs w:val="24"/>
        </w:rPr>
      </w:pPr>
    </w:p>
    <w:p w14:paraId="20D5F29F" w14:textId="65E581F2" w:rsidR="009408EE" w:rsidRPr="00061A5F" w:rsidRDefault="009408EE" w:rsidP="007F5D0E">
      <w:pPr>
        <w:spacing w:line="276" w:lineRule="auto"/>
        <w:jc w:val="both"/>
        <w:rPr>
          <w:rFonts w:ascii="Times New Roman" w:hAnsi="Times New Roman"/>
          <w:sz w:val="24"/>
          <w:szCs w:val="24"/>
        </w:rPr>
      </w:pPr>
      <w:r w:rsidRPr="00061A5F">
        <w:rPr>
          <w:rFonts w:ascii="Times New Roman" w:hAnsi="Times New Roman"/>
          <w:sz w:val="24"/>
          <w:szCs w:val="24"/>
        </w:rPr>
        <w:t xml:space="preserve">Empirical studies which examine the inflation determinants in transition countries emphasise the importance of accounting for the effects of economic liberalisation, central bank independence and other institutional characteristics (Cukierman et al., 2002; Inoue, 2005; Barlow, 2010). In transition economies, there are many structural and institutional changes, which are expected to influence the inflation generating process. To account for these changes transition indicators are included in the model. Although they have </w:t>
      </w:r>
      <w:r w:rsidR="003A2C39" w:rsidRPr="00061A5F">
        <w:rPr>
          <w:rFonts w:ascii="Times New Roman" w:hAnsi="Times New Roman"/>
          <w:sz w:val="24"/>
          <w:szCs w:val="24"/>
        </w:rPr>
        <w:t>some limitations,</w:t>
      </w:r>
      <w:r w:rsidRPr="00061A5F">
        <w:rPr>
          <w:rFonts w:ascii="Times New Roman" w:hAnsi="Times New Roman"/>
          <w:sz w:val="24"/>
          <w:szCs w:val="24"/>
        </w:rPr>
        <w:t xml:space="preserve"> the EBRD indices, as the most widely used transition indices, are used. The aggregate EBRD index (EBRDI) indicates the overall progress in transition, assigning scores from 1 (which indicates little or no progress) to 4 (for the highest progress). Better progress in transition should result in lower inflation due to trade liberalisation (through increase in competition), privatisation (through increase in enterprises efficiency) and credit reforms (through the increase in monetary policy efficacy via raising the effectiveness of credit allocation)</w:t>
      </w:r>
      <w:r w:rsidR="00EE2973" w:rsidRPr="00061A5F">
        <w:rPr>
          <w:rFonts w:ascii="Times New Roman" w:hAnsi="Times New Roman"/>
          <w:sz w:val="24"/>
          <w:szCs w:val="24"/>
        </w:rPr>
        <w:t>, each of</w:t>
      </w:r>
      <w:r w:rsidRPr="00061A5F">
        <w:rPr>
          <w:rFonts w:ascii="Times New Roman" w:hAnsi="Times New Roman"/>
          <w:sz w:val="24"/>
          <w:szCs w:val="24"/>
        </w:rPr>
        <w:t xml:space="preserve"> which </w:t>
      </w:r>
      <w:r w:rsidR="00EE2973" w:rsidRPr="00061A5F">
        <w:rPr>
          <w:rFonts w:ascii="Times New Roman" w:hAnsi="Times New Roman"/>
          <w:sz w:val="24"/>
          <w:szCs w:val="24"/>
        </w:rPr>
        <w:t>is</w:t>
      </w:r>
      <w:r w:rsidRPr="00061A5F">
        <w:rPr>
          <w:rFonts w:ascii="Times New Roman" w:hAnsi="Times New Roman"/>
          <w:sz w:val="24"/>
          <w:szCs w:val="24"/>
        </w:rPr>
        <w:t xml:space="preserve"> included in the aggregate EBRD index (Barlow, 2010).</w:t>
      </w:r>
      <w:r w:rsidR="002C53EF" w:rsidRPr="00061A5F">
        <w:rPr>
          <w:rFonts w:ascii="Times New Roman" w:hAnsi="Times New Roman"/>
          <w:sz w:val="24"/>
          <w:szCs w:val="24"/>
        </w:rPr>
        <w:t xml:space="preserve"> </w:t>
      </w:r>
    </w:p>
    <w:p w14:paraId="4AC97B34" w14:textId="77777777" w:rsidR="009408EE" w:rsidRPr="00061A5F" w:rsidRDefault="009408EE" w:rsidP="007F5D0E">
      <w:pPr>
        <w:spacing w:line="276" w:lineRule="auto"/>
        <w:jc w:val="both"/>
        <w:rPr>
          <w:rFonts w:ascii="Times New Roman" w:hAnsi="Times New Roman"/>
          <w:sz w:val="24"/>
          <w:szCs w:val="24"/>
        </w:rPr>
      </w:pPr>
    </w:p>
    <w:p w14:paraId="1480C4C3" w14:textId="21CDC4D1" w:rsidR="009408EE" w:rsidRPr="00061A5F" w:rsidRDefault="009408EE" w:rsidP="007F5D0E">
      <w:pPr>
        <w:autoSpaceDE w:val="0"/>
        <w:autoSpaceDN w:val="0"/>
        <w:adjustRightInd w:val="0"/>
        <w:spacing w:line="276" w:lineRule="auto"/>
        <w:jc w:val="both"/>
        <w:rPr>
          <w:rFonts w:ascii="Times New Roman" w:hAnsi="Times New Roman"/>
          <w:sz w:val="24"/>
          <w:szCs w:val="24"/>
        </w:rPr>
      </w:pPr>
      <w:r w:rsidRPr="00061A5F">
        <w:rPr>
          <w:rFonts w:ascii="Times New Roman" w:hAnsi="Times New Roman"/>
          <w:sz w:val="24"/>
          <w:szCs w:val="24"/>
        </w:rPr>
        <w:t>An increase in a central bank’s independence (CBI) is also argued to be a characteristic of the transition process and to influence inflation (Frankel, 2010</w:t>
      </w:r>
      <w:r w:rsidR="0026282D" w:rsidRPr="00061A5F">
        <w:rPr>
          <w:rFonts w:ascii="Times New Roman" w:hAnsi="Times New Roman"/>
          <w:sz w:val="24"/>
          <w:szCs w:val="24"/>
        </w:rPr>
        <w:t xml:space="preserve">; </w:t>
      </w:r>
      <w:proofErr w:type="spellStart"/>
      <w:r w:rsidRPr="00061A5F">
        <w:rPr>
          <w:rFonts w:ascii="Times New Roman" w:hAnsi="Times New Roman"/>
          <w:sz w:val="24"/>
          <w:szCs w:val="24"/>
        </w:rPr>
        <w:t>Maliszewski</w:t>
      </w:r>
      <w:proofErr w:type="spellEnd"/>
      <w:r w:rsidRPr="00061A5F">
        <w:rPr>
          <w:rFonts w:ascii="Times New Roman" w:hAnsi="Times New Roman"/>
          <w:sz w:val="24"/>
          <w:szCs w:val="24"/>
        </w:rPr>
        <w:t>, 2000; Cukierman et al., 2002). Cukierman’s CBI index (CCBI), which is usually used in similar studies, is constructed for every country by assigning points on certain features/questions assumed to affect central bank independence (such as “</w:t>
      </w:r>
      <w:r w:rsidRPr="00061A5F">
        <w:rPr>
          <w:rFonts w:ascii="Times New Roman" w:hAnsi="Times New Roman"/>
          <w:sz w:val="24"/>
          <w:szCs w:val="24"/>
          <w:lang w:eastAsia="bs-Latn-BA"/>
        </w:rPr>
        <w:t>Who appoints the Governor?“, “Limits on the level of CB credit to government“</w:t>
      </w:r>
      <w:r w:rsidR="00433EFD" w:rsidRPr="00061A5F">
        <w:rPr>
          <w:rFonts w:ascii="Times New Roman" w:hAnsi="Times New Roman"/>
          <w:sz w:val="24"/>
          <w:szCs w:val="24"/>
          <w:lang w:eastAsia="bs-Latn-BA"/>
        </w:rPr>
        <w:t>,</w:t>
      </w:r>
      <w:r w:rsidRPr="00061A5F">
        <w:rPr>
          <w:rFonts w:ascii="Times New Roman" w:hAnsi="Times New Roman"/>
          <w:sz w:val="24"/>
          <w:szCs w:val="24"/>
          <w:lang w:eastAsia="bs-Latn-BA"/>
        </w:rPr>
        <w:t xml:space="preserve"> and “Provisions for dismissal of the CB governor“</w:t>
      </w:r>
      <w:r w:rsidRPr="00061A5F">
        <w:rPr>
          <w:rFonts w:ascii="Times New Roman" w:hAnsi="Times New Roman"/>
          <w:sz w:val="24"/>
          <w:szCs w:val="24"/>
        </w:rPr>
        <w:t>) and by assigning certain weights to these features. Since an increase in central bank independence is associated with a decrease in the time-inconsistency problem</w:t>
      </w:r>
      <w:r w:rsidR="00E4639E" w:rsidRPr="00061A5F">
        <w:rPr>
          <w:rFonts w:ascii="Times New Roman" w:hAnsi="Times New Roman"/>
          <w:sz w:val="24"/>
          <w:szCs w:val="24"/>
        </w:rPr>
        <w:t>,</w:t>
      </w:r>
      <w:r w:rsidRPr="00061A5F">
        <w:rPr>
          <w:rFonts w:ascii="Times New Roman" w:hAnsi="Times New Roman"/>
          <w:sz w:val="24"/>
          <w:szCs w:val="24"/>
        </w:rPr>
        <w:t xml:space="preserve"> it is expected to lower inflationary expectations and therefore to decrease inflation. This relationship is found in many studies (</w:t>
      </w:r>
      <w:proofErr w:type="spellStart"/>
      <w:r w:rsidRPr="00061A5F">
        <w:rPr>
          <w:rFonts w:ascii="Times New Roman" w:hAnsi="Times New Roman"/>
          <w:sz w:val="24"/>
          <w:szCs w:val="24"/>
        </w:rPr>
        <w:t>Grilli</w:t>
      </w:r>
      <w:proofErr w:type="spellEnd"/>
      <w:r w:rsidRPr="00061A5F">
        <w:rPr>
          <w:rFonts w:ascii="Times New Roman" w:hAnsi="Times New Roman"/>
          <w:sz w:val="24"/>
          <w:szCs w:val="24"/>
        </w:rPr>
        <w:t xml:space="preserve"> et al., 1991; Cukierman et al., </w:t>
      </w:r>
      <w:r w:rsidR="00CC15E8" w:rsidRPr="00061A5F">
        <w:rPr>
          <w:rFonts w:ascii="Times New Roman" w:hAnsi="Times New Roman"/>
          <w:sz w:val="24"/>
          <w:szCs w:val="24"/>
        </w:rPr>
        <w:t>200</w:t>
      </w:r>
      <w:r w:rsidRPr="00061A5F">
        <w:rPr>
          <w:rFonts w:ascii="Times New Roman" w:hAnsi="Times New Roman"/>
          <w:sz w:val="24"/>
          <w:szCs w:val="24"/>
        </w:rPr>
        <w:t xml:space="preserve">2; </w:t>
      </w:r>
      <w:proofErr w:type="spellStart"/>
      <w:r w:rsidRPr="00061A5F">
        <w:rPr>
          <w:rFonts w:ascii="Times New Roman" w:hAnsi="Times New Roman"/>
          <w:sz w:val="24"/>
          <w:szCs w:val="24"/>
        </w:rPr>
        <w:t>Panagiotidis</w:t>
      </w:r>
      <w:proofErr w:type="spellEnd"/>
      <w:r w:rsidRPr="00061A5F">
        <w:rPr>
          <w:rFonts w:ascii="Times New Roman" w:hAnsi="Times New Roman"/>
          <w:sz w:val="24"/>
          <w:szCs w:val="24"/>
        </w:rPr>
        <w:t xml:space="preserve"> and </w:t>
      </w:r>
      <w:proofErr w:type="spellStart"/>
      <w:r w:rsidRPr="00061A5F">
        <w:rPr>
          <w:rFonts w:ascii="Times New Roman" w:hAnsi="Times New Roman"/>
          <w:sz w:val="24"/>
          <w:szCs w:val="24"/>
        </w:rPr>
        <w:t>Triampella</w:t>
      </w:r>
      <w:proofErr w:type="spellEnd"/>
      <w:r w:rsidRPr="00061A5F">
        <w:rPr>
          <w:rFonts w:ascii="Times New Roman" w:hAnsi="Times New Roman"/>
          <w:sz w:val="24"/>
          <w:szCs w:val="24"/>
        </w:rPr>
        <w:t xml:space="preserve">, 2006, as cited in </w:t>
      </w:r>
      <w:proofErr w:type="spellStart"/>
      <w:r w:rsidRPr="00061A5F">
        <w:rPr>
          <w:rFonts w:ascii="Times New Roman" w:hAnsi="Times New Roman"/>
          <w:sz w:val="24"/>
          <w:szCs w:val="24"/>
        </w:rPr>
        <w:t>Bogoev</w:t>
      </w:r>
      <w:proofErr w:type="spellEnd"/>
      <w:r w:rsidRPr="00061A5F">
        <w:rPr>
          <w:rFonts w:ascii="Times New Roman" w:hAnsi="Times New Roman"/>
          <w:sz w:val="24"/>
          <w:szCs w:val="24"/>
        </w:rPr>
        <w:t xml:space="preserve"> et al., 2012). The issue recognised by most of the recent studies is that the relationship between inflation and CBI is likely to be endogenous, since countries with a higher CBI are expected to have lower inflation but, on the other hand, the low inflation countries are likely to adopt more independent central banks, causing an inverse relationship between inflation and CBI. </w:t>
      </w:r>
    </w:p>
    <w:p w14:paraId="2B093094" w14:textId="77777777" w:rsidR="009408EE" w:rsidRPr="00061A5F" w:rsidRDefault="009408EE" w:rsidP="007F5D0E">
      <w:pPr>
        <w:spacing w:line="276" w:lineRule="auto"/>
        <w:jc w:val="both"/>
        <w:rPr>
          <w:rFonts w:ascii="Times New Roman" w:hAnsi="Times New Roman"/>
          <w:color w:val="000000"/>
          <w:sz w:val="24"/>
          <w:szCs w:val="24"/>
        </w:rPr>
      </w:pPr>
    </w:p>
    <w:p w14:paraId="3060E529" w14:textId="5698E545" w:rsidR="004F0E4C" w:rsidRPr="00061A5F" w:rsidRDefault="009408EE" w:rsidP="007F5D0E">
      <w:pPr>
        <w:spacing w:line="276" w:lineRule="auto"/>
        <w:jc w:val="both"/>
        <w:rPr>
          <w:rFonts w:ascii="Times New Roman" w:hAnsi="Times New Roman"/>
          <w:color w:val="000000"/>
          <w:sz w:val="24"/>
          <w:szCs w:val="24"/>
        </w:rPr>
      </w:pPr>
      <w:r w:rsidRPr="00061A5F">
        <w:rPr>
          <w:rFonts w:ascii="Times New Roman" w:hAnsi="Times New Roman"/>
          <w:color w:val="000000"/>
          <w:sz w:val="24"/>
          <w:szCs w:val="24"/>
        </w:rPr>
        <w:t xml:space="preserve">One more potential determinant of short-run increases in inflation in transition countries </w:t>
      </w:r>
      <w:r w:rsidR="00A557B4" w:rsidRPr="00061A5F">
        <w:rPr>
          <w:rFonts w:ascii="Times New Roman" w:hAnsi="Times New Roman"/>
          <w:color w:val="000000"/>
          <w:sz w:val="24"/>
          <w:szCs w:val="24"/>
        </w:rPr>
        <w:t>is likely to</w:t>
      </w:r>
      <w:r w:rsidRPr="00061A5F">
        <w:rPr>
          <w:rFonts w:ascii="Times New Roman" w:hAnsi="Times New Roman"/>
          <w:color w:val="000000"/>
          <w:sz w:val="24"/>
          <w:szCs w:val="24"/>
        </w:rPr>
        <w:t xml:space="preserve"> be the introduction of value-added tax (VAT), which occurred in most of the countries </w:t>
      </w:r>
      <w:r w:rsidRPr="00061A5F">
        <w:rPr>
          <w:rFonts w:ascii="Times New Roman" w:hAnsi="Times New Roman"/>
          <w:color w:val="000000"/>
          <w:sz w:val="24"/>
          <w:szCs w:val="24"/>
        </w:rPr>
        <w:lastRenderedPageBreak/>
        <w:t>in the sample during the early stages of transition</w:t>
      </w:r>
      <w:r w:rsidR="0075609B" w:rsidRPr="00061A5F">
        <w:rPr>
          <w:rFonts w:ascii="Times New Roman" w:hAnsi="Times New Roman"/>
          <w:color w:val="000000"/>
          <w:sz w:val="24"/>
          <w:szCs w:val="24"/>
        </w:rPr>
        <w:t>.</w:t>
      </w:r>
      <w:r w:rsidR="0048098C" w:rsidRPr="00061A5F">
        <w:t xml:space="preserve"> </w:t>
      </w:r>
      <w:r w:rsidR="0048098C" w:rsidRPr="00061A5F">
        <w:rPr>
          <w:rFonts w:ascii="Times New Roman" w:hAnsi="Times New Roman"/>
          <w:color w:val="000000"/>
          <w:sz w:val="24"/>
          <w:szCs w:val="24"/>
        </w:rPr>
        <w:t>By 2000 VAT and excise duties were operational in virtually all transition economies with the exception of some central Asian CIS countries, in particular Turkmenistan and Uzbekistan.</w:t>
      </w:r>
      <w:r w:rsidRPr="00061A5F">
        <w:rPr>
          <w:rFonts w:ascii="Times New Roman" w:hAnsi="Times New Roman"/>
          <w:color w:val="000000"/>
          <w:sz w:val="24"/>
          <w:szCs w:val="24"/>
        </w:rPr>
        <w:t xml:space="preserve"> Bye et al. (2003) noted that VAT reform increase</w:t>
      </w:r>
      <w:r w:rsidR="00A557B4" w:rsidRPr="00061A5F">
        <w:rPr>
          <w:rFonts w:ascii="Times New Roman" w:hAnsi="Times New Roman"/>
          <w:color w:val="000000"/>
          <w:sz w:val="24"/>
          <w:szCs w:val="24"/>
        </w:rPr>
        <w:t>d</w:t>
      </w:r>
      <w:r w:rsidRPr="00061A5F">
        <w:rPr>
          <w:rFonts w:ascii="Times New Roman" w:hAnsi="Times New Roman"/>
          <w:color w:val="000000"/>
          <w:sz w:val="24"/>
          <w:szCs w:val="24"/>
        </w:rPr>
        <w:t xml:space="preserve"> the share of indirect taxation in consumer prices, and the aggregate price index of material consumption r</w:t>
      </w:r>
      <w:r w:rsidR="00A557B4" w:rsidRPr="00061A5F">
        <w:rPr>
          <w:rFonts w:ascii="Times New Roman" w:hAnsi="Times New Roman"/>
          <w:color w:val="000000"/>
          <w:sz w:val="24"/>
          <w:szCs w:val="24"/>
        </w:rPr>
        <w:t>ose</w:t>
      </w:r>
      <w:r w:rsidRPr="00061A5F">
        <w:rPr>
          <w:rFonts w:ascii="Times New Roman" w:hAnsi="Times New Roman"/>
          <w:color w:val="000000"/>
          <w:sz w:val="24"/>
          <w:szCs w:val="24"/>
        </w:rPr>
        <w:t xml:space="preserve">. A general result of all analyses conducted by </w:t>
      </w:r>
      <w:proofErr w:type="spellStart"/>
      <w:r w:rsidRPr="00061A5F">
        <w:rPr>
          <w:rFonts w:ascii="Times New Roman" w:hAnsi="Times New Roman"/>
          <w:color w:val="000000"/>
          <w:sz w:val="24"/>
          <w:szCs w:val="24"/>
        </w:rPr>
        <w:t>Viren</w:t>
      </w:r>
      <w:proofErr w:type="spellEnd"/>
      <w:r w:rsidRPr="00061A5F">
        <w:rPr>
          <w:rFonts w:ascii="Times New Roman" w:hAnsi="Times New Roman"/>
          <w:color w:val="000000"/>
          <w:sz w:val="24"/>
          <w:szCs w:val="24"/>
        </w:rPr>
        <w:t xml:space="preserve"> (2009) is that more than one half of a tax increase </w:t>
      </w:r>
      <w:r w:rsidR="00EE2973" w:rsidRPr="00061A5F">
        <w:rPr>
          <w:rFonts w:ascii="Times New Roman" w:hAnsi="Times New Roman"/>
          <w:color w:val="000000"/>
          <w:sz w:val="24"/>
          <w:szCs w:val="24"/>
        </w:rPr>
        <w:t>passes through</w:t>
      </w:r>
      <w:r w:rsidRPr="00061A5F">
        <w:rPr>
          <w:rFonts w:ascii="Times New Roman" w:hAnsi="Times New Roman"/>
          <w:color w:val="000000"/>
          <w:sz w:val="24"/>
          <w:szCs w:val="24"/>
        </w:rPr>
        <w:t xml:space="preserve"> consumer prices. None of th</w:t>
      </w:r>
      <w:r w:rsidR="00BF5951" w:rsidRPr="00061A5F">
        <w:rPr>
          <w:rFonts w:ascii="Times New Roman" w:hAnsi="Times New Roman"/>
          <w:color w:val="000000"/>
          <w:sz w:val="24"/>
          <w:szCs w:val="24"/>
        </w:rPr>
        <w:t xml:space="preserve">e studies reviewed in Section </w:t>
      </w:r>
      <w:r w:rsidRPr="00061A5F">
        <w:rPr>
          <w:rFonts w:ascii="Times New Roman" w:hAnsi="Times New Roman"/>
          <w:color w:val="000000"/>
          <w:sz w:val="24"/>
          <w:szCs w:val="24"/>
        </w:rPr>
        <w:t>2 control for this effect. However, since it is believed that the introduction of VAT affected inflation in transition countries</w:t>
      </w:r>
      <w:r w:rsidR="00E4639E" w:rsidRPr="00061A5F">
        <w:rPr>
          <w:rFonts w:ascii="Times New Roman" w:hAnsi="Times New Roman"/>
          <w:color w:val="000000"/>
          <w:sz w:val="24"/>
          <w:szCs w:val="24"/>
        </w:rPr>
        <w:t>,</w:t>
      </w:r>
      <w:r w:rsidRPr="00061A5F">
        <w:rPr>
          <w:rFonts w:ascii="Times New Roman" w:hAnsi="Times New Roman"/>
          <w:color w:val="000000"/>
          <w:sz w:val="24"/>
          <w:szCs w:val="24"/>
        </w:rPr>
        <w:t xml:space="preserve"> a dummy variable </w:t>
      </w:r>
      <w:r w:rsidR="00433EFD" w:rsidRPr="00061A5F">
        <w:rPr>
          <w:rFonts w:ascii="Times New Roman" w:hAnsi="Times New Roman"/>
          <w:color w:val="000000"/>
          <w:sz w:val="24"/>
          <w:szCs w:val="24"/>
        </w:rPr>
        <w:t xml:space="preserve">that </w:t>
      </w:r>
      <w:r w:rsidRPr="00061A5F">
        <w:rPr>
          <w:rFonts w:ascii="Times New Roman" w:hAnsi="Times New Roman"/>
          <w:color w:val="000000"/>
          <w:sz w:val="24"/>
          <w:szCs w:val="24"/>
        </w:rPr>
        <w:t xml:space="preserve">indicates the year of VAT introduction is included in the model. </w:t>
      </w:r>
      <w:r w:rsidR="00EE2973" w:rsidRPr="00061A5F">
        <w:rPr>
          <w:rFonts w:ascii="Times New Roman" w:hAnsi="Times New Roman"/>
          <w:color w:val="000000"/>
          <w:sz w:val="24"/>
          <w:szCs w:val="24"/>
        </w:rPr>
        <w:t>In addition, y</w:t>
      </w:r>
      <w:r w:rsidRPr="00061A5F">
        <w:rPr>
          <w:rFonts w:ascii="Times New Roman" w:hAnsi="Times New Roman"/>
          <w:color w:val="000000"/>
          <w:sz w:val="24"/>
          <w:szCs w:val="24"/>
        </w:rPr>
        <w:t>ear dummies are included to control for shocks that are common for all countries such as an increase in oil price</w:t>
      </w:r>
      <w:r w:rsidR="00E4639E" w:rsidRPr="00061A5F">
        <w:rPr>
          <w:rFonts w:ascii="Times New Roman" w:hAnsi="Times New Roman"/>
          <w:color w:val="000000"/>
          <w:sz w:val="24"/>
          <w:szCs w:val="24"/>
        </w:rPr>
        <w:t>s</w:t>
      </w:r>
      <w:r w:rsidRPr="00061A5F">
        <w:rPr>
          <w:rFonts w:ascii="Times New Roman" w:hAnsi="Times New Roman"/>
          <w:color w:val="000000"/>
          <w:sz w:val="24"/>
          <w:szCs w:val="24"/>
        </w:rPr>
        <w:t xml:space="preserve"> or </w:t>
      </w:r>
      <w:r w:rsidR="00A557B4" w:rsidRPr="00061A5F">
        <w:rPr>
          <w:rFonts w:ascii="Times New Roman" w:hAnsi="Times New Roman"/>
          <w:color w:val="000000"/>
          <w:sz w:val="24"/>
          <w:szCs w:val="24"/>
        </w:rPr>
        <w:t xml:space="preserve">the onset </w:t>
      </w:r>
      <w:r w:rsidR="00E4639E" w:rsidRPr="00061A5F">
        <w:rPr>
          <w:rFonts w:ascii="Times New Roman" w:hAnsi="Times New Roman"/>
          <w:color w:val="000000"/>
          <w:sz w:val="24"/>
          <w:szCs w:val="24"/>
        </w:rPr>
        <w:t xml:space="preserve">and unfolding </w:t>
      </w:r>
      <w:r w:rsidR="00A557B4" w:rsidRPr="00061A5F">
        <w:rPr>
          <w:rFonts w:ascii="Times New Roman" w:hAnsi="Times New Roman"/>
          <w:color w:val="000000"/>
          <w:sz w:val="24"/>
          <w:szCs w:val="24"/>
        </w:rPr>
        <w:t>of the GFC</w:t>
      </w:r>
      <w:r w:rsidRPr="00061A5F">
        <w:rPr>
          <w:rFonts w:ascii="Times New Roman" w:hAnsi="Times New Roman"/>
          <w:color w:val="000000"/>
          <w:sz w:val="24"/>
          <w:szCs w:val="24"/>
        </w:rPr>
        <w:t xml:space="preserve">. </w:t>
      </w:r>
      <w:r w:rsidR="00BF5951" w:rsidRPr="00061A5F">
        <w:rPr>
          <w:rFonts w:ascii="Times New Roman" w:hAnsi="Times New Roman"/>
          <w:color w:val="000000"/>
          <w:sz w:val="24"/>
          <w:szCs w:val="24"/>
        </w:rPr>
        <w:t xml:space="preserve">Finally, </w:t>
      </w:r>
      <w:r w:rsidR="00433EFD" w:rsidRPr="00061A5F">
        <w:rPr>
          <w:rFonts w:ascii="Times New Roman" w:hAnsi="Times New Roman"/>
          <w:color w:val="000000"/>
          <w:sz w:val="24"/>
          <w:szCs w:val="24"/>
        </w:rPr>
        <w:t xml:space="preserve">a </w:t>
      </w:r>
      <w:r w:rsidR="00BF5951" w:rsidRPr="00061A5F">
        <w:rPr>
          <w:rFonts w:ascii="Times New Roman" w:hAnsi="Times New Roman"/>
          <w:color w:val="000000"/>
          <w:sz w:val="24"/>
          <w:szCs w:val="24"/>
        </w:rPr>
        <w:t>dummy variable for EU membership is included</w:t>
      </w:r>
      <w:r w:rsidR="00433EFD" w:rsidRPr="00061A5F">
        <w:rPr>
          <w:rFonts w:ascii="Times New Roman" w:hAnsi="Times New Roman"/>
          <w:color w:val="000000"/>
          <w:sz w:val="24"/>
          <w:szCs w:val="24"/>
        </w:rPr>
        <w:t>,</w:t>
      </w:r>
      <w:r w:rsidR="00BF5951" w:rsidRPr="00061A5F">
        <w:rPr>
          <w:rFonts w:ascii="Times New Roman" w:hAnsi="Times New Roman"/>
          <w:color w:val="000000"/>
          <w:sz w:val="24"/>
          <w:szCs w:val="24"/>
        </w:rPr>
        <w:t xml:space="preserve"> since countries </w:t>
      </w:r>
      <w:r w:rsidR="00E4639E" w:rsidRPr="00061A5F">
        <w:rPr>
          <w:rFonts w:ascii="Times New Roman" w:hAnsi="Times New Roman"/>
          <w:color w:val="000000"/>
          <w:sz w:val="24"/>
          <w:szCs w:val="24"/>
        </w:rPr>
        <w:t xml:space="preserve">that </w:t>
      </w:r>
      <w:r w:rsidR="00BF5951" w:rsidRPr="00061A5F">
        <w:rPr>
          <w:rFonts w:ascii="Times New Roman" w:hAnsi="Times New Roman"/>
          <w:color w:val="000000"/>
          <w:sz w:val="24"/>
          <w:szCs w:val="24"/>
        </w:rPr>
        <w:t>are EU member</w:t>
      </w:r>
      <w:r w:rsidR="00E4639E" w:rsidRPr="00061A5F">
        <w:rPr>
          <w:rFonts w:ascii="Times New Roman" w:hAnsi="Times New Roman"/>
          <w:color w:val="000000"/>
          <w:sz w:val="24"/>
          <w:szCs w:val="24"/>
        </w:rPr>
        <w:t>s,</w:t>
      </w:r>
      <w:r w:rsidR="00BF5951" w:rsidRPr="00061A5F">
        <w:rPr>
          <w:rFonts w:ascii="Times New Roman" w:hAnsi="Times New Roman"/>
          <w:color w:val="000000"/>
          <w:sz w:val="24"/>
          <w:szCs w:val="24"/>
        </w:rPr>
        <w:t xml:space="preserve"> and are </w:t>
      </w:r>
      <w:r w:rsidR="00E4639E" w:rsidRPr="00061A5F">
        <w:rPr>
          <w:rFonts w:ascii="Times New Roman" w:hAnsi="Times New Roman"/>
          <w:color w:val="000000"/>
          <w:sz w:val="24"/>
          <w:szCs w:val="24"/>
        </w:rPr>
        <w:t xml:space="preserve">thus </w:t>
      </w:r>
      <w:r w:rsidR="00BF5951" w:rsidRPr="00061A5F">
        <w:rPr>
          <w:rFonts w:ascii="Times New Roman" w:hAnsi="Times New Roman"/>
          <w:color w:val="000000"/>
          <w:sz w:val="24"/>
          <w:szCs w:val="24"/>
        </w:rPr>
        <w:t>expected to become Eurozone me</w:t>
      </w:r>
      <w:r w:rsidR="003B0074" w:rsidRPr="00061A5F">
        <w:rPr>
          <w:rFonts w:ascii="Times New Roman" w:hAnsi="Times New Roman"/>
          <w:color w:val="000000"/>
          <w:sz w:val="24"/>
          <w:szCs w:val="24"/>
        </w:rPr>
        <w:t>m</w:t>
      </w:r>
      <w:r w:rsidR="00BF5951" w:rsidRPr="00061A5F">
        <w:rPr>
          <w:rFonts w:ascii="Times New Roman" w:hAnsi="Times New Roman"/>
          <w:color w:val="000000"/>
          <w:sz w:val="24"/>
          <w:szCs w:val="24"/>
        </w:rPr>
        <w:t>bers</w:t>
      </w:r>
      <w:r w:rsidR="00E4639E" w:rsidRPr="00061A5F">
        <w:rPr>
          <w:rFonts w:ascii="Times New Roman" w:hAnsi="Times New Roman"/>
          <w:color w:val="000000"/>
          <w:sz w:val="24"/>
          <w:szCs w:val="24"/>
        </w:rPr>
        <w:t>,</w:t>
      </w:r>
      <w:r w:rsidR="00BF5951" w:rsidRPr="00061A5F">
        <w:rPr>
          <w:rFonts w:ascii="Times New Roman" w:hAnsi="Times New Roman"/>
          <w:color w:val="000000"/>
          <w:sz w:val="24"/>
          <w:szCs w:val="24"/>
        </w:rPr>
        <w:t xml:space="preserve"> are trying to keep their inflation stable in order to fulfil </w:t>
      </w:r>
      <w:r w:rsidR="00433EFD" w:rsidRPr="00061A5F">
        <w:rPr>
          <w:rFonts w:ascii="Times New Roman" w:hAnsi="Times New Roman"/>
          <w:color w:val="000000"/>
          <w:sz w:val="24"/>
          <w:szCs w:val="24"/>
        </w:rPr>
        <w:t xml:space="preserve">the </w:t>
      </w:r>
      <w:r w:rsidR="00BF5951" w:rsidRPr="00061A5F">
        <w:rPr>
          <w:rFonts w:ascii="Times New Roman" w:hAnsi="Times New Roman"/>
          <w:color w:val="000000"/>
          <w:sz w:val="24"/>
          <w:szCs w:val="24"/>
        </w:rPr>
        <w:t xml:space="preserve">Maastricht criteria. </w:t>
      </w:r>
    </w:p>
    <w:p w14:paraId="213324A1" w14:textId="77777777" w:rsidR="004F0E4C" w:rsidRPr="00061A5F" w:rsidRDefault="004F0E4C" w:rsidP="007F5D0E">
      <w:pPr>
        <w:spacing w:line="276" w:lineRule="auto"/>
        <w:jc w:val="both"/>
        <w:rPr>
          <w:rFonts w:ascii="Times New Roman" w:hAnsi="Times New Roman"/>
          <w:color w:val="000000"/>
          <w:sz w:val="24"/>
          <w:szCs w:val="24"/>
        </w:rPr>
      </w:pPr>
    </w:p>
    <w:p w14:paraId="4210F41A" w14:textId="330C9C92" w:rsidR="004F0E4C" w:rsidRPr="00061A5F" w:rsidRDefault="004F0E4C" w:rsidP="007F5D0E">
      <w:pPr>
        <w:spacing w:line="276" w:lineRule="auto"/>
        <w:jc w:val="both"/>
        <w:rPr>
          <w:rFonts w:ascii="Times New Roman" w:hAnsi="Times New Roman"/>
          <w:sz w:val="24"/>
          <w:szCs w:val="24"/>
        </w:rPr>
      </w:pPr>
      <w:r w:rsidRPr="00061A5F">
        <w:rPr>
          <w:rFonts w:ascii="Times New Roman" w:hAnsi="Times New Roman"/>
          <w:sz w:val="24"/>
          <w:szCs w:val="24"/>
        </w:rPr>
        <w:t xml:space="preserve">Horvath and </w:t>
      </w:r>
      <w:proofErr w:type="spellStart"/>
      <w:r w:rsidRPr="00061A5F">
        <w:rPr>
          <w:rFonts w:ascii="Times New Roman" w:hAnsi="Times New Roman"/>
          <w:sz w:val="24"/>
          <w:szCs w:val="24"/>
        </w:rPr>
        <w:t>Koprnick</w:t>
      </w:r>
      <w:r w:rsidR="00923F08" w:rsidRPr="00061A5F">
        <w:rPr>
          <w:rFonts w:ascii="Times New Roman" w:hAnsi="Times New Roman"/>
          <w:sz w:val="24"/>
          <w:szCs w:val="24"/>
        </w:rPr>
        <w:t>a</w:t>
      </w:r>
      <w:proofErr w:type="spellEnd"/>
      <w:r w:rsidRPr="00061A5F">
        <w:rPr>
          <w:rFonts w:ascii="Times New Roman" w:hAnsi="Times New Roman"/>
          <w:sz w:val="24"/>
          <w:szCs w:val="24"/>
        </w:rPr>
        <w:t xml:space="preserve"> (2009) examine</w:t>
      </w:r>
      <w:r w:rsidR="006C1970" w:rsidRPr="00061A5F">
        <w:rPr>
          <w:rFonts w:ascii="Times New Roman" w:hAnsi="Times New Roman"/>
          <w:sz w:val="24"/>
          <w:szCs w:val="24"/>
        </w:rPr>
        <w:t>d</w:t>
      </w:r>
      <w:r w:rsidRPr="00061A5F">
        <w:rPr>
          <w:rFonts w:ascii="Times New Roman" w:hAnsi="Times New Roman"/>
          <w:sz w:val="24"/>
          <w:szCs w:val="24"/>
        </w:rPr>
        <w:t xml:space="preserve"> the determinants of inflation differentials in a panel of EU countries compared to Eurozone countries. They identified the exchange rate changes, output gap, price level and fiscal deficit as important determinants of inflation differentials. In our paper, changes in the price level are the dependent variable, since we are not interested in the inflation differences between countries but in investigating how a specific monetary framework, namely CBA, affects inflation. Hence, we control for the specific regime rather than the exchange rate variability. It would also be interesting to see the effect of the Emerging Market Bond Index on inflation, even though it could easily be argued that there would be simultaneity between the two, but this variable is not included due to data limitation.</w:t>
      </w:r>
      <w:r w:rsidRPr="00061A5F">
        <w:rPr>
          <w:rStyle w:val="FootnoteReference"/>
          <w:rFonts w:ascii="Times New Roman" w:hAnsi="Times New Roman"/>
          <w:sz w:val="24"/>
          <w:szCs w:val="24"/>
        </w:rPr>
        <w:footnoteReference w:id="6"/>
      </w:r>
      <w:r w:rsidRPr="00061A5F">
        <w:rPr>
          <w:rFonts w:ascii="Times New Roman" w:hAnsi="Times New Roman"/>
          <w:sz w:val="24"/>
          <w:szCs w:val="24"/>
        </w:rPr>
        <w:t xml:space="preserve"> </w:t>
      </w:r>
    </w:p>
    <w:p w14:paraId="370D7A03" w14:textId="77777777" w:rsidR="004F0E4C" w:rsidRPr="00061A5F" w:rsidRDefault="004F0E4C" w:rsidP="007F5D0E">
      <w:pPr>
        <w:spacing w:line="276" w:lineRule="auto"/>
        <w:jc w:val="both"/>
        <w:rPr>
          <w:rFonts w:ascii="Times New Roman" w:hAnsi="Times New Roman"/>
          <w:color w:val="000000"/>
          <w:sz w:val="24"/>
          <w:szCs w:val="24"/>
        </w:rPr>
      </w:pPr>
    </w:p>
    <w:p w14:paraId="4F4712B1" w14:textId="0753DB37" w:rsidR="009408EE" w:rsidRPr="00061A5F" w:rsidRDefault="009408EE" w:rsidP="007F5D0E">
      <w:pPr>
        <w:spacing w:line="276" w:lineRule="auto"/>
        <w:jc w:val="both"/>
        <w:rPr>
          <w:rFonts w:ascii="Times New Roman" w:hAnsi="Times New Roman"/>
          <w:color w:val="000000"/>
          <w:sz w:val="24"/>
          <w:szCs w:val="24"/>
        </w:rPr>
      </w:pPr>
      <w:r w:rsidRPr="00061A5F">
        <w:rPr>
          <w:rFonts w:ascii="Times New Roman" w:hAnsi="Times New Roman"/>
          <w:color w:val="000000"/>
          <w:sz w:val="24"/>
          <w:szCs w:val="24"/>
        </w:rPr>
        <w:t>Annual data for all variables is used. All the above specified variables with their measures, labels, and expected</w:t>
      </w:r>
      <w:r w:rsidR="003A2C39" w:rsidRPr="00061A5F">
        <w:rPr>
          <w:rFonts w:ascii="Times New Roman" w:hAnsi="Times New Roman"/>
          <w:color w:val="000000"/>
          <w:sz w:val="24"/>
          <w:szCs w:val="24"/>
        </w:rPr>
        <w:t xml:space="preserve"> signs are presented in Table 1A</w:t>
      </w:r>
      <w:r w:rsidRPr="00061A5F">
        <w:rPr>
          <w:rFonts w:ascii="Times New Roman" w:hAnsi="Times New Roman"/>
          <w:color w:val="000000"/>
          <w:sz w:val="24"/>
          <w:szCs w:val="24"/>
        </w:rPr>
        <w:t xml:space="preserve"> </w:t>
      </w:r>
      <w:r w:rsidR="00BF5951" w:rsidRPr="00061A5F">
        <w:rPr>
          <w:rFonts w:ascii="Times New Roman" w:hAnsi="Times New Roman"/>
          <w:color w:val="000000"/>
          <w:sz w:val="24"/>
          <w:szCs w:val="24"/>
        </w:rPr>
        <w:t xml:space="preserve">in </w:t>
      </w:r>
      <w:r w:rsidR="00433EFD" w:rsidRPr="00061A5F">
        <w:rPr>
          <w:rFonts w:ascii="Times New Roman" w:hAnsi="Times New Roman"/>
          <w:color w:val="000000"/>
          <w:sz w:val="24"/>
          <w:szCs w:val="24"/>
        </w:rPr>
        <w:t xml:space="preserve">the </w:t>
      </w:r>
      <w:r w:rsidR="00BF5951" w:rsidRPr="00061A5F">
        <w:rPr>
          <w:rFonts w:ascii="Times New Roman" w:hAnsi="Times New Roman"/>
          <w:color w:val="000000"/>
          <w:sz w:val="24"/>
          <w:szCs w:val="24"/>
        </w:rPr>
        <w:t>Appendix.</w:t>
      </w:r>
      <w:r w:rsidR="00557899" w:rsidRPr="00061A5F">
        <w:t xml:space="preserve"> </w:t>
      </w:r>
      <w:r w:rsidRPr="00061A5F">
        <w:rPr>
          <w:rFonts w:ascii="Times New Roman" w:hAnsi="Times New Roman"/>
          <w:color w:val="000000"/>
          <w:sz w:val="24"/>
          <w:szCs w:val="24"/>
        </w:rPr>
        <w:t>In</w:t>
      </w:r>
      <w:r w:rsidR="005639AC" w:rsidRPr="00061A5F">
        <w:rPr>
          <w:rFonts w:ascii="Times New Roman" w:hAnsi="Times New Roman"/>
          <w:color w:val="000000"/>
          <w:sz w:val="24"/>
          <w:szCs w:val="24"/>
        </w:rPr>
        <w:t>itially</w:t>
      </w:r>
      <w:r w:rsidRPr="00061A5F">
        <w:rPr>
          <w:rFonts w:ascii="Times New Roman" w:hAnsi="Times New Roman"/>
          <w:color w:val="000000"/>
          <w:sz w:val="24"/>
          <w:szCs w:val="24"/>
        </w:rPr>
        <w:t xml:space="preserve"> the main trends in these determinants in countries with a CBA will be compared with their trends in countries with other regimes</w:t>
      </w:r>
      <w:r w:rsidR="0048098C" w:rsidRPr="00061A5F">
        <w:rPr>
          <w:rFonts w:ascii="Times New Roman" w:hAnsi="Times New Roman"/>
          <w:color w:val="000000"/>
          <w:sz w:val="24"/>
          <w:szCs w:val="24"/>
        </w:rPr>
        <w:t xml:space="preserve"> (Table 1)</w:t>
      </w:r>
      <w:r w:rsidRPr="00061A5F">
        <w:rPr>
          <w:rFonts w:ascii="Times New Roman" w:hAnsi="Times New Roman"/>
          <w:color w:val="000000"/>
          <w:sz w:val="24"/>
          <w:szCs w:val="24"/>
        </w:rPr>
        <w:t>.</w:t>
      </w:r>
    </w:p>
    <w:p w14:paraId="5BD28F8A" w14:textId="77777777" w:rsidR="00AB55DF" w:rsidRPr="00061A5F" w:rsidRDefault="00AB55DF" w:rsidP="007F5D0E">
      <w:pPr>
        <w:spacing w:line="276" w:lineRule="auto"/>
        <w:jc w:val="both"/>
        <w:rPr>
          <w:rFonts w:ascii="Times New Roman" w:hAnsi="Times New Roman"/>
          <w:color w:val="000000"/>
          <w:sz w:val="24"/>
          <w:szCs w:val="24"/>
        </w:rPr>
      </w:pPr>
    </w:p>
    <w:p w14:paraId="76048028" w14:textId="7726CAEB" w:rsidR="009A40F5" w:rsidRPr="00061A5F" w:rsidRDefault="009A40F5" w:rsidP="007F5D0E">
      <w:pPr>
        <w:pStyle w:val="Tables"/>
        <w:jc w:val="both"/>
      </w:pPr>
      <w:bookmarkStart w:id="58" w:name="_Toc418088429"/>
      <w:r w:rsidRPr="00061A5F">
        <w:t>Table 1</w:t>
      </w:r>
      <w:r w:rsidR="00657613" w:rsidRPr="00061A5F">
        <w:t>.</w:t>
      </w:r>
      <w:r w:rsidRPr="00061A5F">
        <w:t xml:space="preserve"> Comparison of average trends in inflation and inflation determinants between countries with a currency board arrangement (CBA) and countries with other regimes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872"/>
        <w:gridCol w:w="791"/>
        <w:gridCol w:w="792"/>
        <w:gridCol w:w="792"/>
        <w:gridCol w:w="790"/>
        <w:gridCol w:w="792"/>
        <w:gridCol w:w="792"/>
        <w:gridCol w:w="790"/>
      </w:tblGrid>
      <w:tr w:rsidR="009A40F5" w:rsidRPr="00061A5F" w14:paraId="52A8AD5C" w14:textId="77777777" w:rsidTr="00EB3BBB">
        <w:trPr>
          <w:trHeight w:val="300"/>
        </w:trPr>
        <w:tc>
          <w:tcPr>
            <w:tcW w:w="1445" w:type="pct"/>
            <w:vMerge w:val="restart"/>
            <w:shd w:val="clear" w:color="auto" w:fill="F2F2F2" w:themeFill="background1" w:themeFillShade="F2"/>
            <w:noWrap/>
            <w:vAlign w:val="bottom"/>
          </w:tcPr>
          <w:p w14:paraId="25B58328" w14:textId="77777777" w:rsidR="009A40F5" w:rsidRPr="00061A5F" w:rsidRDefault="009A40F5" w:rsidP="007F5D0E">
            <w:pPr>
              <w:spacing w:line="276" w:lineRule="auto"/>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 xml:space="preserve">Variable </w:t>
            </w:r>
          </w:p>
          <w:p w14:paraId="3F755C7D" w14:textId="77777777" w:rsidR="009A40F5" w:rsidRPr="00061A5F" w:rsidRDefault="009A40F5" w:rsidP="007F5D0E">
            <w:pPr>
              <w:spacing w:line="276" w:lineRule="auto"/>
              <w:jc w:val="both"/>
              <w:rPr>
                <w:rFonts w:ascii="Times New Roman" w:eastAsia="Times New Roman" w:hAnsi="Times New Roman"/>
                <w:color w:val="000000"/>
                <w:lang w:eastAsia="en-GB"/>
              </w:rPr>
            </w:pPr>
          </w:p>
        </w:tc>
        <w:tc>
          <w:tcPr>
            <w:tcW w:w="1801" w:type="pct"/>
            <w:gridSpan w:val="4"/>
            <w:shd w:val="clear" w:color="auto" w:fill="F2F2F2" w:themeFill="background1" w:themeFillShade="F2"/>
            <w:noWrap/>
            <w:vAlign w:val="center"/>
          </w:tcPr>
          <w:p w14:paraId="146A01C7" w14:textId="77777777" w:rsidR="009A40F5" w:rsidRPr="00061A5F" w:rsidRDefault="009A40F5" w:rsidP="007F5D0E">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CBA</w:t>
            </w:r>
          </w:p>
        </w:tc>
        <w:tc>
          <w:tcPr>
            <w:tcW w:w="1755" w:type="pct"/>
            <w:gridSpan w:val="4"/>
            <w:shd w:val="clear" w:color="auto" w:fill="F2F2F2" w:themeFill="background1" w:themeFillShade="F2"/>
            <w:noWrap/>
            <w:vAlign w:val="center"/>
          </w:tcPr>
          <w:p w14:paraId="41D2E504" w14:textId="77777777" w:rsidR="009A40F5" w:rsidRPr="00061A5F" w:rsidRDefault="009A40F5" w:rsidP="007F5D0E">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Other regimes</w:t>
            </w:r>
          </w:p>
        </w:tc>
      </w:tr>
      <w:tr w:rsidR="009A40F5" w:rsidRPr="00061A5F" w14:paraId="088EF06C" w14:textId="77777777" w:rsidTr="00EB3BBB">
        <w:trPr>
          <w:trHeight w:val="300"/>
        </w:trPr>
        <w:tc>
          <w:tcPr>
            <w:tcW w:w="1445" w:type="pct"/>
            <w:vMerge/>
            <w:shd w:val="clear" w:color="auto" w:fill="auto"/>
            <w:noWrap/>
            <w:vAlign w:val="bottom"/>
          </w:tcPr>
          <w:p w14:paraId="2C0F7345" w14:textId="77777777" w:rsidR="009A40F5" w:rsidRPr="00061A5F" w:rsidRDefault="009A40F5" w:rsidP="007F5D0E">
            <w:pPr>
              <w:spacing w:line="276" w:lineRule="auto"/>
              <w:jc w:val="both"/>
              <w:rPr>
                <w:rFonts w:ascii="Times New Roman" w:eastAsia="Times New Roman" w:hAnsi="Times New Roman"/>
                <w:color w:val="000000"/>
                <w:lang w:eastAsia="en-GB"/>
              </w:rPr>
            </w:pPr>
          </w:p>
        </w:tc>
        <w:tc>
          <w:tcPr>
            <w:tcW w:w="484" w:type="pct"/>
            <w:shd w:val="clear" w:color="auto" w:fill="auto"/>
            <w:noWrap/>
            <w:vAlign w:val="center"/>
          </w:tcPr>
          <w:p w14:paraId="67C5F787" w14:textId="77777777" w:rsidR="009A40F5" w:rsidRPr="00061A5F" w:rsidRDefault="009A40F5" w:rsidP="007F5D0E">
            <w:pPr>
              <w:jc w:val="both"/>
              <w:rPr>
                <w:rFonts w:ascii="Times New Roman" w:hAnsi="Times New Roman"/>
                <w:color w:val="000000"/>
                <w:sz w:val="18"/>
              </w:rPr>
            </w:pPr>
            <w:r w:rsidRPr="00061A5F">
              <w:rPr>
                <w:rFonts w:ascii="Times New Roman" w:eastAsia="Times New Roman" w:hAnsi="Times New Roman"/>
                <w:color w:val="000000"/>
                <w:lang w:eastAsia="en-GB"/>
              </w:rPr>
              <w:t>Mean</w:t>
            </w:r>
          </w:p>
        </w:tc>
        <w:tc>
          <w:tcPr>
            <w:tcW w:w="439" w:type="pct"/>
            <w:shd w:val="clear" w:color="auto" w:fill="auto"/>
            <w:noWrap/>
            <w:vAlign w:val="center"/>
          </w:tcPr>
          <w:p w14:paraId="30B5F19A" w14:textId="77777777" w:rsidR="009A40F5" w:rsidRPr="00061A5F" w:rsidRDefault="009A40F5" w:rsidP="007F5D0E">
            <w:pPr>
              <w:jc w:val="both"/>
              <w:rPr>
                <w:rFonts w:ascii="Times New Roman" w:hAnsi="Times New Roman"/>
                <w:color w:val="000000"/>
                <w:sz w:val="18"/>
              </w:rPr>
            </w:pPr>
            <w:r w:rsidRPr="00061A5F">
              <w:rPr>
                <w:rFonts w:ascii="Times New Roman" w:eastAsia="Times New Roman" w:hAnsi="Times New Roman"/>
                <w:color w:val="000000"/>
                <w:lang w:eastAsia="en-GB"/>
              </w:rPr>
              <w:t xml:space="preserve">SD </w:t>
            </w:r>
          </w:p>
        </w:tc>
        <w:tc>
          <w:tcPr>
            <w:tcW w:w="439" w:type="pct"/>
            <w:shd w:val="clear" w:color="auto" w:fill="auto"/>
            <w:noWrap/>
            <w:vAlign w:val="center"/>
          </w:tcPr>
          <w:p w14:paraId="4F026893" w14:textId="77777777" w:rsidR="009A40F5" w:rsidRPr="00061A5F" w:rsidRDefault="009A40F5" w:rsidP="007F5D0E">
            <w:pPr>
              <w:jc w:val="both"/>
              <w:rPr>
                <w:rFonts w:ascii="Times New Roman" w:hAnsi="Times New Roman"/>
                <w:color w:val="000000"/>
                <w:sz w:val="18"/>
              </w:rPr>
            </w:pPr>
            <w:r w:rsidRPr="00061A5F">
              <w:rPr>
                <w:rFonts w:ascii="Times New Roman" w:eastAsia="Times New Roman" w:hAnsi="Times New Roman"/>
                <w:color w:val="000000"/>
                <w:lang w:eastAsia="en-GB"/>
              </w:rPr>
              <w:t>Min</w:t>
            </w:r>
          </w:p>
        </w:tc>
        <w:tc>
          <w:tcPr>
            <w:tcW w:w="439" w:type="pct"/>
            <w:shd w:val="clear" w:color="auto" w:fill="auto"/>
            <w:noWrap/>
            <w:vAlign w:val="center"/>
          </w:tcPr>
          <w:p w14:paraId="2A72C21F" w14:textId="77777777" w:rsidR="009A40F5" w:rsidRPr="00061A5F" w:rsidRDefault="009A40F5" w:rsidP="007F5D0E">
            <w:pPr>
              <w:jc w:val="both"/>
              <w:rPr>
                <w:rFonts w:ascii="Times New Roman" w:hAnsi="Times New Roman"/>
                <w:color w:val="000000"/>
                <w:sz w:val="18"/>
              </w:rPr>
            </w:pPr>
            <w:r w:rsidRPr="00061A5F">
              <w:rPr>
                <w:rFonts w:ascii="Times New Roman" w:eastAsia="Times New Roman" w:hAnsi="Times New Roman"/>
                <w:color w:val="000000"/>
                <w:lang w:eastAsia="en-GB"/>
              </w:rPr>
              <w:t>Max</w:t>
            </w:r>
          </w:p>
        </w:tc>
        <w:tc>
          <w:tcPr>
            <w:tcW w:w="438" w:type="pct"/>
            <w:shd w:val="clear" w:color="auto" w:fill="auto"/>
            <w:noWrap/>
            <w:vAlign w:val="center"/>
          </w:tcPr>
          <w:p w14:paraId="0F8DD643" w14:textId="77777777" w:rsidR="009A40F5" w:rsidRPr="00061A5F" w:rsidRDefault="009A40F5" w:rsidP="007F5D0E">
            <w:pPr>
              <w:jc w:val="both"/>
              <w:rPr>
                <w:rFonts w:ascii="Times New Roman" w:hAnsi="Times New Roman"/>
                <w:color w:val="000000"/>
                <w:sz w:val="18"/>
              </w:rPr>
            </w:pPr>
            <w:r w:rsidRPr="00061A5F">
              <w:rPr>
                <w:rFonts w:ascii="Times New Roman" w:eastAsia="Times New Roman" w:hAnsi="Times New Roman"/>
                <w:color w:val="000000"/>
                <w:lang w:eastAsia="en-GB"/>
              </w:rPr>
              <w:t>Mean</w:t>
            </w:r>
          </w:p>
        </w:tc>
        <w:tc>
          <w:tcPr>
            <w:tcW w:w="439" w:type="pct"/>
            <w:shd w:val="clear" w:color="auto" w:fill="auto"/>
            <w:noWrap/>
            <w:vAlign w:val="center"/>
          </w:tcPr>
          <w:p w14:paraId="4F618841" w14:textId="77777777" w:rsidR="009A40F5" w:rsidRPr="00061A5F" w:rsidRDefault="009A40F5" w:rsidP="007F5D0E">
            <w:pPr>
              <w:jc w:val="both"/>
              <w:rPr>
                <w:rFonts w:ascii="Times New Roman" w:hAnsi="Times New Roman"/>
                <w:color w:val="000000"/>
                <w:sz w:val="18"/>
              </w:rPr>
            </w:pPr>
            <w:r w:rsidRPr="00061A5F">
              <w:rPr>
                <w:rFonts w:ascii="Times New Roman" w:eastAsia="Times New Roman" w:hAnsi="Times New Roman"/>
                <w:color w:val="000000"/>
                <w:lang w:eastAsia="en-GB"/>
              </w:rPr>
              <w:t>SD</w:t>
            </w:r>
          </w:p>
        </w:tc>
        <w:tc>
          <w:tcPr>
            <w:tcW w:w="439" w:type="pct"/>
            <w:shd w:val="clear" w:color="auto" w:fill="auto"/>
            <w:noWrap/>
            <w:vAlign w:val="center"/>
          </w:tcPr>
          <w:p w14:paraId="6BB4FD21" w14:textId="77777777" w:rsidR="009A40F5" w:rsidRPr="00061A5F" w:rsidRDefault="009A40F5" w:rsidP="007F5D0E">
            <w:pPr>
              <w:jc w:val="both"/>
              <w:rPr>
                <w:rFonts w:ascii="Times New Roman" w:hAnsi="Times New Roman"/>
                <w:color w:val="000000"/>
                <w:sz w:val="18"/>
              </w:rPr>
            </w:pPr>
            <w:r w:rsidRPr="00061A5F">
              <w:rPr>
                <w:rFonts w:ascii="Times New Roman" w:eastAsia="Times New Roman" w:hAnsi="Times New Roman"/>
                <w:color w:val="000000"/>
                <w:lang w:eastAsia="en-GB"/>
              </w:rPr>
              <w:t>Min</w:t>
            </w:r>
          </w:p>
        </w:tc>
        <w:tc>
          <w:tcPr>
            <w:tcW w:w="438" w:type="pct"/>
            <w:shd w:val="clear" w:color="auto" w:fill="auto"/>
            <w:noWrap/>
            <w:vAlign w:val="center"/>
          </w:tcPr>
          <w:p w14:paraId="195FBAD3" w14:textId="77777777" w:rsidR="009A40F5" w:rsidRPr="00061A5F" w:rsidRDefault="009A40F5" w:rsidP="007F5D0E">
            <w:pPr>
              <w:jc w:val="both"/>
              <w:rPr>
                <w:rFonts w:ascii="Times New Roman" w:hAnsi="Times New Roman"/>
                <w:color w:val="000000"/>
                <w:sz w:val="18"/>
              </w:rPr>
            </w:pPr>
            <w:r w:rsidRPr="00061A5F">
              <w:rPr>
                <w:rFonts w:ascii="Times New Roman" w:eastAsia="Times New Roman" w:hAnsi="Times New Roman"/>
                <w:color w:val="000000"/>
                <w:lang w:eastAsia="en-GB"/>
              </w:rPr>
              <w:t>Max</w:t>
            </w:r>
          </w:p>
        </w:tc>
      </w:tr>
      <w:tr w:rsidR="009A40F5" w:rsidRPr="00061A5F" w14:paraId="7AEF81B4" w14:textId="77777777" w:rsidTr="00EB3BBB">
        <w:trPr>
          <w:trHeight w:val="300"/>
        </w:trPr>
        <w:tc>
          <w:tcPr>
            <w:tcW w:w="1445" w:type="pct"/>
            <w:shd w:val="clear" w:color="auto" w:fill="auto"/>
            <w:noWrap/>
            <w:vAlign w:val="bottom"/>
          </w:tcPr>
          <w:p w14:paraId="6EAA0273" w14:textId="77777777" w:rsidR="009A40F5" w:rsidRPr="00061A5F" w:rsidRDefault="009A40F5" w:rsidP="007F5D0E">
            <w:pPr>
              <w:spacing w:line="276" w:lineRule="auto"/>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INF (</w:t>
            </w:r>
            <w:r w:rsidRPr="00061A5F">
              <w:rPr>
                <w:rFonts w:ascii="Times New Roman" w:eastAsia="Times New Roman" w:hAnsi="Times New Roman"/>
                <w:i/>
                <w:color w:val="000000"/>
                <w:lang w:eastAsia="en-GB"/>
              </w:rPr>
              <w:t>inflation</w:t>
            </w:r>
            <w:r w:rsidRPr="00061A5F">
              <w:rPr>
                <w:rFonts w:ascii="Times New Roman" w:eastAsia="Times New Roman" w:hAnsi="Times New Roman"/>
                <w:color w:val="000000"/>
                <w:lang w:eastAsia="en-GB"/>
              </w:rPr>
              <w:t>)</w:t>
            </w:r>
          </w:p>
        </w:tc>
        <w:tc>
          <w:tcPr>
            <w:tcW w:w="484" w:type="pct"/>
            <w:shd w:val="clear" w:color="auto" w:fill="auto"/>
            <w:noWrap/>
            <w:vAlign w:val="bottom"/>
          </w:tcPr>
          <w:p w14:paraId="0B2CDDDB"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13.83</w:t>
            </w:r>
          </w:p>
        </w:tc>
        <w:tc>
          <w:tcPr>
            <w:tcW w:w="439" w:type="pct"/>
            <w:shd w:val="clear" w:color="auto" w:fill="auto"/>
            <w:noWrap/>
            <w:vAlign w:val="bottom"/>
          </w:tcPr>
          <w:p w14:paraId="5347D993"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3.81</w:t>
            </w:r>
          </w:p>
        </w:tc>
        <w:tc>
          <w:tcPr>
            <w:tcW w:w="439" w:type="pct"/>
            <w:shd w:val="clear" w:color="auto" w:fill="auto"/>
            <w:noWrap/>
            <w:vAlign w:val="bottom"/>
          </w:tcPr>
          <w:p w14:paraId="0672AD07"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8.58</w:t>
            </w:r>
          </w:p>
        </w:tc>
        <w:tc>
          <w:tcPr>
            <w:tcW w:w="439" w:type="pct"/>
            <w:shd w:val="clear" w:color="auto" w:fill="auto"/>
            <w:noWrap/>
            <w:vAlign w:val="bottom"/>
          </w:tcPr>
          <w:p w14:paraId="7864AA19"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28.67</w:t>
            </w:r>
          </w:p>
        </w:tc>
        <w:tc>
          <w:tcPr>
            <w:tcW w:w="438" w:type="pct"/>
            <w:shd w:val="clear" w:color="auto" w:fill="auto"/>
            <w:noWrap/>
            <w:vAlign w:val="bottom"/>
          </w:tcPr>
          <w:p w14:paraId="48DE8900"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19.59</w:t>
            </w:r>
          </w:p>
        </w:tc>
        <w:tc>
          <w:tcPr>
            <w:tcW w:w="439" w:type="pct"/>
            <w:shd w:val="clear" w:color="auto" w:fill="auto"/>
            <w:noWrap/>
            <w:vAlign w:val="bottom"/>
          </w:tcPr>
          <w:p w14:paraId="1C3AB206"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20.57</w:t>
            </w:r>
          </w:p>
        </w:tc>
        <w:tc>
          <w:tcPr>
            <w:tcW w:w="439" w:type="pct"/>
            <w:shd w:val="clear" w:color="auto" w:fill="auto"/>
            <w:noWrap/>
            <w:vAlign w:val="bottom"/>
          </w:tcPr>
          <w:p w14:paraId="12CC4EAC"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1.47</w:t>
            </w:r>
          </w:p>
        </w:tc>
        <w:tc>
          <w:tcPr>
            <w:tcW w:w="438" w:type="pct"/>
            <w:shd w:val="clear" w:color="auto" w:fill="auto"/>
            <w:noWrap/>
            <w:vAlign w:val="bottom"/>
          </w:tcPr>
          <w:p w14:paraId="42F2E2B1"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303.68</w:t>
            </w:r>
          </w:p>
        </w:tc>
      </w:tr>
      <w:tr w:rsidR="009A40F5" w:rsidRPr="00061A5F" w14:paraId="295B563D" w14:textId="77777777" w:rsidTr="00EB3BBB">
        <w:trPr>
          <w:trHeight w:val="300"/>
        </w:trPr>
        <w:tc>
          <w:tcPr>
            <w:tcW w:w="1445" w:type="pct"/>
            <w:shd w:val="clear" w:color="auto" w:fill="auto"/>
            <w:noWrap/>
            <w:vAlign w:val="bottom"/>
          </w:tcPr>
          <w:p w14:paraId="514FDBB0" w14:textId="77777777" w:rsidR="009A40F5" w:rsidRPr="00061A5F" w:rsidRDefault="009A40F5" w:rsidP="007F5D0E">
            <w:pPr>
              <w:spacing w:line="276" w:lineRule="auto"/>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GDPG (</w:t>
            </w:r>
            <w:r w:rsidRPr="00061A5F">
              <w:rPr>
                <w:rFonts w:ascii="Times New Roman" w:eastAsia="Times New Roman" w:hAnsi="Times New Roman"/>
                <w:i/>
                <w:color w:val="000000"/>
                <w:lang w:eastAsia="en-GB"/>
              </w:rPr>
              <w:t>GDP growth</w:t>
            </w:r>
            <w:r w:rsidRPr="00061A5F">
              <w:rPr>
                <w:rFonts w:ascii="Times New Roman" w:eastAsia="Times New Roman" w:hAnsi="Times New Roman"/>
                <w:color w:val="000000"/>
                <w:lang w:eastAsia="en-GB"/>
              </w:rPr>
              <w:t>)</w:t>
            </w:r>
          </w:p>
        </w:tc>
        <w:tc>
          <w:tcPr>
            <w:tcW w:w="484" w:type="pct"/>
            <w:shd w:val="clear" w:color="auto" w:fill="auto"/>
            <w:noWrap/>
            <w:vAlign w:val="bottom"/>
          </w:tcPr>
          <w:p w14:paraId="7FABCE2B"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3.91</w:t>
            </w:r>
          </w:p>
        </w:tc>
        <w:tc>
          <w:tcPr>
            <w:tcW w:w="439" w:type="pct"/>
            <w:shd w:val="clear" w:color="auto" w:fill="auto"/>
            <w:noWrap/>
            <w:vAlign w:val="bottom"/>
          </w:tcPr>
          <w:p w14:paraId="7D1142A6"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5.15</w:t>
            </w:r>
          </w:p>
        </w:tc>
        <w:tc>
          <w:tcPr>
            <w:tcW w:w="439" w:type="pct"/>
            <w:shd w:val="clear" w:color="auto" w:fill="auto"/>
            <w:noWrap/>
            <w:vAlign w:val="bottom"/>
          </w:tcPr>
          <w:p w14:paraId="1A36E466"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-14.81</w:t>
            </w:r>
          </w:p>
        </w:tc>
        <w:tc>
          <w:tcPr>
            <w:tcW w:w="439" w:type="pct"/>
            <w:shd w:val="clear" w:color="auto" w:fill="auto"/>
            <w:noWrap/>
            <w:vAlign w:val="bottom"/>
          </w:tcPr>
          <w:p w14:paraId="46E4EDE7"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15.60</w:t>
            </w:r>
          </w:p>
        </w:tc>
        <w:tc>
          <w:tcPr>
            <w:tcW w:w="438" w:type="pct"/>
            <w:shd w:val="clear" w:color="auto" w:fill="auto"/>
            <w:noWrap/>
            <w:vAlign w:val="bottom"/>
          </w:tcPr>
          <w:p w14:paraId="57879062"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4.26</w:t>
            </w:r>
          </w:p>
        </w:tc>
        <w:tc>
          <w:tcPr>
            <w:tcW w:w="439" w:type="pct"/>
            <w:shd w:val="clear" w:color="auto" w:fill="auto"/>
            <w:noWrap/>
            <w:vAlign w:val="bottom"/>
          </w:tcPr>
          <w:p w14:paraId="06BAD4CD"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4.93</w:t>
            </w:r>
          </w:p>
        </w:tc>
        <w:tc>
          <w:tcPr>
            <w:tcW w:w="439" w:type="pct"/>
            <w:shd w:val="clear" w:color="auto" w:fill="auto"/>
            <w:noWrap/>
            <w:vAlign w:val="bottom"/>
          </w:tcPr>
          <w:p w14:paraId="48825DBE"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-14.80</w:t>
            </w:r>
          </w:p>
        </w:tc>
        <w:tc>
          <w:tcPr>
            <w:tcW w:w="438" w:type="pct"/>
            <w:shd w:val="clear" w:color="auto" w:fill="auto"/>
            <w:noWrap/>
            <w:vAlign w:val="bottom"/>
          </w:tcPr>
          <w:p w14:paraId="4C530E60"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34.50</w:t>
            </w:r>
          </w:p>
        </w:tc>
      </w:tr>
      <w:tr w:rsidR="009A40F5" w:rsidRPr="00061A5F" w14:paraId="22B14430" w14:textId="77777777" w:rsidTr="00EB3BBB">
        <w:trPr>
          <w:trHeight w:val="300"/>
        </w:trPr>
        <w:tc>
          <w:tcPr>
            <w:tcW w:w="1445" w:type="pct"/>
            <w:shd w:val="clear" w:color="auto" w:fill="auto"/>
            <w:noWrap/>
            <w:vAlign w:val="bottom"/>
          </w:tcPr>
          <w:p w14:paraId="30082213" w14:textId="77777777" w:rsidR="009A40F5" w:rsidRPr="00061A5F" w:rsidRDefault="009A40F5" w:rsidP="007F5D0E">
            <w:pPr>
              <w:spacing w:line="276" w:lineRule="auto"/>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MSG (</w:t>
            </w:r>
            <w:r w:rsidRPr="00061A5F">
              <w:rPr>
                <w:rFonts w:ascii="Times New Roman" w:eastAsia="Times New Roman" w:hAnsi="Times New Roman"/>
                <w:i/>
                <w:color w:val="000000"/>
                <w:lang w:eastAsia="en-GB"/>
              </w:rPr>
              <w:t>money supply growth</w:t>
            </w:r>
            <w:r w:rsidRPr="00061A5F">
              <w:rPr>
                <w:rFonts w:ascii="Times New Roman" w:eastAsia="Times New Roman" w:hAnsi="Times New Roman"/>
                <w:color w:val="000000"/>
                <w:lang w:eastAsia="en-GB"/>
              </w:rPr>
              <w:t>)</w:t>
            </w:r>
          </w:p>
        </w:tc>
        <w:tc>
          <w:tcPr>
            <w:tcW w:w="484" w:type="pct"/>
            <w:shd w:val="clear" w:color="auto" w:fill="auto"/>
            <w:noWrap/>
            <w:vAlign w:val="bottom"/>
          </w:tcPr>
          <w:p w14:paraId="43100A6B"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16.45</w:t>
            </w:r>
          </w:p>
        </w:tc>
        <w:tc>
          <w:tcPr>
            <w:tcW w:w="439" w:type="pct"/>
            <w:shd w:val="clear" w:color="auto" w:fill="auto"/>
            <w:noWrap/>
            <w:vAlign w:val="bottom"/>
          </w:tcPr>
          <w:p w14:paraId="596C8AB4"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13.57</w:t>
            </w:r>
          </w:p>
        </w:tc>
        <w:tc>
          <w:tcPr>
            <w:tcW w:w="439" w:type="pct"/>
            <w:shd w:val="clear" w:color="auto" w:fill="auto"/>
            <w:noWrap/>
            <w:vAlign w:val="bottom"/>
          </w:tcPr>
          <w:p w14:paraId="34120172"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-0.71</w:t>
            </w:r>
          </w:p>
        </w:tc>
        <w:tc>
          <w:tcPr>
            <w:tcW w:w="439" w:type="pct"/>
            <w:shd w:val="clear" w:color="auto" w:fill="auto"/>
            <w:noWrap/>
            <w:vAlign w:val="bottom"/>
          </w:tcPr>
          <w:p w14:paraId="31CE3507"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90.00</w:t>
            </w:r>
          </w:p>
        </w:tc>
        <w:tc>
          <w:tcPr>
            <w:tcW w:w="438" w:type="pct"/>
            <w:shd w:val="clear" w:color="auto" w:fill="auto"/>
            <w:noWrap/>
            <w:vAlign w:val="bottom"/>
          </w:tcPr>
          <w:p w14:paraId="4ED51360"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23.10</w:t>
            </w:r>
          </w:p>
        </w:tc>
        <w:tc>
          <w:tcPr>
            <w:tcW w:w="439" w:type="pct"/>
            <w:shd w:val="clear" w:color="auto" w:fill="auto"/>
            <w:noWrap/>
            <w:vAlign w:val="bottom"/>
          </w:tcPr>
          <w:p w14:paraId="5F552ECD"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26.80</w:t>
            </w:r>
          </w:p>
        </w:tc>
        <w:tc>
          <w:tcPr>
            <w:tcW w:w="439" w:type="pct"/>
            <w:shd w:val="clear" w:color="auto" w:fill="auto"/>
            <w:noWrap/>
            <w:vAlign w:val="bottom"/>
          </w:tcPr>
          <w:p w14:paraId="61F16203"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-15.17</w:t>
            </w:r>
          </w:p>
        </w:tc>
        <w:tc>
          <w:tcPr>
            <w:tcW w:w="438" w:type="pct"/>
            <w:shd w:val="clear" w:color="auto" w:fill="auto"/>
            <w:noWrap/>
            <w:vAlign w:val="bottom"/>
          </w:tcPr>
          <w:p w14:paraId="0449EA61"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276.00</w:t>
            </w:r>
          </w:p>
        </w:tc>
      </w:tr>
      <w:tr w:rsidR="009A40F5" w:rsidRPr="00061A5F" w14:paraId="09C8E93E" w14:textId="77777777" w:rsidTr="00EB3BBB">
        <w:trPr>
          <w:trHeight w:val="300"/>
        </w:trPr>
        <w:tc>
          <w:tcPr>
            <w:tcW w:w="1445" w:type="pct"/>
            <w:shd w:val="clear" w:color="auto" w:fill="auto"/>
            <w:noWrap/>
            <w:vAlign w:val="bottom"/>
          </w:tcPr>
          <w:p w14:paraId="05919AB7" w14:textId="77777777" w:rsidR="009A40F5" w:rsidRPr="00061A5F" w:rsidRDefault="009A40F5" w:rsidP="007F5D0E">
            <w:pPr>
              <w:spacing w:line="276" w:lineRule="auto"/>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FB (</w:t>
            </w:r>
            <w:r w:rsidRPr="00061A5F">
              <w:rPr>
                <w:rFonts w:ascii="Times New Roman" w:eastAsia="Times New Roman" w:hAnsi="Times New Roman"/>
                <w:i/>
                <w:color w:val="000000"/>
                <w:lang w:eastAsia="en-GB"/>
              </w:rPr>
              <w:t>fiscal balance</w:t>
            </w:r>
            <w:r w:rsidRPr="00061A5F">
              <w:rPr>
                <w:rFonts w:ascii="Times New Roman" w:eastAsia="Times New Roman" w:hAnsi="Times New Roman"/>
                <w:color w:val="000000"/>
                <w:lang w:eastAsia="en-GB"/>
              </w:rPr>
              <w:t>)</w:t>
            </w:r>
          </w:p>
        </w:tc>
        <w:tc>
          <w:tcPr>
            <w:tcW w:w="484" w:type="pct"/>
            <w:shd w:val="clear" w:color="auto" w:fill="auto"/>
            <w:noWrap/>
            <w:vAlign w:val="bottom"/>
          </w:tcPr>
          <w:p w14:paraId="3DE91794"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-1.53</w:t>
            </w:r>
          </w:p>
        </w:tc>
        <w:tc>
          <w:tcPr>
            <w:tcW w:w="439" w:type="pct"/>
            <w:shd w:val="clear" w:color="auto" w:fill="auto"/>
            <w:noWrap/>
            <w:vAlign w:val="bottom"/>
          </w:tcPr>
          <w:p w14:paraId="323A4BFA"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2.76</w:t>
            </w:r>
          </w:p>
        </w:tc>
        <w:tc>
          <w:tcPr>
            <w:tcW w:w="439" w:type="pct"/>
            <w:shd w:val="clear" w:color="auto" w:fill="auto"/>
            <w:noWrap/>
            <w:vAlign w:val="bottom"/>
          </w:tcPr>
          <w:p w14:paraId="01818D0A"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-9.33</w:t>
            </w:r>
          </w:p>
        </w:tc>
        <w:tc>
          <w:tcPr>
            <w:tcW w:w="439" w:type="pct"/>
            <w:shd w:val="clear" w:color="auto" w:fill="auto"/>
            <w:noWrap/>
            <w:vAlign w:val="bottom"/>
          </w:tcPr>
          <w:p w14:paraId="620C7C97"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3.23</w:t>
            </w:r>
          </w:p>
        </w:tc>
        <w:tc>
          <w:tcPr>
            <w:tcW w:w="438" w:type="pct"/>
            <w:shd w:val="clear" w:color="auto" w:fill="auto"/>
            <w:noWrap/>
            <w:vAlign w:val="bottom"/>
          </w:tcPr>
          <w:p w14:paraId="1414A365"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-2.33</w:t>
            </w:r>
          </w:p>
        </w:tc>
        <w:tc>
          <w:tcPr>
            <w:tcW w:w="439" w:type="pct"/>
            <w:shd w:val="clear" w:color="auto" w:fill="auto"/>
            <w:noWrap/>
            <w:vAlign w:val="bottom"/>
          </w:tcPr>
          <w:p w14:paraId="76CD2644"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3.68</w:t>
            </w:r>
          </w:p>
        </w:tc>
        <w:tc>
          <w:tcPr>
            <w:tcW w:w="439" w:type="pct"/>
            <w:shd w:val="clear" w:color="auto" w:fill="auto"/>
            <w:noWrap/>
            <w:vAlign w:val="bottom"/>
          </w:tcPr>
          <w:p w14:paraId="3741F0F8"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-13.89</w:t>
            </w:r>
          </w:p>
        </w:tc>
        <w:tc>
          <w:tcPr>
            <w:tcW w:w="438" w:type="pct"/>
            <w:shd w:val="clear" w:color="auto" w:fill="auto"/>
            <w:noWrap/>
            <w:vAlign w:val="bottom"/>
          </w:tcPr>
          <w:p w14:paraId="77C63414"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20.60</w:t>
            </w:r>
          </w:p>
        </w:tc>
      </w:tr>
      <w:tr w:rsidR="009A40F5" w:rsidRPr="00061A5F" w14:paraId="47C49E60" w14:textId="77777777" w:rsidTr="00EB3BBB">
        <w:trPr>
          <w:trHeight w:val="300"/>
        </w:trPr>
        <w:tc>
          <w:tcPr>
            <w:tcW w:w="1445" w:type="pct"/>
            <w:shd w:val="clear" w:color="auto" w:fill="auto"/>
            <w:noWrap/>
            <w:vAlign w:val="bottom"/>
          </w:tcPr>
          <w:p w14:paraId="7BA89A4E" w14:textId="77777777" w:rsidR="009A40F5" w:rsidRPr="00061A5F" w:rsidRDefault="009A40F5" w:rsidP="007F5D0E">
            <w:pPr>
              <w:spacing w:line="276" w:lineRule="auto"/>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OPEN (</w:t>
            </w:r>
            <w:r w:rsidRPr="00061A5F">
              <w:rPr>
                <w:rFonts w:ascii="Times New Roman" w:eastAsia="Times New Roman" w:hAnsi="Times New Roman"/>
                <w:i/>
                <w:color w:val="000000"/>
                <w:lang w:eastAsia="en-GB"/>
              </w:rPr>
              <w:t>openness</w:t>
            </w:r>
            <w:r w:rsidRPr="00061A5F">
              <w:rPr>
                <w:rFonts w:ascii="Times New Roman" w:eastAsia="Times New Roman" w:hAnsi="Times New Roman"/>
                <w:color w:val="000000"/>
                <w:lang w:eastAsia="en-GB"/>
              </w:rPr>
              <w:t>)</w:t>
            </w:r>
          </w:p>
        </w:tc>
        <w:tc>
          <w:tcPr>
            <w:tcW w:w="484" w:type="pct"/>
            <w:shd w:val="clear" w:color="auto" w:fill="auto"/>
            <w:noWrap/>
            <w:vAlign w:val="bottom"/>
          </w:tcPr>
          <w:p w14:paraId="0E3497AD"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112.05</w:t>
            </w:r>
          </w:p>
        </w:tc>
        <w:tc>
          <w:tcPr>
            <w:tcW w:w="439" w:type="pct"/>
            <w:shd w:val="clear" w:color="auto" w:fill="auto"/>
            <w:noWrap/>
            <w:vAlign w:val="bottom"/>
          </w:tcPr>
          <w:p w14:paraId="12AB8CB6"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24.22</w:t>
            </w:r>
          </w:p>
        </w:tc>
        <w:tc>
          <w:tcPr>
            <w:tcW w:w="439" w:type="pct"/>
            <w:shd w:val="clear" w:color="auto" w:fill="auto"/>
            <w:noWrap/>
            <w:vAlign w:val="bottom"/>
          </w:tcPr>
          <w:p w14:paraId="5A41D2D2"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73.80</w:t>
            </w:r>
          </w:p>
        </w:tc>
        <w:tc>
          <w:tcPr>
            <w:tcW w:w="439" w:type="pct"/>
            <w:shd w:val="clear" w:color="auto" w:fill="auto"/>
            <w:noWrap/>
            <w:vAlign w:val="bottom"/>
          </w:tcPr>
          <w:p w14:paraId="2A419EAD"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166.86</w:t>
            </w:r>
          </w:p>
        </w:tc>
        <w:tc>
          <w:tcPr>
            <w:tcW w:w="438" w:type="pct"/>
            <w:shd w:val="clear" w:color="auto" w:fill="auto"/>
            <w:noWrap/>
            <w:vAlign w:val="bottom"/>
          </w:tcPr>
          <w:p w14:paraId="32712B44"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98.99</w:t>
            </w:r>
          </w:p>
        </w:tc>
        <w:tc>
          <w:tcPr>
            <w:tcW w:w="439" w:type="pct"/>
            <w:shd w:val="clear" w:color="auto" w:fill="auto"/>
            <w:noWrap/>
            <w:vAlign w:val="bottom"/>
          </w:tcPr>
          <w:p w14:paraId="3A959011"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31.88</w:t>
            </w:r>
          </w:p>
        </w:tc>
        <w:tc>
          <w:tcPr>
            <w:tcW w:w="439" w:type="pct"/>
            <w:shd w:val="clear" w:color="auto" w:fill="auto"/>
            <w:noWrap/>
            <w:vAlign w:val="bottom"/>
          </w:tcPr>
          <w:p w14:paraId="16C4B724"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24.17</w:t>
            </w:r>
          </w:p>
        </w:tc>
        <w:tc>
          <w:tcPr>
            <w:tcW w:w="438" w:type="pct"/>
            <w:shd w:val="clear" w:color="auto" w:fill="auto"/>
            <w:noWrap/>
            <w:vAlign w:val="bottom"/>
          </w:tcPr>
          <w:p w14:paraId="13B2A730"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199.68</w:t>
            </w:r>
          </w:p>
        </w:tc>
      </w:tr>
      <w:tr w:rsidR="009A40F5" w:rsidRPr="00061A5F" w14:paraId="2E21EA26" w14:textId="77777777" w:rsidTr="00EB3BBB">
        <w:trPr>
          <w:trHeight w:val="300"/>
        </w:trPr>
        <w:tc>
          <w:tcPr>
            <w:tcW w:w="1445" w:type="pct"/>
            <w:shd w:val="clear" w:color="auto" w:fill="auto"/>
            <w:noWrap/>
            <w:vAlign w:val="bottom"/>
          </w:tcPr>
          <w:p w14:paraId="5CFC9CB8" w14:textId="77777777" w:rsidR="009A40F5" w:rsidRPr="00061A5F" w:rsidRDefault="009A40F5" w:rsidP="007F5D0E">
            <w:pPr>
              <w:spacing w:line="276" w:lineRule="auto"/>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TOT (</w:t>
            </w:r>
            <w:r w:rsidRPr="00061A5F">
              <w:rPr>
                <w:rFonts w:ascii="Times New Roman" w:eastAsia="Times New Roman" w:hAnsi="Times New Roman"/>
                <w:i/>
                <w:color w:val="000000"/>
                <w:lang w:eastAsia="en-GB"/>
              </w:rPr>
              <w:t>terms of trade</w:t>
            </w:r>
            <w:r w:rsidRPr="00061A5F">
              <w:rPr>
                <w:rFonts w:ascii="Times New Roman" w:eastAsia="Times New Roman" w:hAnsi="Times New Roman"/>
                <w:color w:val="000000"/>
                <w:lang w:eastAsia="en-GB"/>
              </w:rPr>
              <w:t>)</w:t>
            </w:r>
          </w:p>
        </w:tc>
        <w:tc>
          <w:tcPr>
            <w:tcW w:w="484" w:type="pct"/>
            <w:shd w:val="clear" w:color="auto" w:fill="auto"/>
            <w:noWrap/>
            <w:vAlign w:val="bottom"/>
          </w:tcPr>
          <w:p w14:paraId="6215227F"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99.96</w:t>
            </w:r>
          </w:p>
        </w:tc>
        <w:tc>
          <w:tcPr>
            <w:tcW w:w="439" w:type="pct"/>
            <w:shd w:val="clear" w:color="auto" w:fill="auto"/>
            <w:noWrap/>
            <w:vAlign w:val="bottom"/>
          </w:tcPr>
          <w:p w14:paraId="5FD9524E"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4.08</w:t>
            </w:r>
          </w:p>
        </w:tc>
        <w:tc>
          <w:tcPr>
            <w:tcW w:w="439" w:type="pct"/>
            <w:shd w:val="clear" w:color="auto" w:fill="auto"/>
            <w:noWrap/>
            <w:vAlign w:val="bottom"/>
          </w:tcPr>
          <w:p w14:paraId="2F3750F4"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93.58</w:t>
            </w:r>
          </w:p>
        </w:tc>
        <w:tc>
          <w:tcPr>
            <w:tcW w:w="439" w:type="pct"/>
            <w:shd w:val="clear" w:color="auto" w:fill="auto"/>
            <w:noWrap/>
            <w:vAlign w:val="bottom"/>
          </w:tcPr>
          <w:p w14:paraId="78297994"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109.52</w:t>
            </w:r>
          </w:p>
        </w:tc>
        <w:tc>
          <w:tcPr>
            <w:tcW w:w="438" w:type="pct"/>
            <w:shd w:val="clear" w:color="auto" w:fill="auto"/>
            <w:noWrap/>
            <w:vAlign w:val="bottom"/>
          </w:tcPr>
          <w:p w14:paraId="6A2A13E8"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108.56</w:t>
            </w:r>
          </w:p>
        </w:tc>
        <w:tc>
          <w:tcPr>
            <w:tcW w:w="439" w:type="pct"/>
            <w:shd w:val="clear" w:color="auto" w:fill="auto"/>
            <w:noWrap/>
            <w:vAlign w:val="bottom"/>
          </w:tcPr>
          <w:p w14:paraId="6B4A8FE8"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26.60</w:t>
            </w:r>
          </w:p>
        </w:tc>
        <w:tc>
          <w:tcPr>
            <w:tcW w:w="439" w:type="pct"/>
            <w:shd w:val="clear" w:color="auto" w:fill="auto"/>
            <w:noWrap/>
            <w:vAlign w:val="bottom"/>
          </w:tcPr>
          <w:p w14:paraId="267FB550"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70.69</w:t>
            </w:r>
          </w:p>
        </w:tc>
        <w:tc>
          <w:tcPr>
            <w:tcW w:w="438" w:type="pct"/>
            <w:shd w:val="clear" w:color="auto" w:fill="auto"/>
            <w:noWrap/>
            <w:vAlign w:val="bottom"/>
          </w:tcPr>
          <w:p w14:paraId="0C5B859F"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233.31</w:t>
            </w:r>
          </w:p>
        </w:tc>
      </w:tr>
      <w:tr w:rsidR="009A40F5" w:rsidRPr="00061A5F" w14:paraId="0ADC22E6" w14:textId="77777777" w:rsidTr="00EB3BBB">
        <w:trPr>
          <w:trHeight w:val="300"/>
        </w:trPr>
        <w:tc>
          <w:tcPr>
            <w:tcW w:w="1445" w:type="pct"/>
            <w:shd w:val="clear" w:color="auto" w:fill="auto"/>
            <w:noWrap/>
            <w:vAlign w:val="bottom"/>
          </w:tcPr>
          <w:p w14:paraId="66206EEC" w14:textId="77777777" w:rsidR="009A40F5" w:rsidRPr="00061A5F" w:rsidRDefault="009A40F5" w:rsidP="007F5D0E">
            <w:pPr>
              <w:spacing w:line="276" w:lineRule="auto"/>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EBRDI (</w:t>
            </w:r>
            <w:r w:rsidRPr="00061A5F">
              <w:rPr>
                <w:rFonts w:ascii="Times New Roman" w:eastAsia="Times New Roman" w:hAnsi="Times New Roman"/>
                <w:i/>
                <w:color w:val="000000"/>
                <w:lang w:eastAsia="en-GB"/>
              </w:rPr>
              <w:t>EBRD Transition Indicator Index</w:t>
            </w:r>
            <w:r w:rsidRPr="00061A5F">
              <w:rPr>
                <w:rFonts w:ascii="Times New Roman" w:eastAsia="Times New Roman" w:hAnsi="Times New Roman"/>
                <w:color w:val="000000"/>
                <w:lang w:eastAsia="en-GB"/>
              </w:rPr>
              <w:t>)</w:t>
            </w:r>
          </w:p>
        </w:tc>
        <w:tc>
          <w:tcPr>
            <w:tcW w:w="484" w:type="pct"/>
            <w:shd w:val="clear" w:color="auto" w:fill="auto"/>
            <w:noWrap/>
            <w:vAlign w:val="bottom"/>
          </w:tcPr>
          <w:p w14:paraId="054C39A4"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3.48</w:t>
            </w:r>
          </w:p>
        </w:tc>
        <w:tc>
          <w:tcPr>
            <w:tcW w:w="439" w:type="pct"/>
            <w:shd w:val="clear" w:color="auto" w:fill="auto"/>
            <w:noWrap/>
            <w:vAlign w:val="bottom"/>
          </w:tcPr>
          <w:p w14:paraId="584BFD40"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0.50</w:t>
            </w:r>
          </w:p>
        </w:tc>
        <w:tc>
          <w:tcPr>
            <w:tcW w:w="439" w:type="pct"/>
            <w:shd w:val="clear" w:color="auto" w:fill="auto"/>
            <w:noWrap/>
            <w:vAlign w:val="bottom"/>
          </w:tcPr>
          <w:p w14:paraId="763F74B0"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2.28</w:t>
            </w:r>
          </w:p>
        </w:tc>
        <w:tc>
          <w:tcPr>
            <w:tcW w:w="439" w:type="pct"/>
            <w:shd w:val="clear" w:color="auto" w:fill="auto"/>
            <w:noWrap/>
            <w:vAlign w:val="bottom"/>
          </w:tcPr>
          <w:p w14:paraId="7B6C681D"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4.06</w:t>
            </w:r>
          </w:p>
        </w:tc>
        <w:tc>
          <w:tcPr>
            <w:tcW w:w="438" w:type="pct"/>
            <w:shd w:val="clear" w:color="auto" w:fill="auto"/>
            <w:noWrap/>
            <w:vAlign w:val="bottom"/>
          </w:tcPr>
          <w:p w14:paraId="08E31B32"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3.31</w:t>
            </w:r>
          </w:p>
        </w:tc>
        <w:tc>
          <w:tcPr>
            <w:tcW w:w="439" w:type="pct"/>
            <w:shd w:val="clear" w:color="auto" w:fill="auto"/>
            <w:noWrap/>
            <w:vAlign w:val="bottom"/>
          </w:tcPr>
          <w:p w14:paraId="0B970DFB"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0.51</w:t>
            </w:r>
          </w:p>
        </w:tc>
        <w:tc>
          <w:tcPr>
            <w:tcW w:w="439" w:type="pct"/>
            <w:shd w:val="clear" w:color="auto" w:fill="auto"/>
            <w:noWrap/>
            <w:vAlign w:val="bottom"/>
          </w:tcPr>
          <w:p w14:paraId="3D000E3B"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1.56</w:t>
            </w:r>
          </w:p>
        </w:tc>
        <w:tc>
          <w:tcPr>
            <w:tcW w:w="438" w:type="pct"/>
            <w:shd w:val="clear" w:color="auto" w:fill="auto"/>
            <w:noWrap/>
            <w:vAlign w:val="bottom"/>
          </w:tcPr>
          <w:p w14:paraId="462EC22D"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4.06</w:t>
            </w:r>
          </w:p>
        </w:tc>
      </w:tr>
      <w:tr w:rsidR="009A40F5" w:rsidRPr="00061A5F" w14:paraId="66AB42C8" w14:textId="77777777" w:rsidTr="00EB3BBB">
        <w:trPr>
          <w:trHeight w:val="315"/>
        </w:trPr>
        <w:tc>
          <w:tcPr>
            <w:tcW w:w="1445" w:type="pct"/>
            <w:shd w:val="clear" w:color="auto" w:fill="auto"/>
            <w:noWrap/>
            <w:vAlign w:val="bottom"/>
          </w:tcPr>
          <w:p w14:paraId="3A339045" w14:textId="77777777" w:rsidR="009A40F5" w:rsidRPr="00061A5F" w:rsidRDefault="009A40F5" w:rsidP="007F5D0E">
            <w:pPr>
              <w:spacing w:line="276" w:lineRule="auto"/>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lastRenderedPageBreak/>
              <w:t>CCBI (</w:t>
            </w:r>
            <w:r w:rsidRPr="00061A5F">
              <w:rPr>
                <w:rFonts w:ascii="Times New Roman" w:eastAsia="Times New Roman" w:hAnsi="Times New Roman"/>
                <w:i/>
                <w:color w:val="000000"/>
                <w:lang w:eastAsia="en-GB"/>
              </w:rPr>
              <w:t>Central Bank Independence Index</w:t>
            </w:r>
            <w:r w:rsidRPr="00061A5F">
              <w:rPr>
                <w:rFonts w:ascii="Times New Roman" w:eastAsia="Times New Roman" w:hAnsi="Times New Roman"/>
                <w:color w:val="000000"/>
                <w:lang w:eastAsia="en-GB"/>
              </w:rPr>
              <w:t>)</w:t>
            </w:r>
          </w:p>
        </w:tc>
        <w:tc>
          <w:tcPr>
            <w:tcW w:w="484" w:type="pct"/>
            <w:shd w:val="clear" w:color="auto" w:fill="auto"/>
            <w:noWrap/>
            <w:vAlign w:val="bottom"/>
          </w:tcPr>
          <w:p w14:paraId="6732822D"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0.90</w:t>
            </w:r>
          </w:p>
        </w:tc>
        <w:tc>
          <w:tcPr>
            <w:tcW w:w="439" w:type="pct"/>
            <w:shd w:val="clear" w:color="auto" w:fill="auto"/>
            <w:noWrap/>
            <w:vAlign w:val="bottom"/>
          </w:tcPr>
          <w:p w14:paraId="17B8F3C2"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0.06</w:t>
            </w:r>
          </w:p>
        </w:tc>
        <w:tc>
          <w:tcPr>
            <w:tcW w:w="439" w:type="pct"/>
            <w:shd w:val="clear" w:color="auto" w:fill="auto"/>
            <w:noWrap/>
            <w:vAlign w:val="bottom"/>
          </w:tcPr>
          <w:p w14:paraId="2D6C132C"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0.78</w:t>
            </w:r>
          </w:p>
        </w:tc>
        <w:tc>
          <w:tcPr>
            <w:tcW w:w="439" w:type="pct"/>
            <w:shd w:val="clear" w:color="auto" w:fill="auto"/>
            <w:noWrap/>
            <w:vAlign w:val="bottom"/>
          </w:tcPr>
          <w:p w14:paraId="26285395"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0.98</w:t>
            </w:r>
          </w:p>
        </w:tc>
        <w:tc>
          <w:tcPr>
            <w:tcW w:w="438" w:type="pct"/>
            <w:shd w:val="clear" w:color="auto" w:fill="auto"/>
            <w:noWrap/>
            <w:vAlign w:val="bottom"/>
          </w:tcPr>
          <w:p w14:paraId="741B3160"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0.74</w:t>
            </w:r>
          </w:p>
        </w:tc>
        <w:tc>
          <w:tcPr>
            <w:tcW w:w="439" w:type="pct"/>
            <w:shd w:val="clear" w:color="auto" w:fill="auto"/>
            <w:noWrap/>
            <w:vAlign w:val="bottom"/>
          </w:tcPr>
          <w:p w14:paraId="52421D32"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0.17</w:t>
            </w:r>
          </w:p>
        </w:tc>
        <w:tc>
          <w:tcPr>
            <w:tcW w:w="439" w:type="pct"/>
            <w:shd w:val="clear" w:color="auto" w:fill="auto"/>
            <w:noWrap/>
            <w:vAlign w:val="bottom"/>
          </w:tcPr>
          <w:p w14:paraId="4D66E19A"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0.34</w:t>
            </w:r>
          </w:p>
        </w:tc>
        <w:tc>
          <w:tcPr>
            <w:tcW w:w="438" w:type="pct"/>
            <w:shd w:val="clear" w:color="auto" w:fill="auto"/>
            <w:noWrap/>
            <w:vAlign w:val="bottom"/>
          </w:tcPr>
          <w:p w14:paraId="7EE9B3FF" w14:textId="77777777" w:rsidR="009A40F5" w:rsidRPr="00061A5F" w:rsidRDefault="009A40F5" w:rsidP="007F5D0E">
            <w:pPr>
              <w:jc w:val="both"/>
              <w:rPr>
                <w:rFonts w:ascii="Times New Roman" w:hAnsi="Times New Roman"/>
                <w:color w:val="000000"/>
                <w:sz w:val="18"/>
              </w:rPr>
            </w:pPr>
            <w:r w:rsidRPr="00061A5F">
              <w:rPr>
                <w:rFonts w:ascii="Times New Roman" w:hAnsi="Times New Roman"/>
                <w:color w:val="000000"/>
                <w:sz w:val="18"/>
              </w:rPr>
              <w:t>0.99</w:t>
            </w:r>
          </w:p>
        </w:tc>
      </w:tr>
    </w:tbl>
    <w:p w14:paraId="532DEA51" w14:textId="77777777" w:rsidR="009A40F5" w:rsidRPr="00061A5F" w:rsidRDefault="009A40F5" w:rsidP="007F5D0E">
      <w:pPr>
        <w:autoSpaceDE w:val="0"/>
        <w:autoSpaceDN w:val="0"/>
        <w:adjustRightInd w:val="0"/>
        <w:spacing w:line="276" w:lineRule="auto"/>
        <w:jc w:val="both"/>
        <w:rPr>
          <w:rFonts w:ascii="Times New Roman" w:hAnsi="Times New Roman"/>
          <w:color w:val="000000"/>
        </w:rPr>
      </w:pPr>
      <w:r w:rsidRPr="00061A5F">
        <w:rPr>
          <w:rFonts w:ascii="Times New Roman" w:hAnsi="Times New Roman"/>
          <w:color w:val="000000"/>
        </w:rPr>
        <w:t xml:space="preserve">SD refers to standard deviation and min and max are the lowest and the highest value of the variable, respectively </w:t>
      </w:r>
    </w:p>
    <w:p w14:paraId="38CCAE03" w14:textId="77777777" w:rsidR="00AB55DF" w:rsidRPr="00061A5F" w:rsidRDefault="00AB55DF" w:rsidP="007F5D0E">
      <w:pPr>
        <w:pStyle w:val="Tables"/>
        <w:jc w:val="both"/>
      </w:pPr>
    </w:p>
    <w:bookmarkEnd w:id="58"/>
    <w:p w14:paraId="18F49B83" w14:textId="4DA372D9" w:rsidR="009408EE" w:rsidRPr="00061A5F" w:rsidRDefault="00B56C23" w:rsidP="007F5D0E">
      <w:pPr>
        <w:autoSpaceDE w:val="0"/>
        <w:autoSpaceDN w:val="0"/>
        <w:adjustRightInd w:val="0"/>
        <w:spacing w:line="276" w:lineRule="auto"/>
        <w:jc w:val="both"/>
        <w:rPr>
          <w:rFonts w:ascii="Times New Roman" w:hAnsi="Times New Roman"/>
          <w:sz w:val="24"/>
          <w:szCs w:val="24"/>
        </w:rPr>
      </w:pPr>
      <w:r w:rsidRPr="00061A5F">
        <w:rPr>
          <w:rFonts w:ascii="Times New Roman" w:hAnsi="Times New Roman"/>
          <w:color w:val="000000"/>
          <w:sz w:val="24"/>
          <w:szCs w:val="24"/>
        </w:rPr>
        <w:t>According to Table 1</w:t>
      </w:r>
      <w:r w:rsidR="009408EE" w:rsidRPr="00061A5F">
        <w:rPr>
          <w:rFonts w:ascii="Times New Roman" w:hAnsi="Times New Roman"/>
          <w:color w:val="000000"/>
          <w:sz w:val="24"/>
          <w:szCs w:val="24"/>
        </w:rPr>
        <w:t xml:space="preserve"> countries with a CBA recorded, on average, lower inflation, </w:t>
      </w:r>
      <w:r w:rsidRPr="00061A5F">
        <w:rPr>
          <w:rFonts w:ascii="Times New Roman" w:hAnsi="Times New Roman"/>
          <w:color w:val="000000"/>
          <w:sz w:val="24"/>
          <w:szCs w:val="24"/>
        </w:rPr>
        <w:t xml:space="preserve">lower </w:t>
      </w:r>
      <w:r w:rsidR="009408EE" w:rsidRPr="00061A5F">
        <w:rPr>
          <w:rFonts w:ascii="Times New Roman" w:hAnsi="Times New Roman"/>
          <w:color w:val="000000"/>
          <w:sz w:val="24"/>
          <w:szCs w:val="24"/>
        </w:rPr>
        <w:t xml:space="preserve">GDP growth rates, lower money supply </w:t>
      </w:r>
      <w:r w:rsidRPr="00061A5F">
        <w:rPr>
          <w:rFonts w:ascii="Times New Roman" w:hAnsi="Times New Roman"/>
          <w:color w:val="000000"/>
          <w:sz w:val="24"/>
          <w:szCs w:val="24"/>
        </w:rPr>
        <w:t xml:space="preserve">growth </w:t>
      </w:r>
      <w:r w:rsidR="009408EE" w:rsidRPr="00061A5F">
        <w:rPr>
          <w:rFonts w:ascii="Times New Roman" w:hAnsi="Times New Roman"/>
          <w:color w:val="000000"/>
          <w:sz w:val="24"/>
          <w:szCs w:val="24"/>
        </w:rPr>
        <w:t xml:space="preserve">and lower fiscal deficits than </w:t>
      </w:r>
      <w:r w:rsidR="000E2A17" w:rsidRPr="00061A5F">
        <w:rPr>
          <w:rFonts w:ascii="Times New Roman" w:hAnsi="Times New Roman"/>
          <w:color w:val="000000"/>
          <w:sz w:val="24"/>
          <w:szCs w:val="24"/>
        </w:rPr>
        <w:t xml:space="preserve">did </w:t>
      </w:r>
      <w:r w:rsidR="009408EE" w:rsidRPr="00061A5F">
        <w:rPr>
          <w:rFonts w:ascii="Times New Roman" w:hAnsi="Times New Roman"/>
          <w:color w:val="000000"/>
          <w:sz w:val="24"/>
          <w:szCs w:val="24"/>
        </w:rPr>
        <w:t xml:space="preserve">countries with other regimes. Furthermore, </w:t>
      </w:r>
      <w:r w:rsidRPr="00061A5F">
        <w:rPr>
          <w:rFonts w:ascii="Times New Roman" w:hAnsi="Times New Roman"/>
          <w:color w:val="000000"/>
          <w:sz w:val="24"/>
          <w:szCs w:val="24"/>
        </w:rPr>
        <w:t>CBA countries were more open, but</w:t>
      </w:r>
      <w:r w:rsidR="009408EE" w:rsidRPr="00061A5F">
        <w:rPr>
          <w:rFonts w:ascii="Times New Roman" w:hAnsi="Times New Roman"/>
          <w:color w:val="000000"/>
          <w:sz w:val="24"/>
          <w:szCs w:val="24"/>
        </w:rPr>
        <w:t xml:space="preserve"> had </w:t>
      </w:r>
      <w:r w:rsidRPr="00061A5F">
        <w:rPr>
          <w:rFonts w:ascii="Times New Roman" w:hAnsi="Times New Roman"/>
          <w:color w:val="000000"/>
          <w:sz w:val="24"/>
          <w:szCs w:val="24"/>
        </w:rPr>
        <w:t xml:space="preserve">less </w:t>
      </w:r>
      <w:r w:rsidR="009408EE" w:rsidRPr="00061A5F">
        <w:rPr>
          <w:rFonts w:ascii="Times New Roman" w:hAnsi="Times New Roman"/>
          <w:color w:val="000000"/>
          <w:sz w:val="24"/>
          <w:szCs w:val="24"/>
        </w:rPr>
        <w:t>improved (</w:t>
      </w:r>
      <w:r w:rsidRPr="00061A5F">
        <w:rPr>
          <w:rFonts w:ascii="Times New Roman" w:hAnsi="Times New Roman"/>
          <w:color w:val="000000"/>
          <w:sz w:val="24"/>
          <w:szCs w:val="24"/>
        </w:rPr>
        <w:t xml:space="preserve">decreased </w:t>
      </w:r>
      <w:r w:rsidR="009408EE" w:rsidRPr="00061A5F">
        <w:rPr>
          <w:rFonts w:ascii="Times New Roman" w:hAnsi="Times New Roman"/>
          <w:color w:val="000000"/>
          <w:sz w:val="24"/>
          <w:szCs w:val="24"/>
        </w:rPr>
        <w:t xml:space="preserve">exports-to-imports unit value index) terms of trade compared to the countries with other regimes. CBA countries also recorded </w:t>
      </w:r>
      <w:r w:rsidRPr="00061A5F">
        <w:rPr>
          <w:rFonts w:ascii="Times New Roman" w:hAnsi="Times New Roman"/>
          <w:color w:val="000000"/>
          <w:sz w:val="24"/>
          <w:szCs w:val="24"/>
        </w:rPr>
        <w:t xml:space="preserve">somewhat </w:t>
      </w:r>
      <w:r w:rsidR="009408EE" w:rsidRPr="00061A5F">
        <w:rPr>
          <w:rFonts w:ascii="Times New Roman" w:hAnsi="Times New Roman"/>
          <w:color w:val="000000"/>
          <w:sz w:val="24"/>
          <w:szCs w:val="24"/>
        </w:rPr>
        <w:t>higher EBRD and CCBI indices than</w:t>
      </w:r>
      <w:r w:rsidR="005D0CDF" w:rsidRPr="00061A5F">
        <w:rPr>
          <w:rFonts w:ascii="Times New Roman" w:hAnsi="Times New Roman"/>
          <w:color w:val="000000"/>
          <w:sz w:val="24"/>
          <w:szCs w:val="24"/>
        </w:rPr>
        <w:t xml:space="preserve"> </w:t>
      </w:r>
      <w:r w:rsidR="000E2A17" w:rsidRPr="00061A5F">
        <w:rPr>
          <w:rFonts w:ascii="Times New Roman" w:hAnsi="Times New Roman"/>
          <w:color w:val="000000"/>
          <w:sz w:val="24"/>
          <w:szCs w:val="24"/>
        </w:rPr>
        <w:t xml:space="preserve">did </w:t>
      </w:r>
      <w:r w:rsidR="005D0CDF" w:rsidRPr="00061A5F">
        <w:rPr>
          <w:rFonts w:ascii="Times New Roman" w:hAnsi="Times New Roman"/>
          <w:color w:val="000000"/>
          <w:sz w:val="24"/>
          <w:szCs w:val="24"/>
        </w:rPr>
        <w:t xml:space="preserve">countries with other regimes. </w:t>
      </w:r>
      <w:r w:rsidR="009408EE" w:rsidRPr="00061A5F">
        <w:rPr>
          <w:rFonts w:ascii="Times New Roman" w:hAnsi="Times New Roman"/>
          <w:color w:val="000000"/>
          <w:sz w:val="24"/>
          <w:szCs w:val="24"/>
        </w:rPr>
        <w:t>The c</w:t>
      </w:r>
      <w:r w:rsidR="009408EE" w:rsidRPr="00061A5F">
        <w:rPr>
          <w:rFonts w:ascii="Times New Roman" w:hAnsi="Times New Roman"/>
          <w:sz w:val="24"/>
          <w:szCs w:val="24"/>
        </w:rPr>
        <w:t>orrelation matrix suggests that there are no signs of high correlation between the ex</w:t>
      </w:r>
      <w:r w:rsidR="00BC0B41" w:rsidRPr="00061A5F">
        <w:rPr>
          <w:rFonts w:ascii="Times New Roman" w:hAnsi="Times New Roman"/>
          <w:sz w:val="24"/>
          <w:szCs w:val="24"/>
        </w:rPr>
        <w:t>planatory variables</w:t>
      </w:r>
      <w:r w:rsidR="009408EE" w:rsidRPr="00061A5F">
        <w:rPr>
          <w:rFonts w:ascii="Times New Roman" w:hAnsi="Times New Roman"/>
          <w:sz w:val="24"/>
          <w:szCs w:val="24"/>
        </w:rPr>
        <w:t xml:space="preserve">. </w:t>
      </w:r>
      <w:bookmarkStart w:id="59" w:name="_Hlk21206719"/>
      <w:r w:rsidR="00660646" w:rsidRPr="00061A5F">
        <w:rPr>
          <w:rFonts w:ascii="Times New Roman" w:hAnsi="Times New Roman"/>
          <w:sz w:val="24"/>
          <w:szCs w:val="24"/>
        </w:rPr>
        <w:t xml:space="preserve">Based on the correlation matrix (Table 2A in Appendix) we can see that there </w:t>
      </w:r>
      <w:r w:rsidR="00CB7AB1" w:rsidRPr="00061A5F">
        <w:rPr>
          <w:rFonts w:ascii="Times New Roman" w:hAnsi="Times New Roman"/>
          <w:sz w:val="24"/>
          <w:szCs w:val="24"/>
        </w:rPr>
        <w:t>are</w:t>
      </w:r>
      <w:r w:rsidR="00660646" w:rsidRPr="00061A5F">
        <w:rPr>
          <w:rFonts w:ascii="Times New Roman" w:hAnsi="Times New Roman"/>
          <w:sz w:val="24"/>
          <w:szCs w:val="24"/>
        </w:rPr>
        <w:t xml:space="preserve"> negative correlation</w:t>
      </w:r>
      <w:r w:rsidR="00CB7AB1" w:rsidRPr="00061A5F">
        <w:rPr>
          <w:rFonts w:ascii="Times New Roman" w:hAnsi="Times New Roman"/>
          <w:sz w:val="24"/>
          <w:szCs w:val="24"/>
        </w:rPr>
        <w:t>s</w:t>
      </w:r>
      <w:r w:rsidR="00660646" w:rsidRPr="00061A5F">
        <w:rPr>
          <w:rFonts w:ascii="Times New Roman" w:hAnsi="Times New Roman"/>
          <w:sz w:val="24"/>
          <w:szCs w:val="24"/>
        </w:rPr>
        <w:t xml:space="preserve"> between inflation and the presence of a CBA</w:t>
      </w:r>
      <w:r w:rsidR="00CB7AB1" w:rsidRPr="00061A5F">
        <w:rPr>
          <w:rFonts w:ascii="Times New Roman" w:hAnsi="Times New Roman"/>
          <w:sz w:val="24"/>
          <w:szCs w:val="24"/>
        </w:rPr>
        <w:t>, the European Bank for Reconstruction and Development’s (EBRD) transition index, central bank independence, VAT introduction and EU membership; and</w:t>
      </w:r>
      <w:r w:rsidR="00660646" w:rsidRPr="00061A5F">
        <w:rPr>
          <w:rFonts w:ascii="Times New Roman" w:hAnsi="Times New Roman"/>
          <w:sz w:val="24"/>
          <w:szCs w:val="24"/>
        </w:rPr>
        <w:t xml:space="preserve"> positive correlations between inflation and GDP growth, money supply growth, fiscal balance, the degree of openness and terms of trade. Some of these signs are as expected. However, in order to </w:t>
      </w:r>
      <w:r w:rsidR="00CB7AB1" w:rsidRPr="00061A5F">
        <w:rPr>
          <w:rFonts w:ascii="Times New Roman" w:hAnsi="Times New Roman"/>
          <w:sz w:val="24"/>
          <w:szCs w:val="24"/>
        </w:rPr>
        <w:t>identify a CBA effect, if any, we need to go beyond unconditional bivariate correlations.</w:t>
      </w:r>
      <w:r w:rsidR="00660646" w:rsidRPr="00061A5F">
        <w:rPr>
          <w:rFonts w:ascii="Times New Roman" w:hAnsi="Times New Roman"/>
          <w:sz w:val="24"/>
          <w:szCs w:val="24"/>
        </w:rPr>
        <w:t xml:space="preserve"> </w:t>
      </w:r>
      <w:r w:rsidR="009408EE" w:rsidRPr="00061A5F">
        <w:rPr>
          <w:rFonts w:ascii="Times New Roman" w:hAnsi="Times New Roman"/>
          <w:color w:val="000000"/>
          <w:sz w:val="24"/>
          <w:szCs w:val="24"/>
        </w:rPr>
        <w:t xml:space="preserve">Accordingly, </w:t>
      </w:r>
      <w:r w:rsidR="00CB7AB1" w:rsidRPr="00061A5F">
        <w:rPr>
          <w:rFonts w:ascii="Times New Roman" w:hAnsi="Times New Roman"/>
          <w:color w:val="000000"/>
          <w:sz w:val="24"/>
          <w:szCs w:val="24"/>
        </w:rPr>
        <w:t xml:space="preserve">we specify </w:t>
      </w:r>
      <w:r w:rsidR="00CB7AB1" w:rsidRPr="00061A5F">
        <w:rPr>
          <w:rFonts w:ascii="Times New Roman" w:hAnsi="Times New Roman"/>
          <w:sz w:val="24"/>
          <w:szCs w:val="24"/>
        </w:rPr>
        <w:t xml:space="preserve">a </w:t>
      </w:r>
      <w:r w:rsidR="009408EE" w:rsidRPr="00061A5F">
        <w:rPr>
          <w:rFonts w:ascii="Times New Roman" w:hAnsi="Times New Roman"/>
          <w:sz w:val="24"/>
          <w:szCs w:val="24"/>
        </w:rPr>
        <w:t xml:space="preserve">model </w:t>
      </w:r>
      <w:r w:rsidR="00CB7AB1" w:rsidRPr="00061A5F">
        <w:rPr>
          <w:rFonts w:ascii="Times New Roman" w:hAnsi="Times New Roman"/>
          <w:sz w:val="24"/>
          <w:szCs w:val="24"/>
        </w:rPr>
        <w:t>to</w:t>
      </w:r>
      <w:r w:rsidR="00CA187B" w:rsidRPr="00061A5F">
        <w:rPr>
          <w:rFonts w:ascii="Times New Roman" w:hAnsi="Times New Roman"/>
          <w:sz w:val="24"/>
          <w:szCs w:val="24"/>
        </w:rPr>
        <w:t xml:space="preserve"> </w:t>
      </w:r>
      <w:r w:rsidR="00CB7AB1" w:rsidRPr="00061A5F">
        <w:rPr>
          <w:rFonts w:ascii="Times New Roman" w:hAnsi="Times New Roman"/>
          <w:sz w:val="24"/>
          <w:szCs w:val="24"/>
        </w:rPr>
        <w:t xml:space="preserve">identify a CBA effect conditional upon all the other determinants of inflation. </w:t>
      </w:r>
      <w:bookmarkEnd w:id="59"/>
      <w:r w:rsidR="00CB7AB1" w:rsidRPr="00061A5F">
        <w:rPr>
          <w:rFonts w:ascii="Times New Roman" w:hAnsi="Times New Roman"/>
          <w:sz w:val="24"/>
          <w:szCs w:val="24"/>
        </w:rPr>
        <w:t>T</w:t>
      </w:r>
      <w:r w:rsidR="00270DDE" w:rsidRPr="00061A5F">
        <w:rPr>
          <w:rFonts w:ascii="Times New Roman" w:hAnsi="Times New Roman"/>
          <w:sz w:val="24"/>
          <w:szCs w:val="24"/>
        </w:rPr>
        <w:t>he results are reported and discussed in the next section</w:t>
      </w:r>
      <w:r w:rsidR="00CA187B" w:rsidRPr="00061A5F">
        <w:rPr>
          <w:rFonts w:ascii="Times New Roman" w:hAnsi="Times New Roman"/>
          <w:sz w:val="24"/>
          <w:szCs w:val="24"/>
        </w:rPr>
        <w:t xml:space="preserve">. </w:t>
      </w:r>
    </w:p>
    <w:p w14:paraId="29DA1056" w14:textId="7B3FABC1" w:rsidR="009F2DC6" w:rsidRPr="00061A5F" w:rsidRDefault="009F2DC6" w:rsidP="007F5D0E">
      <w:pPr>
        <w:pStyle w:val="Heading3"/>
        <w:spacing w:before="0" w:line="276" w:lineRule="auto"/>
        <w:jc w:val="both"/>
        <w:rPr>
          <w:szCs w:val="24"/>
        </w:rPr>
      </w:pPr>
      <w:bookmarkStart w:id="60" w:name="_Toc306954955"/>
      <w:bookmarkStart w:id="61" w:name="_Toc400712942"/>
      <w:bookmarkStart w:id="62" w:name="_Toc400718975"/>
      <w:bookmarkStart w:id="63" w:name="_Toc400719012"/>
      <w:bookmarkStart w:id="64" w:name="_Toc400730334"/>
      <w:bookmarkStart w:id="65" w:name="_Toc401221391"/>
      <w:bookmarkStart w:id="66" w:name="_Toc401221482"/>
      <w:bookmarkStart w:id="67" w:name="_Toc401221531"/>
      <w:bookmarkStart w:id="68" w:name="_Toc421105247"/>
    </w:p>
    <w:p w14:paraId="54AD1462" w14:textId="598836C6" w:rsidR="009270F1" w:rsidRPr="00061A5F" w:rsidRDefault="009270F1" w:rsidP="007F5D0E">
      <w:pPr>
        <w:jc w:val="both"/>
      </w:pPr>
    </w:p>
    <w:p w14:paraId="176A2085" w14:textId="7D191C24" w:rsidR="009408EE" w:rsidRPr="00061A5F" w:rsidRDefault="005639AC" w:rsidP="007F5D0E">
      <w:pPr>
        <w:pStyle w:val="Heading3"/>
        <w:spacing w:before="0" w:line="276" w:lineRule="auto"/>
        <w:jc w:val="both"/>
        <w:rPr>
          <w:szCs w:val="24"/>
        </w:rPr>
      </w:pPr>
      <w:r w:rsidRPr="00061A5F">
        <w:rPr>
          <w:szCs w:val="24"/>
        </w:rPr>
        <w:t>5</w:t>
      </w:r>
      <w:r w:rsidR="00B3329B" w:rsidRPr="00061A5F">
        <w:rPr>
          <w:szCs w:val="24"/>
        </w:rPr>
        <w:t>.</w:t>
      </w:r>
      <w:r w:rsidR="009408EE" w:rsidRPr="00061A5F">
        <w:rPr>
          <w:szCs w:val="24"/>
        </w:rPr>
        <w:t xml:space="preserve"> </w:t>
      </w:r>
      <w:bookmarkEnd w:id="60"/>
      <w:bookmarkEnd w:id="61"/>
      <w:bookmarkEnd w:id="62"/>
      <w:bookmarkEnd w:id="63"/>
      <w:bookmarkEnd w:id="64"/>
      <w:bookmarkEnd w:id="65"/>
      <w:bookmarkEnd w:id="66"/>
      <w:bookmarkEnd w:id="67"/>
      <w:bookmarkEnd w:id="68"/>
      <w:r w:rsidR="00166F01" w:rsidRPr="00061A5F">
        <w:rPr>
          <w:szCs w:val="24"/>
        </w:rPr>
        <w:t>Empirical analysis</w:t>
      </w:r>
    </w:p>
    <w:p w14:paraId="226AD23A" w14:textId="77777777" w:rsidR="00B22EDC" w:rsidRPr="00061A5F" w:rsidRDefault="00B22EDC" w:rsidP="007F5D0E">
      <w:pPr>
        <w:jc w:val="both"/>
      </w:pPr>
    </w:p>
    <w:p w14:paraId="5D6E5892" w14:textId="5B703079" w:rsidR="009408EE" w:rsidRPr="00061A5F" w:rsidRDefault="005639AC" w:rsidP="007F5D0E">
      <w:pPr>
        <w:autoSpaceDE w:val="0"/>
        <w:autoSpaceDN w:val="0"/>
        <w:adjustRightInd w:val="0"/>
        <w:spacing w:line="276" w:lineRule="auto"/>
        <w:jc w:val="both"/>
        <w:rPr>
          <w:rFonts w:ascii="Times New Roman" w:hAnsi="Times New Roman"/>
          <w:b/>
          <w:sz w:val="24"/>
          <w:szCs w:val="24"/>
        </w:rPr>
      </w:pPr>
      <w:r w:rsidRPr="00061A5F">
        <w:rPr>
          <w:rFonts w:ascii="Times New Roman" w:hAnsi="Times New Roman"/>
          <w:b/>
          <w:sz w:val="24"/>
          <w:szCs w:val="24"/>
        </w:rPr>
        <w:t xml:space="preserve">5.1 </w:t>
      </w:r>
      <w:r w:rsidR="00F3754B" w:rsidRPr="00061A5F">
        <w:rPr>
          <w:rFonts w:ascii="Times New Roman" w:hAnsi="Times New Roman"/>
          <w:b/>
          <w:sz w:val="24"/>
          <w:szCs w:val="24"/>
        </w:rPr>
        <w:t>E</w:t>
      </w:r>
      <w:r w:rsidRPr="00061A5F">
        <w:rPr>
          <w:rFonts w:ascii="Times New Roman" w:hAnsi="Times New Roman"/>
          <w:b/>
          <w:sz w:val="24"/>
          <w:szCs w:val="24"/>
        </w:rPr>
        <w:t>stimation</w:t>
      </w:r>
      <w:r w:rsidR="00F3754B" w:rsidRPr="00061A5F">
        <w:rPr>
          <w:rFonts w:ascii="Times New Roman" w:hAnsi="Times New Roman"/>
          <w:b/>
          <w:sz w:val="24"/>
          <w:szCs w:val="24"/>
        </w:rPr>
        <w:t xml:space="preserve">, results and discussion </w:t>
      </w:r>
    </w:p>
    <w:p w14:paraId="41D1B542" w14:textId="77777777" w:rsidR="005639AC" w:rsidRPr="00061A5F" w:rsidRDefault="005639AC" w:rsidP="007F5D0E">
      <w:pPr>
        <w:autoSpaceDE w:val="0"/>
        <w:autoSpaceDN w:val="0"/>
        <w:adjustRightInd w:val="0"/>
        <w:spacing w:line="276" w:lineRule="auto"/>
        <w:jc w:val="both"/>
        <w:rPr>
          <w:rFonts w:ascii="Times New Roman" w:hAnsi="Times New Roman"/>
          <w:b/>
          <w:sz w:val="24"/>
          <w:szCs w:val="24"/>
        </w:rPr>
      </w:pPr>
    </w:p>
    <w:p w14:paraId="1C076834" w14:textId="298E7184" w:rsidR="009408EE" w:rsidRPr="00061A5F" w:rsidRDefault="00312876" w:rsidP="007F5D0E">
      <w:pPr>
        <w:autoSpaceDE w:val="0"/>
        <w:autoSpaceDN w:val="0"/>
        <w:adjustRightInd w:val="0"/>
        <w:spacing w:line="276" w:lineRule="auto"/>
        <w:jc w:val="both"/>
        <w:rPr>
          <w:rFonts w:ascii="Times New Roman" w:hAnsi="Times New Roman"/>
          <w:sz w:val="24"/>
          <w:szCs w:val="24"/>
        </w:rPr>
      </w:pPr>
      <w:r w:rsidRPr="00061A5F">
        <w:rPr>
          <w:rFonts w:ascii="Times New Roman" w:hAnsi="Times New Roman"/>
          <w:sz w:val="24"/>
          <w:szCs w:val="24"/>
        </w:rPr>
        <w:t xml:space="preserve">The </w:t>
      </w:r>
      <w:r w:rsidR="0090644D" w:rsidRPr="00061A5F">
        <w:rPr>
          <w:rFonts w:ascii="Times New Roman" w:hAnsi="Times New Roman"/>
          <w:sz w:val="24"/>
          <w:szCs w:val="24"/>
        </w:rPr>
        <w:t>s</w:t>
      </w:r>
      <w:r w:rsidR="007C27F7" w:rsidRPr="00061A5F">
        <w:rPr>
          <w:rFonts w:ascii="Times New Roman" w:hAnsi="Times New Roman"/>
          <w:sz w:val="24"/>
          <w:szCs w:val="24"/>
        </w:rPr>
        <w:t xml:space="preserve">tudies </w:t>
      </w:r>
      <w:r w:rsidRPr="00061A5F">
        <w:rPr>
          <w:rFonts w:ascii="Times New Roman" w:hAnsi="Times New Roman"/>
          <w:sz w:val="24"/>
          <w:szCs w:val="24"/>
        </w:rPr>
        <w:t>that</w:t>
      </w:r>
      <w:r w:rsidR="007C27F7" w:rsidRPr="00061A5F">
        <w:rPr>
          <w:rFonts w:ascii="Times New Roman" w:hAnsi="Times New Roman"/>
          <w:sz w:val="24"/>
          <w:szCs w:val="24"/>
        </w:rPr>
        <w:t xml:space="preserve"> </w:t>
      </w:r>
      <w:r w:rsidR="0090644D" w:rsidRPr="00061A5F">
        <w:rPr>
          <w:rFonts w:ascii="Times New Roman" w:hAnsi="Times New Roman"/>
          <w:sz w:val="24"/>
          <w:szCs w:val="24"/>
        </w:rPr>
        <w:t>were reviewed</w:t>
      </w:r>
      <w:r w:rsidR="007C27F7" w:rsidRPr="00061A5F">
        <w:rPr>
          <w:rFonts w:ascii="Times New Roman" w:hAnsi="Times New Roman"/>
          <w:sz w:val="24"/>
          <w:szCs w:val="24"/>
        </w:rPr>
        <w:t xml:space="preserve"> in Section 2 applied OLS and fixed effect estimating methods </w:t>
      </w:r>
      <w:r w:rsidR="00701F8B" w:rsidRPr="00061A5F">
        <w:rPr>
          <w:rFonts w:ascii="Times New Roman" w:hAnsi="Times New Roman"/>
          <w:sz w:val="24"/>
          <w:szCs w:val="24"/>
        </w:rPr>
        <w:t xml:space="preserve">to estimate the effect of CBA on inflation. </w:t>
      </w:r>
      <w:proofErr w:type="spellStart"/>
      <w:r w:rsidR="009408EE" w:rsidRPr="00061A5F">
        <w:rPr>
          <w:rFonts w:ascii="Times New Roman" w:hAnsi="Times New Roman"/>
          <w:sz w:val="24"/>
          <w:szCs w:val="24"/>
        </w:rPr>
        <w:t>Botrić</w:t>
      </w:r>
      <w:proofErr w:type="spellEnd"/>
      <w:r w:rsidR="009408EE" w:rsidRPr="00061A5F">
        <w:rPr>
          <w:rFonts w:ascii="Times New Roman" w:hAnsi="Times New Roman"/>
          <w:sz w:val="24"/>
          <w:szCs w:val="24"/>
        </w:rPr>
        <w:t xml:space="preserve"> and Cota (2006) </w:t>
      </w:r>
      <w:r w:rsidR="009947DD" w:rsidRPr="00061A5F">
        <w:rPr>
          <w:rFonts w:ascii="Times New Roman" w:hAnsi="Times New Roman"/>
          <w:sz w:val="24"/>
          <w:szCs w:val="24"/>
        </w:rPr>
        <w:t>argued that since</w:t>
      </w:r>
      <w:r w:rsidR="009408EE" w:rsidRPr="00061A5F">
        <w:rPr>
          <w:rFonts w:ascii="Times New Roman" w:hAnsi="Times New Roman"/>
          <w:sz w:val="24"/>
          <w:szCs w:val="24"/>
        </w:rPr>
        <w:t xml:space="preserve"> the inflation generating processes </w:t>
      </w:r>
      <w:r w:rsidR="009947DD" w:rsidRPr="00061A5F">
        <w:rPr>
          <w:rFonts w:ascii="Times New Roman" w:hAnsi="Times New Roman"/>
          <w:sz w:val="24"/>
          <w:szCs w:val="24"/>
        </w:rPr>
        <w:t xml:space="preserve">differ substantially across </w:t>
      </w:r>
      <w:r w:rsidR="009408EE" w:rsidRPr="00061A5F">
        <w:rPr>
          <w:rFonts w:ascii="Times New Roman" w:hAnsi="Times New Roman"/>
          <w:sz w:val="24"/>
          <w:szCs w:val="24"/>
        </w:rPr>
        <w:t xml:space="preserve">transition economies </w:t>
      </w:r>
      <w:r w:rsidR="009947DD" w:rsidRPr="00061A5F">
        <w:rPr>
          <w:rFonts w:ascii="Times New Roman" w:hAnsi="Times New Roman"/>
          <w:sz w:val="24"/>
          <w:szCs w:val="24"/>
        </w:rPr>
        <w:t xml:space="preserve">then it is particularly important </w:t>
      </w:r>
      <w:r w:rsidR="009408EE" w:rsidRPr="00061A5F">
        <w:rPr>
          <w:rFonts w:ascii="Times New Roman" w:hAnsi="Times New Roman"/>
          <w:sz w:val="24"/>
          <w:szCs w:val="24"/>
        </w:rPr>
        <w:t xml:space="preserve">that country specifics should be taken into account. </w:t>
      </w:r>
      <w:r w:rsidR="00312699" w:rsidRPr="00061A5F">
        <w:rPr>
          <w:rFonts w:ascii="Times New Roman" w:hAnsi="Times New Roman"/>
          <w:sz w:val="24"/>
          <w:szCs w:val="24"/>
        </w:rPr>
        <w:t xml:space="preserve">This implies that the fixed effects (FE) </w:t>
      </w:r>
      <w:r w:rsidR="00E95A8D" w:rsidRPr="00061A5F">
        <w:rPr>
          <w:rFonts w:ascii="Times New Roman" w:hAnsi="Times New Roman"/>
          <w:sz w:val="24"/>
          <w:szCs w:val="24"/>
        </w:rPr>
        <w:t xml:space="preserve">estimation </w:t>
      </w:r>
      <w:r w:rsidR="00312699" w:rsidRPr="00061A5F">
        <w:rPr>
          <w:rFonts w:ascii="Times New Roman" w:hAnsi="Times New Roman"/>
          <w:sz w:val="24"/>
          <w:szCs w:val="24"/>
        </w:rPr>
        <w:t>should be preferred over OLS. U</w:t>
      </w:r>
      <w:r w:rsidR="009408EE" w:rsidRPr="00061A5F">
        <w:rPr>
          <w:rFonts w:ascii="Times New Roman" w:hAnsi="Times New Roman"/>
          <w:sz w:val="24"/>
          <w:szCs w:val="24"/>
        </w:rPr>
        <w:t xml:space="preserve">sing the FE model </w:t>
      </w:r>
      <w:r w:rsidR="00E95A8D" w:rsidRPr="00061A5F">
        <w:rPr>
          <w:rFonts w:ascii="Times New Roman" w:hAnsi="Times New Roman"/>
          <w:sz w:val="24"/>
          <w:szCs w:val="24"/>
        </w:rPr>
        <w:t>precludes separate</w:t>
      </w:r>
      <w:r w:rsidR="009408EE" w:rsidRPr="00061A5F">
        <w:rPr>
          <w:rFonts w:ascii="Times New Roman" w:hAnsi="Times New Roman"/>
          <w:sz w:val="24"/>
          <w:szCs w:val="24"/>
        </w:rPr>
        <w:t xml:space="preserve"> estimation of the time-invariant variables</w:t>
      </w:r>
      <w:r w:rsidR="00E95A8D" w:rsidRPr="00061A5F">
        <w:rPr>
          <w:rFonts w:ascii="Times New Roman" w:hAnsi="Times New Roman"/>
          <w:sz w:val="24"/>
          <w:szCs w:val="24"/>
        </w:rPr>
        <w:t>,</w:t>
      </w:r>
      <w:r w:rsidR="009408EE" w:rsidRPr="00061A5F">
        <w:rPr>
          <w:rFonts w:ascii="Times New Roman" w:hAnsi="Times New Roman"/>
          <w:sz w:val="24"/>
          <w:szCs w:val="24"/>
        </w:rPr>
        <w:t xml:space="preserve"> since it uses only within-group (time) variation. This is an important issue for </w:t>
      </w:r>
      <w:r w:rsidR="009947DD" w:rsidRPr="00061A5F">
        <w:rPr>
          <w:rFonts w:ascii="Times New Roman" w:hAnsi="Times New Roman"/>
          <w:sz w:val="24"/>
          <w:szCs w:val="24"/>
        </w:rPr>
        <w:t xml:space="preserve">this </w:t>
      </w:r>
      <w:r w:rsidR="009408EE" w:rsidRPr="00061A5F">
        <w:rPr>
          <w:rFonts w:ascii="Times New Roman" w:hAnsi="Times New Roman"/>
          <w:sz w:val="24"/>
          <w:szCs w:val="24"/>
        </w:rPr>
        <w:t>model, since the variable of interest (CBA) is</w:t>
      </w:r>
      <w:r w:rsidR="00312699" w:rsidRPr="00061A5F">
        <w:rPr>
          <w:rFonts w:ascii="Times New Roman" w:hAnsi="Times New Roman"/>
          <w:sz w:val="24"/>
          <w:szCs w:val="24"/>
        </w:rPr>
        <w:t xml:space="preserve"> </w:t>
      </w:r>
      <w:r w:rsidR="0090644D" w:rsidRPr="00061A5F">
        <w:rPr>
          <w:rFonts w:ascii="Times New Roman" w:hAnsi="Times New Roman"/>
          <w:sz w:val="24"/>
          <w:szCs w:val="24"/>
        </w:rPr>
        <w:t>l</w:t>
      </w:r>
      <w:r w:rsidR="006657BE" w:rsidRPr="00061A5F">
        <w:rPr>
          <w:rFonts w:ascii="Times New Roman" w:hAnsi="Times New Roman"/>
          <w:sz w:val="24"/>
          <w:szCs w:val="24"/>
        </w:rPr>
        <w:t>argely</w:t>
      </w:r>
      <w:r w:rsidR="009947DD" w:rsidRPr="00061A5F">
        <w:rPr>
          <w:rFonts w:ascii="Times New Roman" w:hAnsi="Times New Roman"/>
          <w:sz w:val="24"/>
          <w:szCs w:val="24"/>
        </w:rPr>
        <w:t xml:space="preserve"> unchang</w:t>
      </w:r>
      <w:r w:rsidR="006657BE" w:rsidRPr="00061A5F">
        <w:rPr>
          <w:rFonts w:ascii="Times New Roman" w:hAnsi="Times New Roman"/>
          <w:sz w:val="24"/>
          <w:szCs w:val="24"/>
        </w:rPr>
        <w:t>ed</w:t>
      </w:r>
      <w:r w:rsidR="009408EE" w:rsidRPr="00061A5F">
        <w:rPr>
          <w:rFonts w:ascii="Times New Roman" w:hAnsi="Times New Roman"/>
          <w:sz w:val="24"/>
          <w:szCs w:val="24"/>
        </w:rPr>
        <w:t xml:space="preserve"> during the observed period</w:t>
      </w:r>
      <w:r w:rsidR="00312699" w:rsidRPr="00061A5F">
        <w:rPr>
          <w:rFonts w:ascii="Times New Roman" w:hAnsi="Times New Roman"/>
          <w:sz w:val="24"/>
          <w:szCs w:val="24"/>
        </w:rPr>
        <w:t xml:space="preserve"> (it is 0 only for the last few years for Estonia, since its accession to </w:t>
      </w:r>
      <w:r w:rsidR="00C97C14" w:rsidRPr="00061A5F">
        <w:rPr>
          <w:rFonts w:ascii="Times New Roman" w:hAnsi="Times New Roman"/>
          <w:sz w:val="24"/>
          <w:szCs w:val="24"/>
        </w:rPr>
        <w:t xml:space="preserve">the </w:t>
      </w:r>
      <w:r w:rsidR="00312699" w:rsidRPr="00061A5F">
        <w:rPr>
          <w:rFonts w:ascii="Times New Roman" w:hAnsi="Times New Roman"/>
          <w:sz w:val="24"/>
          <w:szCs w:val="24"/>
        </w:rPr>
        <w:t>Eurozone)</w:t>
      </w:r>
      <w:r w:rsidR="00166F01" w:rsidRPr="00061A5F">
        <w:rPr>
          <w:rFonts w:ascii="Times New Roman" w:hAnsi="Times New Roman"/>
          <w:sz w:val="24"/>
          <w:szCs w:val="24"/>
        </w:rPr>
        <w:t>.</w:t>
      </w:r>
      <w:r w:rsidR="00BD46C7" w:rsidRPr="00061A5F">
        <w:rPr>
          <w:rFonts w:ascii="Times New Roman" w:hAnsi="Times New Roman"/>
          <w:sz w:val="24"/>
          <w:szCs w:val="24"/>
        </w:rPr>
        <w:t xml:space="preserve"> </w:t>
      </w:r>
      <w:r w:rsidRPr="00061A5F">
        <w:rPr>
          <w:rFonts w:ascii="Times New Roman" w:hAnsi="Times New Roman"/>
          <w:sz w:val="24"/>
          <w:szCs w:val="24"/>
        </w:rPr>
        <w:t>Moreover</w:t>
      </w:r>
      <w:r w:rsidR="00BD46C7" w:rsidRPr="00061A5F">
        <w:rPr>
          <w:rFonts w:ascii="Times New Roman" w:hAnsi="Times New Roman"/>
          <w:sz w:val="24"/>
          <w:szCs w:val="24"/>
        </w:rPr>
        <w:t xml:space="preserve">, </w:t>
      </w:r>
      <w:r w:rsidR="009408EE" w:rsidRPr="00061A5F">
        <w:rPr>
          <w:rFonts w:ascii="Times New Roman" w:hAnsi="Times New Roman"/>
          <w:sz w:val="24"/>
          <w:szCs w:val="24"/>
        </w:rPr>
        <w:t xml:space="preserve">recent studies of inflation emphasise the importance of </w:t>
      </w:r>
      <w:r w:rsidR="00111F48" w:rsidRPr="00061A5F">
        <w:rPr>
          <w:rFonts w:ascii="Times New Roman" w:hAnsi="Times New Roman"/>
          <w:sz w:val="24"/>
          <w:szCs w:val="24"/>
        </w:rPr>
        <w:t>modelling</w:t>
      </w:r>
      <w:r w:rsidR="009408EE" w:rsidRPr="00061A5F">
        <w:rPr>
          <w:rFonts w:ascii="Times New Roman" w:hAnsi="Times New Roman"/>
          <w:sz w:val="24"/>
          <w:szCs w:val="24"/>
        </w:rPr>
        <w:t xml:space="preserve"> dynamics (Levy-</w:t>
      </w:r>
      <w:proofErr w:type="spellStart"/>
      <w:r w:rsidR="009408EE" w:rsidRPr="00061A5F">
        <w:rPr>
          <w:rFonts w:ascii="Times New Roman" w:hAnsi="Times New Roman"/>
          <w:sz w:val="24"/>
          <w:szCs w:val="24"/>
        </w:rPr>
        <w:t>Yeyati</w:t>
      </w:r>
      <w:proofErr w:type="spellEnd"/>
      <w:r w:rsidR="009408EE" w:rsidRPr="00061A5F">
        <w:rPr>
          <w:rFonts w:ascii="Times New Roman" w:hAnsi="Times New Roman"/>
          <w:sz w:val="24"/>
          <w:szCs w:val="24"/>
        </w:rPr>
        <w:t xml:space="preserve"> and </w:t>
      </w:r>
      <w:proofErr w:type="spellStart"/>
      <w:r w:rsidR="009408EE" w:rsidRPr="00061A5F">
        <w:rPr>
          <w:rFonts w:ascii="Times New Roman" w:hAnsi="Times New Roman"/>
          <w:sz w:val="24"/>
          <w:szCs w:val="24"/>
        </w:rPr>
        <w:t>Stuzengger</w:t>
      </w:r>
      <w:proofErr w:type="spellEnd"/>
      <w:r w:rsidR="009408EE" w:rsidRPr="00061A5F">
        <w:rPr>
          <w:rFonts w:ascii="Times New Roman" w:hAnsi="Times New Roman"/>
          <w:sz w:val="24"/>
          <w:szCs w:val="24"/>
        </w:rPr>
        <w:t xml:space="preserve">, 2001; </w:t>
      </w:r>
      <w:proofErr w:type="spellStart"/>
      <w:r w:rsidR="009408EE" w:rsidRPr="00061A5F">
        <w:rPr>
          <w:rFonts w:ascii="Times New Roman" w:hAnsi="Times New Roman"/>
          <w:sz w:val="24"/>
          <w:szCs w:val="24"/>
        </w:rPr>
        <w:t>Bleaney</w:t>
      </w:r>
      <w:proofErr w:type="spellEnd"/>
      <w:r w:rsidR="009408EE" w:rsidRPr="00061A5F">
        <w:rPr>
          <w:rFonts w:ascii="Times New Roman" w:hAnsi="Times New Roman"/>
          <w:sz w:val="24"/>
          <w:szCs w:val="24"/>
        </w:rPr>
        <w:t xml:space="preserve"> and </w:t>
      </w:r>
      <w:proofErr w:type="spellStart"/>
      <w:r w:rsidR="009408EE" w:rsidRPr="00061A5F">
        <w:rPr>
          <w:rFonts w:ascii="Times New Roman" w:hAnsi="Times New Roman"/>
          <w:sz w:val="24"/>
          <w:szCs w:val="24"/>
        </w:rPr>
        <w:t>Fransisco</w:t>
      </w:r>
      <w:proofErr w:type="spellEnd"/>
      <w:r w:rsidR="009408EE" w:rsidRPr="00061A5F">
        <w:rPr>
          <w:rFonts w:ascii="Times New Roman" w:hAnsi="Times New Roman"/>
          <w:sz w:val="24"/>
          <w:szCs w:val="24"/>
        </w:rPr>
        <w:t>, 2005; Barlow, 2010). Levy-</w:t>
      </w:r>
      <w:proofErr w:type="spellStart"/>
      <w:r w:rsidR="009408EE" w:rsidRPr="00061A5F">
        <w:rPr>
          <w:rFonts w:ascii="Times New Roman" w:hAnsi="Times New Roman"/>
          <w:sz w:val="24"/>
          <w:szCs w:val="24"/>
        </w:rPr>
        <w:t>Yeyati</w:t>
      </w:r>
      <w:proofErr w:type="spellEnd"/>
      <w:r w:rsidR="009408EE" w:rsidRPr="00061A5F">
        <w:rPr>
          <w:rFonts w:ascii="Times New Roman" w:hAnsi="Times New Roman"/>
          <w:sz w:val="24"/>
          <w:szCs w:val="24"/>
        </w:rPr>
        <w:t xml:space="preserve"> and </w:t>
      </w:r>
      <w:proofErr w:type="spellStart"/>
      <w:r w:rsidR="009408EE" w:rsidRPr="00061A5F">
        <w:rPr>
          <w:rFonts w:ascii="Times New Roman" w:hAnsi="Times New Roman"/>
          <w:sz w:val="24"/>
          <w:szCs w:val="24"/>
        </w:rPr>
        <w:t>Stuzengger</w:t>
      </w:r>
      <w:proofErr w:type="spellEnd"/>
      <w:r w:rsidR="009408EE" w:rsidRPr="00061A5F">
        <w:rPr>
          <w:rFonts w:ascii="Times New Roman" w:hAnsi="Times New Roman"/>
          <w:sz w:val="24"/>
          <w:szCs w:val="24"/>
        </w:rPr>
        <w:t xml:space="preserve"> (2001) argued that the lagged depende</w:t>
      </w:r>
      <w:r w:rsidR="00BC0B41" w:rsidRPr="00061A5F">
        <w:rPr>
          <w:rFonts w:ascii="Times New Roman" w:hAnsi="Times New Roman"/>
          <w:sz w:val="24"/>
          <w:szCs w:val="24"/>
        </w:rPr>
        <w:t xml:space="preserve">nt variable should be included </w:t>
      </w:r>
      <w:r w:rsidR="009408EE" w:rsidRPr="00061A5F">
        <w:rPr>
          <w:rFonts w:ascii="Times New Roman" w:hAnsi="Times New Roman"/>
          <w:sz w:val="24"/>
          <w:szCs w:val="24"/>
        </w:rPr>
        <w:t>to capture the effect of past policies on curren</w:t>
      </w:r>
      <w:r w:rsidR="00DC53C8" w:rsidRPr="00061A5F">
        <w:rPr>
          <w:rFonts w:ascii="Times New Roman" w:hAnsi="Times New Roman"/>
          <w:sz w:val="24"/>
          <w:szCs w:val="24"/>
        </w:rPr>
        <w:t>t</w:t>
      </w:r>
      <w:r w:rsidR="009408EE" w:rsidRPr="00061A5F">
        <w:rPr>
          <w:rFonts w:ascii="Times New Roman" w:hAnsi="Times New Roman"/>
          <w:sz w:val="24"/>
          <w:szCs w:val="24"/>
        </w:rPr>
        <w:t xml:space="preserve"> expectations, as well as to control for the possibility</w:t>
      </w:r>
      <w:r w:rsidR="00BC0B41" w:rsidRPr="00061A5F">
        <w:rPr>
          <w:rFonts w:ascii="Times New Roman" w:hAnsi="Times New Roman"/>
          <w:sz w:val="24"/>
          <w:szCs w:val="24"/>
        </w:rPr>
        <w:t xml:space="preserve"> of backward-looking indexation</w:t>
      </w:r>
      <w:r w:rsidR="009408EE" w:rsidRPr="00061A5F">
        <w:rPr>
          <w:rFonts w:ascii="Times New Roman" w:hAnsi="Times New Roman"/>
          <w:sz w:val="24"/>
          <w:szCs w:val="24"/>
        </w:rPr>
        <w:t xml:space="preserve">. </w:t>
      </w:r>
      <w:r w:rsidR="00BD46C7" w:rsidRPr="00061A5F">
        <w:rPr>
          <w:rFonts w:ascii="Times New Roman" w:hAnsi="Times New Roman"/>
          <w:sz w:val="24"/>
          <w:szCs w:val="24"/>
        </w:rPr>
        <w:t xml:space="preserve">As it is likely that there is “inflation inertia” in the countries in our sample we </w:t>
      </w:r>
      <w:r w:rsidR="00231324" w:rsidRPr="00061A5F">
        <w:rPr>
          <w:rFonts w:ascii="Times New Roman" w:hAnsi="Times New Roman"/>
          <w:sz w:val="24"/>
          <w:szCs w:val="24"/>
        </w:rPr>
        <w:t xml:space="preserve">thus </w:t>
      </w:r>
      <w:r w:rsidR="00BD46C7" w:rsidRPr="00061A5F">
        <w:rPr>
          <w:rFonts w:ascii="Times New Roman" w:hAnsi="Times New Roman"/>
          <w:sz w:val="24"/>
          <w:szCs w:val="24"/>
        </w:rPr>
        <w:t>use</w:t>
      </w:r>
      <w:r w:rsidR="00231324" w:rsidRPr="00061A5F">
        <w:rPr>
          <w:rFonts w:ascii="Times New Roman" w:hAnsi="Times New Roman"/>
          <w:sz w:val="24"/>
          <w:szCs w:val="24"/>
        </w:rPr>
        <w:t xml:space="preserve"> a</w:t>
      </w:r>
      <w:r w:rsidR="00BD46C7" w:rsidRPr="00061A5F">
        <w:rPr>
          <w:rFonts w:ascii="Times New Roman" w:hAnsi="Times New Roman"/>
          <w:sz w:val="24"/>
          <w:szCs w:val="24"/>
        </w:rPr>
        <w:t xml:space="preserve"> </w:t>
      </w:r>
      <w:r w:rsidR="006A2875" w:rsidRPr="00061A5F">
        <w:rPr>
          <w:rFonts w:ascii="Times New Roman" w:hAnsi="Times New Roman"/>
          <w:sz w:val="24"/>
          <w:szCs w:val="24"/>
        </w:rPr>
        <w:t>dynamic</w:t>
      </w:r>
      <w:r w:rsidR="00BD46C7" w:rsidRPr="00061A5F">
        <w:rPr>
          <w:rFonts w:ascii="Times New Roman" w:hAnsi="Times New Roman"/>
          <w:sz w:val="24"/>
          <w:szCs w:val="24"/>
        </w:rPr>
        <w:t xml:space="preserve"> estimator to capture th</w:t>
      </w:r>
      <w:r w:rsidR="005536A6" w:rsidRPr="00061A5F">
        <w:rPr>
          <w:rFonts w:ascii="Times New Roman" w:hAnsi="Times New Roman"/>
          <w:sz w:val="24"/>
          <w:szCs w:val="24"/>
        </w:rPr>
        <w:t>is</w:t>
      </w:r>
      <w:r w:rsidR="00BD46C7" w:rsidRPr="00061A5F">
        <w:rPr>
          <w:rFonts w:ascii="Times New Roman" w:hAnsi="Times New Roman"/>
          <w:sz w:val="24"/>
          <w:szCs w:val="24"/>
        </w:rPr>
        <w:t xml:space="preserve"> effect</w:t>
      </w:r>
      <w:r w:rsidR="00231324" w:rsidRPr="00061A5F">
        <w:rPr>
          <w:rFonts w:ascii="Times New Roman" w:hAnsi="Times New Roman"/>
          <w:sz w:val="24"/>
          <w:szCs w:val="24"/>
        </w:rPr>
        <w:t>.</w:t>
      </w:r>
      <w:r w:rsidR="00BD46C7" w:rsidRPr="00061A5F">
        <w:rPr>
          <w:rStyle w:val="FootnoteReference"/>
          <w:rFonts w:ascii="Times New Roman" w:hAnsi="Times New Roman"/>
          <w:sz w:val="24"/>
          <w:szCs w:val="24"/>
        </w:rPr>
        <w:footnoteReference w:id="7"/>
      </w:r>
      <w:r w:rsidR="00BD46C7" w:rsidRPr="00061A5F">
        <w:rPr>
          <w:rFonts w:ascii="Times New Roman" w:hAnsi="Times New Roman"/>
          <w:sz w:val="24"/>
          <w:szCs w:val="24"/>
        </w:rPr>
        <w:t xml:space="preserve"> </w:t>
      </w:r>
      <w:r w:rsidR="009408EE" w:rsidRPr="00061A5F">
        <w:rPr>
          <w:rFonts w:ascii="Times New Roman" w:hAnsi="Times New Roman"/>
          <w:sz w:val="24"/>
          <w:szCs w:val="24"/>
        </w:rPr>
        <w:t>This inflation persistence is captured by inclusion of one</w:t>
      </w:r>
      <w:r w:rsidR="00BC0B41" w:rsidRPr="00061A5F">
        <w:rPr>
          <w:rFonts w:ascii="Times New Roman" w:hAnsi="Times New Roman"/>
          <w:sz w:val="24"/>
          <w:szCs w:val="24"/>
        </w:rPr>
        <w:t xml:space="preserve"> lag of inflation </w:t>
      </w:r>
      <w:r w:rsidR="004F544C" w:rsidRPr="00061A5F">
        <w:rPr>
          <w:rFonts w:ascii="Times New Roman" w:hAnsi="Times New Roman"/>
          <w:sz w:val="24"/>
          <w:szCs w:val="24"/>
        </w:rPr>
        <w:t>(</w:t>
      </w:r>
      <w:proofErr w:type="gramStart"/>
      <w:r w:rsidR="004F544C" w:rsidRPr="00061A5F">
        <w:rPr>
          <w:rFonts w:ascii="Times New Roman" w:hAnsi="Times New Roman"/>
          <w:sz w:val="24"/>
          <w:szCs w:val="24"/>
        </w:rPr>
        <w:t>INF</w:t>
      </w:r>
      <w:r w:rsidR="004F544C" w:rsidRPr="00061A5F">
        <w:rPr>
          <w:rFonts w:ascii="Times New Roman" w:hAnsi="Times New Roman"/>
          <w:sz w:val="24"/>
          <w:szCs w:val="24"/>
          <w:vertAlign w:val="subscript"/>
        </w:rPr>
        <w:t>i,t</w:t>
      </w:r>
      <w:proofErr w:type="gramEnd"/>
      <w:r w:rsidR="004F544C" w:rsidRPr="00061A5F">
        <w:rPr>
          <w:rFonts w:ascii="Times New Roman" w:hAnsi="Times New Roman"/>
          <w:sz w:val="24"/>
          <w:szCs w:val="24"/>
          <w:vertAlign w:val="subscript"/>
        </w:rPr>
        <w:t>-1</w:t>
      </w:r>
      <w:r w:rsidR="004F544C" w:rsidRPr="00061A5F">
        <w:rPr>
          <w:rFonts w:ascii="Times New Roman" w:hAnsi="Times New Roman"/>
          <w:sz w:val="24"/>
          <w:szCs w:val="24"/>
        </w:rPr>
        <w:t xml:space="preserve">) in </w:t>
      </w:r>
      <w:r w:rsidR="00231324" w:rsidRPr="00061A5F">
        <w:rPr>
          <w:rFonts w:ascii="Times New Roman" w:hAnsi="Times New Roman"/>
          <w:sz w:val="24"/>
          <w:szCs w:val="24"/>
        </w:rPr>
        <w:t xml:space="preserve">the </w:t>
      </w:r>
      <w:r w:rsidR="004F544C" w:rsidRPr="00061A5F">
        <w:rPr>
          <w:rFonts w:ascii="Times New Roman" w:hAnsi="Times New Roman"/>
          <w:sz w:val="24"/>
          <w:szCs w:val="24"/>
        </w:rPr>
        <w:t xml:space="preserve">estimated </w:t>
      </w:r>
      <w:r w:rsidR="004F544C" w:rsidRPr="00061A5F">
        <w:rPr>
          <w:rFonts w:ascii="Times New Roman" w:hAnsi="Times New Roman"/>
          <w:sz w:val="24"/>
          <w:szCs w:val="24"/>
        </w:rPr>
        <w:lastRenderedPageBreak/>
        <w:t xml:space="preserve">equations </w:t>
      </w:r>
      <w:r w:rsidR="00BC0B41" w:rsidRPr="00061A5F">
        <w:rPr>
          <w:rFonts w:ascii="Times New Roman" w:hAnsi="Times New Roman"/>
          <w:sz w:val="24"/>
          <w:szCs w:val="24"/>
        </w:rPr>
        <w:t>(Equation</w:t>
      </w:r>
      <w:r w:rsidR="00EB4F9A" w:rsidRPr="00061A5F">
        <w:rPr>
          <w:rFonts w:ascii="Times New Roman" w:hAnsi="Times New Roman"/>
          <w:sz w:val="24"/>
          <w:szCs w:val="24"/>
        </w:rPr>
        <w:t>s</w:t>
      </w:r>
      <w:r w:rsidR="00BC0B41" w:rsidRPr="00061A5F">
        <w:rPr>
          <w:rFonts w:ascii="Times New Roman" w:hAnsi="Times New Roman"/>
          <w:sz w:val="24"/>
          <w:szCs w:val="24"/>
        </w:rPr>
        <w:t xml:space="preserve"> </w:t>
      </w:r>
      <w:r w:rsidR="005536A6" w:rsidRPr="00061A5F">
        <w:rPr>
          <w:rFonts w:ascii="Times New Roman" w:hAnsi="Times New Roman"/>
          <w:sz w:val="24"/>
          <w:szCs w:val="24"/>
        </w:rPr>
        <w:t>1</w:t>
      </w:r>
      <w:r w:rsidR="00EB4F9A" w:rsidRPr="00061A5F">
        <w:rPr>
          <w:rFonts w:ascii="Times New Roman" w:hAnsi="Times New Roman"/>
          <w:sz w:val="24"/>
          <w:szCs w:val="24"/>
        </w:rPr>
        <w:t xml:space="preserve">, </w:t>
      </w:r>
      <w:r w:rsidR="005536A6" w:rsidRPr="00061A5F">
        <w:rPr>
          <w:rFonts w:ascii="Times New Roman" w:hAnsi="Times New Roman"/>
          <w:sz w:val="24"/>
          <w:szCs w:val="24"/>
        </w:rPr>
        <w:t>2</w:t>
      </w:r>
      <w:r w:rsidR="00EB4F9A" w:rsidRPr="00061A5F">
        <w:rPr>
          <w:rFonts w:ascii="Times New Roman" w:hAnsi="Times New Roman"/>
          <w:sz w:val="24"/>
          <w:szCs w:val="24"/>
        </w:rPr>
        <w:t xml:space="preserve"> and </w:t>
      </w:r>
      <w:r w:rsidR="005536A6" w:rsidRPr="00061A5F">
        <w:rPr>
          <w:rFonts w:ascii="Times New Roman" w:hAnsi="Times New Roman"/>
          <w:sz w:val="24"/>
          <w:szCs w:val="24"/>
        </w:rPr>
        <w:t>3</w:t>
      </w:r>
      <w:r w:rsidR="009408EE" w:rsidRPr="00061A5F">
        <w:rPr>
          <w:rFonts w:ascii="Times New Roman" w:hAnsi="Times New Roman"/>
          <w:sz w:val="24"/>
          <w:szCs w:val="24"/>
        </w:rPr>
        <w:t>).</w:t>
      </w:r>
      <w:r w:rsidR="00E95A8D" w:rsidRPr="00061A5F">
        <w:rPr>
          <w:rFonts w:ascii="Times New Roman" w:hAnsi="Times New Roman"/>
          <w:sz w:val="24"/>
          <w:szCs w:val="24"/>
        </w:rPr>
        <w:t xml:space="preserve"> Our baseline specification is Model 1, in which </w:t>
      </w:r>
      <w:proofErr w:type="spellStart"/>
      <w:r w:rsidR="00E95A8D" w:rsidRPr="00061A5F">
        <w:rPr>
          <w:rFonts w:ascii="Times New Roman" w:hAnsi="Times New Roman"/>
          <w:sz w:val="24"/>
          <w:szCs w:val="24"/>
        </w:rPr>
        <w:t>i</w:t>
      </w:r>
      <w:proofErr w:type="spellEnd"/>
      <w:r w:rsidR="00E95A8D" w:rsidRPr="00061A5F">
        <w:rPr>
          <w:rFonts w:ascii="Times New Roman" w:hAnsi="Times New Roman"/>
          <w:sz w:val="24"/>
          <w:szCs w:val="24"/>
        </w:rPr>
        <w:t xml:space="preserve"> indexes the sample countries and t indexes sample years.</w:t>
      </w:r>
    </w:p>
    <w:p w14:paraId="6335525A" w14:textId="77777777" w:rsidR="009408EE" w:rsidRPr="00061A5F" w:rsidRDefault="009408EE" w:rsidP="007F5D0E">
      <w:pPr>
        <w:autoSpaceDE w:val="0"/>
        <w:autoSpaceDN w:val="0"/>
        <w:adjustRightInd w:val="0"/>
        <w:spacing w:line="276" w:lineRule="auto"/>
        <w:jc w:val="both"/>
        <w:rPr>
          <w:rFonts w:ascii="Times New Roman" w:hAnsi="Times New Roman"/>
          <w:sz w:val="24"/>
          <w:szCs w:val="24"/>
        </w:rPr>
      </w:pPr>
    </w:p>
    <w:p w14:paraId="0FA54122" w14:textId="31BCB568" w:rsidR="009408EE" w:rsidRPr="00061A5F" w:rsidRDefault="009408EE" w:rsidP="007F5D0E">
      <w:pPr>
        <w:autoSpaceDE w:val="0"/>
        <w:autoSpaceDN w:val="0"/>
        <w:adjustRightInd w:val="0"/>
        <w:spacing w:line="276" w:lineRule="auto"/>
        <w:jc w:val="both"/>
        <w:rPr>
          <w:rFonts w:ascii="Times New Roman" w:hAnsi="Times New Roman"/>
          <w:sz w:val="24"/>
          <w:szCs w:val="24"/>
          <w:vertAlign w:val="subscript"/>
        </w:rPr>
      </w:pPr>
      <w:proofErr w:type="spellStart"/>
      <w:proofErr w:type="gramStart"/>
      <w:r w:rsidRPr="00061A5F">
        <w:rPr>
          <w:rFonts w:ascii="Times New Roman" w:hAnsi="Times New Roman"/>
          <w:sz w:val="24"/>
          <w:szCs w:val="24"/>
        </w:rPr>
        <w:t>LnINF</w:t>
      </w:r>
      <w:r w:rsidRPr="00061A5F">
        <w:rPr>
          <w:rFonts w:ascii="Times New Roman" w:hAnsi="Times New Roman"/>
          <w:sz w:val="24"/>
          <w:szCs w:val="24"/>
          <w:vertAlign w:val="subscript"/>
        </w:rPr>
        <w:t>i,t</w:t>
      </w:r>
      <w:proofErr w:type="spellEnd"/>
      <w:proofErr w:type="gramEnd"/>
      <w:r w:rsidRPr="00061A5F">
        <w:rPr>
          <w:rFonts w:ascii="Times New Roman" w:hAnsi="Times New Roman"/>
          <w:sz w:val="24"/>
          <w:szCs w:val="24"/>
        </w:rPr>
        <w:t xml:space="preserve"> = α</w:t>
      </w:r>
      <w:r w:rsidRPr="00061A5F">
        <w:rPr>
          <w:rFonts w:ascii="Times New Roman" w:hAnsi="Times New Roman"/>
          <w:sz w:val="24"/>
          <w:szCs w:val="24"/>
          <w:vertAlign w:val="subscript"/>
        </w:rPr>
        <w:t>0</w:t>
      </w:r>
      <w:r w:rsidRPr="00061A5F">
        <w:rPr>
          <w:rFonts w:ascii="Times New Roman" w:hAnsi="Times New Roman"/>
          <w:sz w:val="24"/>
          <w:szCs w:val="24"/>
        </w:rPr>
        <w:t xml:space="preserve"> + α</w:t>
      </w:r>
      <w:r w:rsidRPr="00061A5F">
        <w:rPr>
          <w:rFonts w:ascii="Times New Roman" w:hAnsi="Times New Roman"/>
          <w:sz w:val="24"/>
          <w:szCs w:val="24"/>
          <w:vertAlign w:val="subscript"/>
        </w:rPr>
        <w:t>1</w:t>
      </w:r>
      <w:r w:rsidRPr="00061A5F">
        <w:rPr>
          <w:rFonts w:ascii="Times New Roman" w:hAnsi="Times New Roman"/>
          <w:sz w:val="24"/>
          <w:szCs w:val="24"/>
        </w:rPr>
        <w:t>lnINF</w:t>
      </w:r>
      <w:r w:rsidRPr="00061A5F">
        <w:rPr>
          <w:rFonts w:ascii="Times New Roman" w:hAnsi="Times New Roman"/>
          <w:sz w:val="24"/>
          <w:szCs w:val="24"/>
          <w:vertAlign w:val="subscript"/>
        </w:rPr>
        <w:t>i,t-1</w:t>
      </w:r>
      <w:r w:rsidRPr="00061A5F">
        <w:rPr>
          <w:rFonts w:ascii="Times New Roman" w:hAnsi="Times New Roman"/>
          <w:sz w:val="24"/>
          <w:szCs w:val="24"/>
        </w:rPr>
        <w:t xml:space="preserve"> + α</w:t>
      </w:r>
      <w:r w:rsidRPr="00061A5F">
        <w:rPr>
          <w:rFonts w:ascii="Times New Roman" w:hAnsi="Times New Roman"/>
          <w:sz w:val="24"/>
          <w:szCs w:val="24"/>
          <w:vertAlign w:val="subscript"/>
        </w:rPr>
        <w:t>2</w:t>
      </w:r>
      <w:r w:rsidRPr="00061A5F">
        <w:rPr>
          <w:rFonts w:ascii="Times New Roman" w:hAnsi="Times New Roman"/>
          <w:sz w:val="24"/>
          <w:szCs w:val="24"/>
        </w:rPr>
        <w:t>CBA</w:t>
      </w:r>
      <w:r w:rsidRPr="00061A5F">
        <w:rPr>
          <w:rFonts w:ascii="Times New Roman" w:hAnsi="Times New Roman"/>
          <w:sz w:val="24"/>
          <w:szCs w:val="24"/>
          <w:vertAlign w:val="subscript"/>
        </w:rPr>
        <w:t>i,t</w:t>
      </w:r>
      <w:r w:rsidRPr="00061A5F">
        <w:rPr>
          <w:rFonts w:ascii="Times New Roman" w:hAnsi="Times New Roman"/>
          <w:sz w:val="24"/>
          <w:szCs w:val="24"/>
        </w:rPr>
        <w:t xml:space="preserve"> + α</w:t>
      </w:r>
      <w:r w:rsidR="00BC0B41" w:rsidRPr="00061A5F">
        <w:rPr>
          <w:rFonts w:ascii="Times New Roman" w:hAnsi="Times New Roman"/>
          <w:sz w:val="24"/>
          <w:szCs w:val="24"/>
          <w:vertAlign w:val="subscript"/>
        </w:rPr>
        <w:t>3</w:t>
      </w:r>
      <w:r w:rsidRPr="00061A5F">
        <w:rPr>
          <w:rFonts w:ascii="Times New Roman" w:hAnsi="Times New Roman"/>
          <w:sz w:val="24"/>
          <w:szCs w:val="24"/>
        </w:rPr>
        <w:t>CCBI</w:t>
      </w:r>
      <w:r w:rsidRPr="00061A5F">
        <w:rPr>
          <w:rFonts w:ascii="Times New Roman" w:hAnsi="Times New Roman"/>
          <w:sz w:val="24"/>
          <w:szCs w:val="24"/>
          <w:vertAlign w:val="subscript"/>
        </w:rPr>
        <w:t xml:space="preserve">i,t </w:t>
      </w:r>
      <w:r w:rsidRPr="00061A5F">
        <w:rPr>
          <w:rFonts w:ascii="Times New Roman" w:hAnsi="Times New Roman"/>
          <w:sz w:val="24"/>
          <w:szCs w:val="24"/>
        </w:rPr>
        <w:t>+</w:t>
      </w:r>
      <w:r w:rsidRPr="00061A5F">
        <w:rPr>
          <w:rFonts w:ascii="Times New Roman" w:hAnsi="Times New Roman"/>
          <w:sz w:val="24"/>
          <w:szCs w:val="24"/>
          <w:vertAlign w:val="subscript"/>
        </w:rPr>
        <w:t xml:space="preserve"> </w:t>
      </w:r>
      <w:r w:rsidRPr="00061A5F">
        <w:rPr>
          <w:rFonts w:ascii="Times New Roman" w:hAnsi="Times New Roman"/>
          <w:sz w:val="24"/>
          <w:szCs w:val="24"/>
        </w:rPr>
        <w:t>α</w:t>
      </w:r>
      <w:r w:rsidR="00BC0B41" w:rsidRPr="00061A5F">
        <w:rPr>
          <w:rFonts w:ascii="Times New Roman" w:hAnsi="Times New Roman"/>
          <w:sz w:val="24"/>
          <w:szCs w:val="24"/>
          <w:vertAlign w:val="subscript"/>
        </w:rPr>
        <w:t>4</w:t>
      </w:r>
      <w:r w:rsidRPr="00061A5F">
        <w:rPr>
          <w:rFonts w:ascii="Times New Roman" w:hAnsi="Times New Roman"/>
          <w:sz w:val="24"/>
          <w:szCs w:val="24"/>
        </w:rPr>
        <w:t>GDPG</w:t>
      </w:r>
      <w:r w:rsidRPr="00061A5F">
        <w:rPr>
          <w:rFonts w:ascii="Times New Roman" w:hAnsi="Times New Roman"/>
          <w:sz w:val="24"/>
          <w:szCs w:val="24"/>
          <w:vertAlign w:val="subscript"/>
        </w:rPr>
        <w:t>i,t</w:t>
      </w:r>
      <w:r w:rsidRPr="00061A5F">
        <w:rPr>
          <w:rFonts w:ascii="Times New Roman" w:hAnsi="Times New Roman"/>
          <w:sz w:val="24"/>
          <w:szCs w:val="24"/>
        </w:rPr>
        <w:t xml:space="preserve"> + α</w:t>
      </w:r>
      <w:r w:rsidR="00BC0B41" w:rsidRPr="00061A5F">
        <w:rPr>
          <w:rFonts w:ascii="Times New Roman" w:hAnsi="Times New Roman"/>
          <w:sz w:val="24"/>
          <w:szCs w:val="24"/>
          <w:vertAlign w:val="subscript"/>
        </w:rPr>
        <w:t>5</w:t>
      </w:r>
      <w:r w:rsidRPr="00061A5F">
        <w:rPr>
          <w:rFonts w:ascii="Times New Roman" w:hAnsi="Times New Roman"/>
          <w:sz w:val="24"/>
          <w:szCs w:val="24"/>
        </w:rPr>
        <w:t>MSG</w:t>
      </w:r>
      <w:r w:rsidRPr="00061A5F">
        <w:rPr>
          <w:rFonts w:ascii="Times New Roman" w:hAnsi="Times New Roman"/>
          <w:sz w:val="24"/>
          <w:szCs w:val="24"/>
          <w:vertAlign w:val="subscript"/>
        </w:rPr>
        <w:t>i,t</w:t>
      </w:r>
      <w:r w:rsidR="00481591" w:rsidRPr="00061A5F">
        <w:rPr>
          <w:rFonts w:ascii="Times New Roman" w:hAnsi="Times New Roman"/>
          <w:sz w:val="24"/>
          <w:szCs w:val="24"/>
        </w:rPr>
        <w:t xml:space="preserve"> </w:t>
      </w:r>
      <w:r w:rsidRPr="00061A5F">
        <w:rPr>
          <w:rFonts w:ascii="Times New Roman" w:hAnsi="Times New Roman"/>
          <w:sz w:val="24"/>
          <w:szCs w:val="24"/>
        </w:rPr>
        <w:t>+ α</w:t>
      </w:r>
      <w:r w:rsidR="00481591" w:rsidRPr="00061A5F">
        <w:rPr>
          <w:rFonts w:ascii="Times New Roman" w:hAnsi="Times New Roman"/>
          <w:sz w:val="24"/>
          <w:szCs w:val="24"/>
          <w:vertAlign w:val="subscript"/>
        </w:rPr>
        <w:t>7</w:t>
      </w:r>
      <w:r w:rsidRPr="00061A5F">
        <w:rPr>
          <w:rFonts w:ascii="Times New Roman" w:hAnsi="Times New Roman"/>
          <w:sz w:val="24"/>
          <w:szCs w:val="24"/>
        </w:rPr>
        <w:t>FB</w:t>
      </w:r>
      <w:r w:rsidRPr="00061A5F">
        <w:rPr>
          <w:rFonts w:ascii="Times New Roman" w:hAnsi="Times New Roman"/>
          <w:sz w:val="24"/>
          <w:szCs w:val="24"/>
          <w:vertAlign w:val="subscript"/>
        </w:rPr>
        <w:t>i,t</w:t>
      </w:r>
      <w:r w:rsidRPr="00061A5F">
        <w:rPr>
          <w:rFonts w:ascii="Times New Roman" w:hAnsi="Times New Roman"/>
          <w:sz w:val="24"/>
          <w:szCs w:val="24"/>
        </w:rPr>
        <w:t xml:space="preserve"> + α</w:t>
      </w:r>
      <w:r w:rsidR="00481591" w:rsidRPr="00061A5F">
        <w:rPr>
          <w:rFonts w:ascii="Times New Roman" w:hAnsi="Times New Roman"/>
          <w:sz w:val="24"/>
          <w:szCs w:val="24"/>
          <w:vertAlign w:val="subscript"/>
        </w:rPr>
        <w:t>8</w:t>
      </w:r>
      <w:r w:rsidRPr="00061A5F">
        <w:rPr>
          <w:rFonts w:ascii="Times New Roman" w:hAnsi="Times New Roman"/>
          <w:sz w:val="24"/>
          <w:szCs w:val="24"/>
        </w:rPr>
        <w:t>OPEN</w:t>
      </w:r>
      <w:r w:rsidRPr="00061A5F">
        <w:rPr>
          <w:rFonts w:ascii="Times New Roman" w:hAnsi="Times New Roman"/>
          <w:sz w:val="24"/>
          <w:szCs w:val="24"/>
          <w:vertAlign w:val="subscript"/>
        </w:rPr>
        <w:t>i,t</w:t>
      </w:r>
      <w:r w:rsidRPr="00061A5F">
        <w:rPr>
          <w:rFonts w:ascii="Times New Roman" w:hAnsi="Times New Roman"/>
          <w:sz w:val="24"/>
          <w:szCs w:val="24"/>
        </w:rPr>
        <w:t xml:space="preserve"> + α</w:t>
      </w:r>
      <w:r w:rsidR="00481591" w:rsidRPr="00061A5F">
        <w:rPr>
          <w:rFonts w:ascii="Times New Roman" w:hAnsi="Times New Roman"/>
          <w:sz w:val="24"/>
          <w:szCs w:val="24"/>
          <w:vertAlign w:val="subscript"/>
        </w:rPr>
        <w:t>9</w:t>
      </w:r>
      <w:r w:rsidRPr="00061A5F">
        <w:rPr>
          <w:rFonts w:ascii="Times New Roman" w:hAnsi="Times New Roman"/>
          <w:sz w:val="24"/>
          <w:szCs w:val="24"/>
        </w:rPr>
        <w:t>TOT</w:t>
      </w:r>
      <w:r w:rsidRPr="00061A5F">
        <w:rPr>
          <w:rFonts w:ascii="Times New Roman" w:hAnsi="Times New Roman"/>
          <w:sz w:val="24"/>
          <w:szCs w:val="24"/>
          <w:vertAlign w:val="subscript"/>
        </w:rPr>
        <w:t>i,t</w:t>
      </w:r>
      <w:r w:rsidRPr="00061A5F">
        <w:rPr>
          <w:rFonts w:ascii="Times New Roman" w:hAnsi="Times New Roman"/>
          <w:sz w:val="24"/>
          <w:szCs w:val="24"/>
        </w:rPr>
        <w:t xml:space="preserve"> + α</w:t>
      </w:r>
      <w:r w:rsidR="00481591" w:rsidRPr="00061A5F">
        <w:rPr>
          <w:rFonts w:ascii="Times New Roman" w:hAnsi="Times New Roman"/>
          <w:sz w:val="24"/>
          <w:szCs w:val="24"/>
          <w:vertAlign w:val="subscript"/>
        </w:rPr>
        <w:t>10</w:t>
      </w:r>
      <w:r w:rsidRPr="00061A5F">
        <w:rPr>
          <w:rFonts w:ascii="Times New Roman" w:hAnsi="Times New Roman"/>
          <w:sz w:val="24"/>
          <w:szCs w:val="24"/>
        </w:rPr>
        <w:t>EBRDI</w:t>
      </w:r>
      <w:r w:rsidRPr="00061A5F">
        <w:rPr>
          <w:rFonts w:ascii="Times New Roman" w:hAnsi="Times New Roman"/>
          <w:sz w:val="24"/>
          <w:szCs w:val="24"/>
          <w:vertAlign w:val="subscript"/>
        </w:rPr>
        <w:t>i,t</w:t>
      </w:r>
      <w:r w:rsidRPr="00061A5F">
        <w:rPr>
          <w:rFonts w:ascii="Times New Roman" w:hAnsi="Times New Roman"/>
          <w:sz w:val="24"/>
          <w:szCs w:val="24"/>
        </w:rPr>
        <w:t xml:space="preserve"> + α</w:t>
      </w:r>
      <w:r w:rsidR="00481591" w:rsidRPr="00061A5F">
        <w:rPr>
          <w:rFonts w:ascii="Times New Roman" w:hAnsi="Times New Roman"/>
          <w:sz w:val="24"/>
          <w:szCs w:val="24"/>
          <w:vertAlign w:val="subscript"/>
        </w:rPr>
        <w:t>11</w:t>
      </w:r>
      <w:r w:rsidRPr="00061A5F">
        <w:rPr>
          <w:rFonts w:ascii="Times New Roman" w:hAnsi="Times New Roman"/>
          <w:sz w:val="24"/>
          <w:szCs w:val="24"/>
        </w:rPr>
        <w:t>EU</w:t>
      </w:r>
      <w:r w:rsidRPr="00061A5F">
        <w:rPr>
          <w:rFonts w:ascii="Times New Roman" w:hAnsi="Times New Roman"/>
          <w:sz w:val="24"/>
          <w:szCs w:val="24"/>
          <w:vertAlign w:val="subscript"/>
        </w:rPr>
        <w:t>i,t</w:t>
      </w:r>
      <w:r w:rsidRPr="00061A5F">
        <w:rPr>
          <w:rFonts w:ascii="Times New Roman" w:hAnsi="Times New Roman"/>
          <w:sz w:val="24"/>
          <w:szCs w:val="24"/>
        </w:rPr>
        <w:t xml:space="preserve"> + α</w:t>
      </w:r>
      <w:r w:rsidR="00481591" w:rsidRPr="00061A5F">
        <w:rPr>
          <w:rFonts w:ascii="Times New Roman" w:hAnsi="Times New Roman"/>
          <w:sz w:val="24"/>
          <w:szCs w:val="24"/>
          <w:vertAlign w:val="subscript"/>
        </w:rPr>
        <w:t>12</w:t>
      </w:r>
      <w:r w:rsidRPr="00061A5F">
        <w:rPr>
          <w:rFonts w:ascii="Times New Roman" w:hAnsi="Times New Roman"/>
          <w:sz w:val="24"/>
          <w:szCs w:val="24"/>
        </w:rPr>
        <w:t>VAT</w:t>
      </w:r>
      <w:r w:rsidRPr="00061A5F">
        <w:rPr>
          <w:rFonts w:ascii="Times New Roman" w:hAnsi="Times New Roman"/>
          <w:sz w:val="24"/>
          <w:szCs w:val="24"/>
          <w:vertAlign w:val="subscript"/>
        </w:rPr>
        <w:t>i,t</w:t>
      </w:r>
      <w:r w:rsidRPr="00061A5F">
        <w:rPr>
          <w:rFonts w:ascii="Times New Roman" w:hAnsi="Times New Roman"/>
          <w:sz w:val="24"/>
          <w:szCs w:val="24"/>
        </w:rPr>
        <w:t xml:space="preserve"> + </w:t>
      </w:r>
      <w:r w:rsidRPr="00061A5F">
        <w:rPr>
          <w:rFonts w:ascii="Times New Roman" w:hAnsi="Times New Roman"/>
          <w:sz w:val="24"/>
          <w:szCs w:val="24"/>
        </w:rPr>
        <w:sym w:font="Symbol" w:char="F067"/>
      </w:r>
      <w:r w:rsidRPr="00061A5F">
        <w:rPr>
          <w:rFonts w:ascii="Times New Roman" w:hAnsi="Times New Roman"/>
          <w:sz w:val="24"/>
          <w:szCs w:val="24"/>
          <w:vertAlign w:val="subscript"/>
        </w:rPr>
        <w:t>t</w:t>
      </w:r>
      <w:r w:rsidRPr="00061A5F">
        <w:rPr>
          <w:rFonts w:ascii="Times New Roman" w:hAnsi="Times New Roman"/>
          <w:sz w:val="24"/>
          <w:szCs w:val="24"/>
        </w:rPr>
        <w:t xml:space="preserve"> + </w:t>
      </w:r>
      <w:proofErr w:type="spellStart"/>
      <w:r w:rsidRPr="00061A5F">
        <w:rPr>
          <w:rFonts w:ascii="Times New Roman" w:hAnsi="Times New Roman"/>
          <w:sz w:val="24"/>
          <w:szCs w:val="24"/>
        </w:rPr>
        <w:t>ε</w:t>
      </w:r>
      <w:r w:rsidRPr="00061A5F">
        <w:rPr>
          <w:rFonts w:ascii="Times New Roman" w:hAnsi="Times New Roman"/>
          <w:sz w:val="24"/>
          <w:szCs w:val="24"/>
          <w:vertAlign w:val="subscript"/>
        </w:rPr>
        <w:t>i,t</w:t>
      </w:r>
      <w:proofErr w:type="spellEnd"/>
      <w:r w:rsidRPr="00061A5F">
        <w:rPr>
          <w:rFonts w:ascii="Times New Roman" w:hAnsi="Times New Roman"/>
          <w:sz w:val="24"/>
          <w:szCs w:val="24"/>
        </w:rPr>
        <w:tab/>
        <w:t xml:space="preserve">      </w:t>
      </w:r>
      <w:r w:rsidR="00BC0B41" w:rsidRPr="00061A5F">
        <w:rPr>
          <w:rFonts w:ascii="Times New Roman" w:hAnsi="Times New Roman"/>
          <w:sz w:val="24"/>
          <w:szCs w:val="24"/>
        </w:rPr>
        <w:t xml:space="preserve">       </w:t>
      </w:r>
      <w:r w:rsidR="003405FC" w:rsidRPr="00061A5F">
        <w:rPr>
          <w:rFonts w:ascii="Times New Roman" w:hAnsi="Times New Roman"/>
          <w:sz w:val="24"/>
          <w:szCs w:val="24"/>
        </w:rPr>
        <w:t xml:space="preserve">                                  </w:t>
      </w:r>
      <w:r w:rsidR="00BC0B41" w:rsidRPr="00061A5F">
        <w:rPr>
          <w:rFonts w:ascii="Times New Roman" w:hAnsi="Times New Roman"/>
          <w:sz w:val="24"/>
          <w:szCs w:val="24"/>
        </w:rPr>
        <w:t>(</w:t>
      </w:r>
      <w:r w:rsidR="005536A6" w:rsidRPr="00061A5F">
        <w:rPr>
          <w:rFonts w:ascii="Times New Roman" w:hAnsi="Times New Roman"/>
          <w:sz w:val="24"/>
          <w:szCs w:val="24"/>
        </w:rPr>
        <w:t>1</w:t>
      </w:r>
      <w:r w:rsidR="00BC0B41" w:rsidRPr="00061A5F">
        <w:rPr>
          <w:rFonts w:ascii="Times New Roman" w:hAnsi="Times New Roman"/>
          <w:sz w:val="24"/>
          <w:szCs w:val="24"/>
        </w:rPr>
        <w:t>)</w:t>
      </w:r>
      <w:r w:rsidRPr="00061A5F">
        <w:rPr>
          <w:rFonts w:ascii="Times New Roman" w:hAnsi="Times New Roman"/>
          <w:sz w:val="24"/>
          <w:szCs w:val="24"/>
        </w:rPr>
        <w:tab/>
        <w:t xml:space="preserve"> </w:t>
      </w:r>
    </w:p>
    <w:p w14:paraId="51C0612F" w14:textId="791688A3" w:rsidR="009408EE" w:rsidRPr="00061A5F" w:rsidRDefault="00BC0B41" w:rsidP="007F5D0E">
      <w:pPr>
        <w:autoSpaceDE w:val="0"/>
        <w:autoSpaceDN w:val="0"/>
        <w:adjustRightInd w:val="0"/>
        <w:spacing w:line="276" w:lineRule="auto"/>
        <w:jc w:val="both"/>
        <w:rPr>
          <w:rFonts w:ascii="Times New Roman" w:hAnsi="Times New Roman"/>
          <w:sz w:val="24"/>
          <w:szCs w:val="24"/>
        </w:rPr>
      </w:pPr>
      <w:r w:rsidRPr="00061A5F">
        <w:rPr>
          <w:rFonts w:ascii="Times New Roman" w:hAnsi="Times New Roman"/>
          <w:sz w:val="24"/>
          <w:szCs w:val="24"/>
        </w:rPr>
        <w:t>w</w:t>
      </w:r>
      <w:r w:rsidR="009408EE" w:rsidRPr="00061A5F">
        <w:rPr>
          <w:rFonts w:ascii="Times New Roman" w:hAnsi="Times New Roman"/>
          <w:sz w:val="24"/>
          <w:szCs w:val="24"/>
        </w:rPr>
        <w:t xml:space="preserve">here </w:t>
      </w:r>
      <w:proofErr w:type="spellStart"/>
      <w:r w:rsidR="009408EE" w:rsidRPr="00061A5F">
        <w:rPr>
          <w:rFonts w:ascii="Times New Roman" w:hAnsi="Times New Roman"/>
          <w:sz w:val="24"/>
          <w:szCs w:val="24"/>
        </w:rPr>
        <w:t>ε</w:t>
      </w:r>
      <w:proofErr w:type="gramStart"/>
      <w:r w:rsidR="009408EE" w:rsidRPr="00061A5F">
        <w:rPr>
          <w:rFonts w:ascii="Times New Roman" w:hAnsi="Times New Roman"/>
          <w:sz w:val="24"/>
          <w:szCs w:val="24"/>
          <w:vertAlign w:val="subscript"/>
        </w:rPr>
        <w:t>i,t</w:t>
      </w:r>
      <w:proofErr w:type="spellEnd"/>
      <w:proofErr w:type="gramEnd"/>
      <w:r w:rsidR="009408EE" w:rsidRPr="00061A5F">
        <w:rPr>
          <w:rFonts w:ascii="Times New Roman" w:hAnsi="Times New Roman"/>
          <w:sz w:val="24"/>
          <w:szCs w:val="24"/>
          <w:vertAlign w:val="subscript"/>
        </w:rPr>
        <w:t xml:space="preserve"> </w:t>
      </w:r>
      <w:r w:rsidR="009408EE" w:rsidRPr="00061A5F">
        <w:rPr>
          <w:rFonts w:ascii="Times New Roman" w:hAnsi="Times New Roman"/>
          <w:sz w:val="24"/>
          <w:szCs w:val="24"/>
        </w:rPr>
        <w:t>=</w:t>
      </w:r>
      <w:r w:rsidR="009408EE" w:rsidRPr="00061A5F">
        <w:rPr>
          <w:rFonts w:ascii="Times New Roman" w:hAnsi="Times New Roman"/>
          <w:sz w:val="24"/>
          <w:szCs w:val="24"/>
          <w:vertAlign w:val="subscript"/>
        </w:rPr>
        <w:t xml:space="preserve"> </w:t>
      </w:r>
      <w:proofErr w:type="spellStart"/>
      <w:r w:rsidR="009408EE" w:rsidRPr="00061A5F">
        <w:rPr>
          <w:rFonts w:ascii="Times New Roman" w:hAnsi="Times New Roman"/>
          <w:sz w:val="24"/>
          <w:szCs w:val="24"/>
        </w:rPr>
        <w:t>u</w:t>
      </w:r>
      <w:r w:rsidR="009408EE" w:rsidRPr="00061A5F">
        <w:rPr>
          <w:rFonts w:ascii="Times New Roman" w:hAnsi="Times New Roman"/>
          <w:sz w:val="24"/>
          <w:szCs w:val="24"/>
          <w:vertAlign w:val="subscript"/>
        </w:rPr>
        <w:t>i</w:t>
      </w:r>
      <w:proofErr w:type="spellEnd"/>
      <w:r w:rsidR="009408EE" w:rsidRPr="00061A5F">
        <w:rPr>
          <w:rFonts w:ascii="Times New Roman" w:hAnsi="Times New Roman"/>
          <w:sz w:val="24"/>
          <w:szCs w:val="24"/>
        </w:rPr>
        <w:t xml:space="preserve"> + </w:t>
      </w:r>
      <w:proofErr w:type="spellStart"/>
      <w:r w:rsidR="009408EE" w:rsidRPr="00061A5F">
        <w:rPr>
          <w:rFonts w:ascii="Times New Roman" w:hAnsi="Times New Roman"/>
          <w:sz w:val="24"/>
          <w:szCs w:val="24"/>
        </w:rPr>
        <w:t>v</w:t>
      </w:r>
      <w:r w:rsidR="009408EE" w:rsidRPr="00061A5F">
        <w:rPr>
          <w:rFonts w:ascii="Times New Roman" w:hAnsi="Times New Roman"/>
          <w:sz w:val="24"/>
          <w:szCs w:val="24"/>
          <w:vertAlign w:val="subscript"/>
        </w:rPr>
        <w:t>i,t</w:t>
      </w:r>
      <w:proofErr w:type="spellEnd"/>
      <w:r w:rsidR="009408EE" w:rsidRPr="00061A5F">
        <w:rPr>
          <w:rFonts w:ascii="Times New Roman" w:hAnsi="Times New Roman"/>
          <w:sz w:val="24"/>
          <w:szCs w:val="24"/>
          <w:vertAlign w:val="subscript"/>
        </w:rPr>
        <w:t xml:space="preserve"> </w:t>
      </w:r>
      <w:r w:rsidR="009408EE" w:rsidRPr="00061A5F">
        <w:rPr>
          <w:rFonts w:ascii="Times New Roman" w:hAnsi="Times New Roman"/>
          <w:sz w:val="24"/>
          <w:szCs w:val="24"/>
        </w:rPr>
        <w:t>(</w:t>
      </w:r>
      <w:proofErr w:type="spellStart"/>
      <w:r w:rsidR="009408EE" w:rsidRPr="00061A5F">
        <w:rPr>
          <w:rFonts w:ascii="Times New Roman" w:hAnsi="Times New Roman"/>
          <w:sz w:val="24"/>
          <w:szCs w:val="24"/>
        </w:rPr>
        <w:t>u</w:t>
      </w:r>
      <w:r w:rsidR="009408EE" w:rsidRPr="00061A5F">
        <w:rPr>
          <w:rFonts w:ascii="Times New Roman" w:hAnsi="Times New Roman"/>
          <w:sz w:val="24"/>
          <w:szCs w:val="24"/>
          <w:vertAlign w:val="subscript"/>
        </w:rPr>
        <w:t>i</w:t>
      </w:r>
      <w:proofErr w:type="spellEnd"/>
      <w:r w:rsidR="009408EE" w:rsidRPr="00061A5F">
        <w:rPr>
          <w:rFonts w:ascii="Times New Roman" w:hAnsi="Times New Roman"/>
          <w:sz w:val="24"/>
          <w:szCs w:val="24"/>
        </w:rPr>
        <w:t xml:space="preserve"> is a group-specific effect and </w:t>
      </w:r>
      <w:proofErr w:type="spellStart"/>
      <w:r w:rsidR="009408EE" w:rsidRPr="00061A5F">
        <w:rPr>
          <w:rFonts w:ascii="Times New Roman" w:hAnsi="Times New Roman"/>
          <w:sz w:val="24"/>
          <w:szCs w:val="24"/>
        </w:rPr>
        <w:t>v</w:t>
      </w:r>
      <w:r w:rsidR="009408EE" w:rsidRPr="00061A5F">
        <w:rPr>
          <w:rFonts w:ascii="Times New Roman" w:hAnsi="Times New Roman"/>
          <w:sz w:val="24"/>
          <w:szCs w:val="24"/>
          <w:vertAlign w:val="subscript"/>
        </w:rPr>
        <w:t>i,t</w:t>
      </w:r>
      <w:proofErr w:type="spellEnd"/>
      <w:r w:rsidR="009408EE" w:rsidRPr="00061A5F">
        <w:rPr>
          <w:rFonts w:ascii="Times New Roman" w:hAnsi="Times New Roman"/>
          <w:sz w:val="24"/>
          <w:szCs w:val="24"/>
          <w:vertAlign w:val="subscript"/>
        </w:rPr>
        <w:t xml:space="preserve"> </w:t>
      </w:r>
      <w:r w:rsidR="009408EE" w:rsidRPr="00061A5F">
        <w:rPr>
          <w:rFonts w:ascii="Times New Roman" w:hAnsi="Times New Roman"/>
          <w:sz w:val="24"/>
          <w:szCs w:val="24"/>
        </w:rPr>
        <w:t xml:space="preserve">is </w:t>
      </w:r>
      <w:r w:rsidR="00E95A8D" w:rsidRPr="00061A5F">
        <w:rPr>
          <w:rFonts w:ascii="Times New Roman" w:hAnsi="Times New Roman"/>
          <w:sz w:val="24"/>
          <w:szCs w:val="24"/>
        </w:rPr>
        <w:t>the idiosyncratic error</w:t>
      </w:r>
      <w:r w:rsidR="009408EE" w:rsidRPr="00061A5F">
        <w:rPr>
          <w:rFonts w:ascii="Times New Roman" w:hAnsi="Times New Roman"/>
          <w:sz w:val="24"/>
          <w:szCs w:val="24"/>
        </w:rPr>
        <w:t>)</w:t>
      </w:r>
      <w:r w:rsidR="00B72BB1" w:rsidRPr="00061A5F">
        <w:rPr>
          <w:rFonts w:ascii="Times New Roman" w:hAnsi="Times New Roman"/>
          <w:sz w:val="24"/>
          <w:szCs w:val="24"/>
        </w:rPr>
        <w:t xml:space="preserve"> and </w:t>
      </w:r>
      <w:r w:rsidR="00B72BB1" w:rsidRPr="00061A5F">
        <w:rPr>
          <w:rFonts w:ascii="Times New Roman" w:hAnsi="Times New Roman"/>
          <w:sz w:val="24"/>
          <w:szCs w:val="24"/>
        </w:rPr>
        <w:sym w:font="Symbol" w:char="F067"/>
      </w:r>
      <w:r w:rsidR="00B72BB1" w:rsidRPr="00061A5F">
        <w:rPr>
          <w:rFonts w:ascii="Times New Roman" w:hAnsi="Times New Roman"/>
          <w:sz w:val="24"/>
          <w:szCs w:val="24"/>
          <w:vertAlign w:val="subscript"/>
        </w:rPr>
        <w:t xml:space="preserve">t </w:t>
      </w:r>
      <w:r w:rsidR="00B72BB1" w:rsidRPr="00061A5F">
        <w:rPr>
          <w:rFonts w:ascii="Times New Roman" w:hAnsi="Times New Roman"/>
          <w:sz w:val="24"/>
          <w:szCs w:val="24"/>
        </w:rPr>
        <w:t>is a full set of period dummies, which is essential to eliminate – or, at least attenuate</w:t>
      </w:r>
      <w:r w:rsidR="00AA2F7B" w:rsidRPr="00061A5F">
        <w:rPr>
          <w:rFonts w:ascii="Times New Roman" w:hAnsi="Times New Roman"/>
          <w:sz w:val="24"/>
          <w:szCs w:val="24"/>
        </w:rPr>
        <w:t xml:space="preserve"> –</w:t>
      </w:r>
      <w:r w:rsidR="00B72BB1" w:rsidRPr="00061A5F">
        <w:rPr>
          <w:rFonts w:ascii="Times New Roman" w:hAnsi="Times New Roman"/>
          <w:sz w:val="24"/>
          <w:szCs w:val="24"/>
        </w:rPr>
        <w:t xml:space="preserve"> cross-country residual correlation.</w:t>
      </w:r>
    </w:p>
    <w:p w14:paraId="76087C15" w14:textId="77777777" w:rsidR="00474E05" w:rsidRPr="00061A5F" w:rsidRDefault="00474E05" w:rsidP="007F5D0E">
      <w:pPr>
        <w:autoSpaceDE w:val="0"/>
        <w:autoSpaceDN w:val="0"/>
        <w:adjustRightInd w:val="0"/>
        <w:spacing w:line="276" w:lineRule="auto"/>
        <w:jc w:val="both"/>
        <w:rPr>
          <w:rFonts w:ascii="Times New Roman" w:hAnsi="Times New Roman"/>
          <w:sz w:val="24"/>
          <w:szCs w:val="24"/>
        </w:rPr>
      </w:pPr>
    </w:p>
    <w:p w14:paraId="7D692E7A" w14:textId="63A0A554" w:rsidR="00753582" w:rsidRPr="00061A5F" w:rsidRDefault="00474E05" w:rsidP="007F5D0E">
      <w:pPr>
        <w:autoSpaceDE w:val="0"/>
        <w:autoSpaceDN w:val="0"/>
        <w:adjustRightInd w:val="0"/>
        <w:spacing w:line="276" w:lineRule="auto"/>
        <w:jc w:val="both"/>
        <w:rPr>
          <w:rFonts w:ascii="Times New Roman" w:hAnsi="Times New Roman"/>
          <w:sz w:val="24"/>
          <w:szCs w:val="24"/>
        </w:rPr>
      </w:pPr>
      <w:r w:rsidRPr="00061A5F">
        <w:rPr>
          <w:rFonts w:ascii="Times New Roman" w:hAnsi="Times New Roman"/>
          <w:sz w:val="24"/>
          <w:szCs w:val="24"/>
        </w:rPr>
        <w:t xml:space="preserve">We next add interaction </w:t>
      </w:r>
      <w:r w:rsidR="00AF5B4F" w:rsidRPr="00061A5F">
        <w:rPr>
          <w:rFonts w:ascii="Times New Roman" w:hAnsi="Times New Roman"/>
          <w:sz w:val="24"/>
          <w:szCs w:val="24"/>
        </w:rPr>
        <w:t>terms: (</w:t>
      </w:r>
      <w:proofErr w:type="spellStart"/>
      <w:r w:rsidR="00AF5B4F" w:rsidRPr="00061A5F">
        <w:rPr>
          <w:rFonts w:ascii="Times New Roman" w:hAnsi="Times New Roman"/>
          <w:sz w:val="24"/>
          <w:szCs w:val="24"/>
        </w:rPr>
        <w:t>i</w:t>
      </w:r>
      <w:proofErr w:type="spellEnd"/>
      <w:r w:rsidR="00AF5B4F" w:rsidRPr="00061A5F">
        <w:rPr>
          <w:rFonts w:ascii="Times New Roman" w:hAnsi="Times New Roman"/>
          <w:sz w:val="24"/>
          <w:szCs w:val="24"/>
        </w:rPr>
        <w:t xml:space="preserve">) </w:t>
      </w:r>
      <w:r w:rsidRPr="00061A5F">
        <w:rPr>
          <w:rFonts w:ascii="Times New Roman" w:hAnsi="Times New Roman"/>
          <w:sz w:val="24"/>
          <w:szCs w:val="24"/>
        </w:rPr>
        <w:t xml:space="preserve">between </w:t>
      </w:r>
      <w:r w:rsidR="00E95A8D" w:rsidRPr="00061A5F">
        <w:rPr>
          <w:rFonts w:ascii="Times New Roman" w:hAnsi="Times New Roman"/>
          <w:sz w:val="24"/>
          <w:szCs w:val="24"/>
        </w:rPr>
        <w:t>the</w:t>
      </w:r>
      <w:r w:rsidRPr="00061A5F">
        <w:rPr>
          <w:rFonts w:ascii="Times New Roman" w:hAnsi="Times New Roman"/>
          <w:sz w:val="24"/>
          <w:szCs w:val="24"/>
        </w:rPr>
        <w:t xml:space="preserve"> CBA </w:t>
      </w:r>
      <w:r w:rsidR="00E95A8D" w:rsidRPr="00061A5F">
        <w:rPr>
          <w:rFonts w:ascii="Times New Roman" w:hAnsi="Times New Roman"/>
          <w:sz w:val="24"/>
          <w:szCs w:val="24"/>
        </w:rPr>
        <w:t xml:space="preserve">dummy </w:t>
      </w:r>
      <w:r w:rsidRPr="00061A5F">
        <w:rPr>
          <w:rFonts w:ascii="Times New Roman" w:hAnsi="Times New Roman"/>
          <w:sz w:val="24"/>
          <w:szCs w:val="24"/>
        </w:rPr>
        <w:t>and money supply growth to test for the potential difference in the effect of CBA on inflation at different levels of money supply growth</w:t>
      </w:r>
      <w:r w:rsidR="00AF5B4F" w:rsidRPr="00061A5F">
        <w:rPr>
          <w:rFonts w:ascii="Times New Roman" w:hAnsi="Times New Roman"/>
          <w:sz w:val="24"/>
          <w:szCs w:val="24"/>
        </w:rPr>
        <w:t>; and (ii)</w:t>
      </w:r>
      <w:r w:rsidR="00E95A8D" w:rsidRPr="00061A5F">
        <w:rPr>
          <w:rFonts w:ascii="Times New Roman" w:hAnsi="Times New Roman"/>
          <w:sz w:val="24"/>
          <w:szCs w:val="24"/>
        </w:rPr>
        <w:t xml:space="preserve"> </w:t>
      </w:r>
      <w:r w:rsidR="00753582" w:rsidRPr="00061A5F">
        <w:rPr>
          <w:rFonts w:ascii="Times New Roman" w:hAnsi="Times New Roman"/>
          <w:sz w:val="24"/>
          <w:szCs w:val="24"/>
        </w:rPr>
        <w:t xml:space="preserve">in order to test for the effect of CBA after the </w:t>
      </w:r>
      <w:r w:rsidR="009A31F4" w:rsidRPr="00061A5F">
        <w:rPr>
          <w:rFonts w:ascii="Times New Roman" w:hAnsi="Times New Roman"/>
          <w:sz w:val="24"/>
          <w:szCs w:val="24"/>
        </w:rPr>
        <w:t xml:space="preserve">beginning </w:t>
      </w:r>
      <w:r w:rsidR="00753582" w:rsidRPr="00061A5F">
        <w:rPr>
          <w:rFonts w:ascii="Times New Roman" w:hAnsi="Times New Roman"/>
          <w:sz w:val="24"/>
          <w:szCs w:val="24"/>
        </w:rPr>
        <w:t xml:space="preserve">of </w:t>
      </w:r>
      <w:r w:rsidR="00C3557A" w:rsidRPr="00061A5F">
        <w:rPr>
          <w:rFonts w:ascii="Times New Roman" w:hAnsi="Times New Roman"/>
          <w:sz w:val="24"/>
          <w:szCs w:val="24"/>
        </w:rPr>
        <w:t>the GFC</w:t>
      </w:r>
      <w:r w:rsidR="000F22FA" w:rsidRPr="00061A5F">
        <w:rPr>
          <w:rFonts w:ascii="Times New Roman" w:hAnsi="Times New Roman"/>
          <w:sz w:val="24"/>
          <w:szCs w:val="24"/>
        </w:rPr>
        <w:t>,</w:t>
      </w:r>
      <w:r w:rsidR="00753582" w:rsidRPr="00061A5F">
        <w:rPr>
          <w:rFonts w:ascii="Times New Roman" w:hAnsi="Times New Roman"/>
          <w:sz w:val="24"/>
          <w:szCs w:val="24"/>
        </w:rPr>
        <w:t xml:space="preserve"> a dummy variable for the </w:t>
      </w:r>
      <w:r w:rsidR="00303D2A" w:rsidRPr="00061A5F">
        <w:rPr>
          <w:rFonts w:ascii="Times New Roman" w:hAnsi="Times New Roman"/>
          <w:sz w:val="24"/>
          <w:szCs w:val="24"/>
        </w:rPr>
        <w:t>crisis/</w:t>
      </w:r>
      <w:r w:rsidR="000F22FA" w:rsidRPr="00061A5F">
        <w:rPr>
          <w:rFonts w:ascii="Times New Roman" w:hAnsi="Times New Roman"/>
          <w:sz w:val="24"/>
          <w:szCs w:val="24"/>
        </w:rPr>
        <w:t xml:space="preserve">post-crisis </w:t>
      </w:r>
      <w:r w:rsidR="00753582" w:rsidRPr="00061A5F">
        <w:rPr>
          <w:rFonts w:ascii="Times New Roman" w:hAnsi="Times New Roman"/>
          <w:sz w:val="24"/>
          <w:szCs w:val="24"/>
        </w:rPr>
        <w:t xml:space="preserve">period </w:t>
      </w:r>
      <w:r w:rsidR="00950444" w:rsidRPr="00061A5F">
        <w:rPr>
          <w:rFonts w:ascii="Times New Roman" w:hAnsi="Times New Roman"/>
          <w:sz w:val="24"/>
          <w:szCs w:val="24"/>
        </w:rPr>
        <w:t xml:space="preserve">(2009-2015) </w:t>
      </w:r>
      <w:r w:rsidR="00C3557A" w:rsidRPr="00061A5F">
        <w:rPr>
          <w:rFonts w:ascii="Times New Roman" w:hAnsi="Times New Roman"/>
          <w:sz w:val="24"/>
          <w:szCs w:val="24"/>
        </w:rPr>
        <w:t xml:space="preserve">was included </w:t>
      </w:r>
      <w:r w:rsidR="00753582" w:rsidRPr="00061A5F">
        <w:rPr>
          <w:rFonts w:ascii="Times New Roman" w:hAnsi="Times New Roman"/>
          <w:sz w:val="24"/>
          <w:szCs w:val="24"/>
        </w:rPr>
        <w:t xml:space="preserve">and interacted with </w:t>
      </w:r>
      <w:r w:rsidR="00C3557A" w:rsidRPr="00061A5F">
        <w:rPr>
          <w:rFonts w:ascii="Times New Roman" w:hAnsi="Times New Roman"/>
          <w:sz w:val="24"/>
          <w:szCs w:val="24"/>
        </w:rPr>
        <w:t xml:space="preserve">the </w:t>
      </w:r>
      <w:r w:rsidR="00753582" w:rsidRPr="00061A5F">
        <w:rPr>
          <w:rFonts w:ascii="Times New Roman" w:hAnsi="Times New Roman"/>
          <w:sz w:val="24"/>
          <w:szCs w:val="24"/>
        </w:rPr>
        <w:t xml:space="preserve">CBA </w:t>
      </w:r>
      <w:r w:rsidR="00AF5B4F" w:rsidRPr="00061A5F">
        <w:rPr>
          <w:rFonts w:ascii="Times New Roman" w:hAnsi="Times New Roman"/>
          <w:sz w:val="24"/>
          <w:szCs w:val="24"/>
        </w:rPr>
        <w:t>dummy</w:t>
      </w:r>
      <w:r w:rsidR="00844BFF" w:rsidRPr="00061A5F">
        <w:rPr>
          <w:rFonts w:ascii="Times New Roman" w:hAnsi="Times New Roman"/>
          <w:sz w:val="24"/>
          <w:szCs w:val="24"/>
        </w:rPr>
        <w:t>.</w:t>
      </w:r>
      <w:r w:rsidR="00844BFF" w:rsidRPr="00061A5F">
        <w:rPr>
          <w:rStyle w:val="FootnoteReference"/>
          <w:rFonts w:ascii="Times New Roman" w:hAnsi="Times New Roman"/>
          <w:sz w:val="24"/>
          <w:szCs w:val="24"/>
        </w:rPr>
        <w:footnoteReference w:id="8"/>
      </w:r>
      <w:r w:rsidR="00753582" w:rsidRPr="00061A5F">
        <w:rPr>
          <w:rFonts w:ascii="Times New Roman" w:hAnsi="Times New Roman"/>
          <w:sz w:val="24"/>
          <w:szCs w:val="24"/>
        </w:rPr>
        <w:t xml:space="preserve"> Equation </w:t>
      </w:r>
      <w:r w:rsidR="00E95A8D" w:rsidRPr="00061A5F">
        <w:rPr>
          <w:rFonts w:ascii="Times New Roman" w:hAnsi="Times New Roman"/>
          <w:sz w:val="24"/>
          <w:szCs w:val="24"/>
        </w:rPr>
        <w:t>2</w:t>
      </w:r>
      <w:r w:rsidR="00AF5B4F" w:rsidRPr="00061A5F">
        <w:rPr>
          <w:rFonts w:ascii="Times New Roman" w:hAnsi="Times New Roman"/>
          <w:sz w:val="24"/>
          <w:szCs w:val="24"/>
        </w:rPr>
        <w:t xml:space="preserve"> is our fully specified model</w:t>
      </w:r>
      <w:r w:rsidR="00753582" w:rsidRPr="00061A5F">
        <w:rPr>
          <w:rFonts w:ascii="Times New Roman" w:hAnsi="Times New Roman"/>
          <w:sz w:val="24"/>
          <w:szCs w:val="24"/>
        </w:rPr>
        <w:t>.</w:t>
      </w:r>
    </w:p>
    <w:p w14:paraId="4728F30F" w14:textId="77777777" w:rsidR="00753582" w:rsidRPr="00061A5F" w:rsidRDefault="00753582" w:rsidP="007F5D0E">
      <w:pPr>
        <w:autoSpaceDE w:val="0"/>
        <w:autoSpaceDN w:val="0"/>
        <w:adjustRightInd w:val="0"/>
        <w:spacing w:line="276" w:lineRule="auto"/>
        <w:jc w:val="both"/>
        <w:rPr>
          <w:rFonts w:ascii="Times New Roman" w:hAnsi="Times New Roman"/>
          <w:sz w:val="24"/>
          <w:szCs w:val="24"/>
        </w:rPr>
      </w:pPr>
    </w:p>
    <w:p w14:paraId="0901604B" w14:textId="2E1B4B67" w:rsidR="00753582" w:rsidRPr="00061A5F" w:rsidRDefault="00753582" w:rsidP="007F5D0E">
      <w:pPr>
        <w:autoSpaceDE w:val="0"/>
        <w:autoSpaceDN w:val="0"/>
        <w:adjustRightInd w:val="0"/>
        <w:spacing w:line="276" w:lineRule="auto"/>
        <w:jc w:val="both"/>
        <w:rPr>
          <w:rFonts w:ascii="Times New Roman" w:hAnsi="Times New Roman"/>
          <w:sz w:val="24"/>
          <w:szCs w:val="24"/>
        </w:rPr>
      </w:pPr>
      <w:proofErr w:type="spellStart"/>
      <w:r w:rsidRPr="00061A5F">
        <w:rPr>
          <w:rFonts w:ascii="Times New Roman" w:hAnsi="Times New Roman"/>
          <w:sz w:val="24"/>
          <w:szCs w:val="24"/>
        </w:rPr>
        <w:t>LnINF</w:t>
      </w:r>
      <w:r w:rsidRPr="00061A5F">
        <w:rPr>
          <w:rFonts w:ascii="Times New Roman" w:hAnsi="Times New Roman"/>
          <w:sz w:val="24"/>
          <w:szCs w:val="24"/>
          <w:vertAlign w:val="subscript"/>
        </w:rPr>
        <w:t>i,t</w:t>
      </w:r>
      <w:proofErr w:type="spellEnd"/>
      <w:r w:rsidRPr="00061A5F">
        <w:rPr>
          <w:rFonts w:ascii="Times New Roman" w:hAnsi="Times New Roman"/>
          <w:sz w:val="24"/>
          <w:szCs w:val="24"/>
        </w:rPr>
        <w:t xml:space="preserve"> = α</w:t>
      </w:r>
      <w:r w:rsidRPr="00061A5F">
        <w:rPr>
          <w:rFonts w:ascii="Times New Roman" w:hAnsi="Times New Roman"/>
          <w:sz w:val="24"/>
          <w:szCs w:val="24"/>
          <w:vertAlign w:val="subscript"/>
        </w:rPr>
        <w:t>0</w:t>
      </w:r>
      <w:r w:rsidRPr="00061A5F">
        <w:rPr>
          <w:rFonts w:ascii="Times New Roman" w:hAnsi="Times New Roman"/>
          <w:sz w:val="24"/>
          <w:szCs w:val="24"/>
        </w:rPr>
        <w:t xml:space="preserve"> + α</w:t>
      </w:r>
      <w:r w:rsidRPr="00061A5F">
        <w:rPr>
          <w:rFonts w:ascii="Times New Roman" w:hAnsi="Times New Roman"/>
          <w:sz w:val="24"/>
          <w:szCs w:val="24"/>
          <w:vertAlign w:val="subscript"/>
        </w:rPr>
        <w:t>1</w:t>
      </w:r>
      <w:r w:rsidRPr="00061A5F">
        <w:rPr>
          <w:rFonts w:ascii="Times New Roman" w:hAnsi="Times New Roman"/>
          <w:sz w:val="24"/>
          <w:szCs w:val="24"/>
        </w:rPr>
        <w:t>lnINF</w:t>
      </w:r>
      <w:r w:rsidRPr="00061A5F">
        <w:rPr>
          <w:rFonts w:ascii="Times New Roman" w:hAnsi="Times New Roman"/>
          <w:sz w:val="24"/>
          <w:szCs w:val="24"/>
          <w:vertAlign w:val="subscript"/>
        </w:rPr>
        <w:t>i,t-1</w:t>
      </w:r>
      <w:r w:rsidRPr="00061A5F">
        <w:rPr>
          <w:rFonts w:ascii="Times New Roman" w:hAnsi="Times New Roman"/>
          <w:sz w:val="24"/>
          <w:szCs w:val="24"/>
        </w:rPr>
        <w:t xml:space="preserve"> + α</w:t>
      </w:r>
      <w:r w:rsidRPr="00061A5F">
        <w:rPr>
          <w:rFonts w:ascii="Times New Roman" w:hAnsi="Times New Roman"/>
          <w:sz w:val="24"/>
          <w:szCs w:val="24"/>
          <w:vertAlign w:val="subscript"/>
        </w:rPr>
        <w:t>2</w:t>
      </w:r>
      <w:r w:rsidRPr="00061A5F">
        <w:rPr>
          <w:rFonts w:ascii="Times New Roman" w:hAnsi="Times New Roman"/>
          <w:sz w:val="24"/>
          <w:szCs w:val="24"/>
        </w:rPr>
        <w:t>CBA</w:t>
      </w:r>
      <w:r w:rsidRPr="00061A5F">
        <w:rPr>
          <w:rFonts w:ascii="Times New Roman" w:hAnsi="Times New Roman"/>
          <w:sz w:val="24"/>
          <w:szCs w:val="24"/>
          <w:vertAlign w:val="subscript"/>
        </w:rPr>
        <w:t>i,t</w:t>
      </w:r>
      <w:r w:rsidRPr="00061A5F">
        <w:rPr>
          <w:rFonts w:ascii="Times New Roman" w:hAnsi="Times New Roman"/>
          <w:sz w:val="24"/>
          <w:szCs w:val="24"/>
        </w:rPr>
        <w:t xml:space="preserve"> + α</w:t>
      </w:r>
      <w:r w:rsidRPr="00061A5F">
        <w:rPr>
          <w:rFonts w:ascii="Times New Roman" w:hAnsi="Times New Roman"/>
          <w:sz w:val="24"/>
          <w:szCs w:val="24"/>
          <w:vertAlign w:val="subscript"/>
        </w:rPr>
        <w:t>3</w:t>
      </w:r>
      <w:r w:rsidRPr="00061A5F">
        <w:rPr>
          <w:rFonts w:ascii="Times New Roman" w:hAnsi="Times New Roman"/>
          <w:sz w:val="24"/>
          <w:szCs w:val="24"/>
        </w:rPr>
        <w:t>CCBI</w:t>
      </w:r>
      <w:r w:rsidRPr="00061A5F">
        <w:rPr>
          <w:rFonts w:ascii="Times New Roman" w:hAnsi="Times New Roman"/>
          <w:sz w:val="24"/>
          <w:szCs w:val="24"/>
          <w:vertAlign w:val="subscript"/>
        </w:rPr>
        <w:t xml:space="preserve">i,t </w:t>
      </w:r>
      <w:r w:rsidRPr="00061A5F">
        <w:rPr>
          <w:rFonts w:ascii="Times New Roman" w:hAnsi="Times New Roman"/>
          <w:sz w:val="24"/>
          <w:szCs w:val="24"/>
        </w:rPr>
        <w:t>+</w:t>
      </w:r>
      <w:r w:rsidRPr="00061A5F">
        <w:rPr>
          <w:rFonts w:ascii="Times New Roman" w:hAnsi="Times New Roman"/>
          <w:sz w:val="24"/>
          <w:szCs w:val="24"/>
          <w:vertAlign w:val="subscript"/>
        </w:rPr>
        <w:t xml:space="preserve"> </w:t>
      </w:r>
      <w:r w:rsidRPr="00061A5F">
        <w:rPr>
          <w:rFonts w:ascii="Times New Roman" w:hAnsi="Times New Roman"/>
          <w:sz w:val="24"/>
          <w:szCs w:val="24"/>
        </w:rPr>
        <w:t>α</w:t>
      </w:r>
      <w:r w:rsidRPr="00061A5F">
        <w:rPr>
          <w:rFonts w:ascii="Times New Roman" w:hAnsi="Times New Roman"/>
          <w:sz w:val="24"/>
          <w:szCs w:val="24"/>
          <w:vertAlign w:val="subscript"/>
        </w:rPr>
        <w:t>4</w:t>
      </w:r>
      <w:r w:rsidRPr="00061A5F">
        <w:rPr>
          <w:rFonts w:ascii="Times New Roman" w:hAnsi="Times New Roman"/>
          <w:sz w:val="24"/>
          <w:szCs w:val="24"/>
        </w:rPr>
        <w:t>GDPG</w:t>
      </w:r>
      <w:r w:rsidRPr="00061A5F">
        <w:rPr>
          <w:rFonts w:ascii="Times New Roman" w:hAnsi="Times New Roman"/>
          <w:sz w:val="24"/>
          <w:szCs w:val="24"/>
          <w:vertAlign w:val="subscript"/>
        </w:rPr>
        <w:t>i,t</w:t>
      </w:r>
      <w:r w:rsidRPr="00061A5F">
        <w:rPr>
          <w:rFonts w:ascii="Times New Roman" w:hAnsi="Times New Roman"/>
          <w:sz w:val="24"/>
          <w:szCs w:val="24"/>
        </w:rPr>
        <w:t xml:space="preserve"> + α</w:t>
      </w:r>
      <w:r w:rsidRPr="00061A5F">
        <w:rPr>
          <w:rFonts w:ascii="Times New Roman" w:hAnsi="Times New Roman"/>
          <w:sz w:val="24"/>
          <w:szCs w:val="24"/>
          <w:vertAlign w:val="subscript"/>
        </w:rPr>
        <w:t>5</w:t>
      </w:r>
      <w:r w:rsidRPr="00061A5F">
        <w:rPr>
          <w:rFonts w:ascii="Times New Roman" w:hAnsi="Times New Roman"/>
          <w:sz w:val="24"/>
          <w:szCs w:val="24"/>
        </w:rPr>
        <w:t>MSG</w:t>
      </w:r>
      <w:r w:rsidRPr="00061A5F">
        <w:rPr>
          <w:rFonts w:ascii="Times New Roman" w:hAnsi="Times New Roman"/>
          <w:sz w:val="24"/>
          <w:szCs w:val="24"/>
          <w:vertAlign w:val="subscript"/>
        </w:rPr>
        <w:t xml:space="preserve">i,t </w:t>
      </w:r>
      <w:r w:rsidRPr="00061A5F">
        <w:rPr>
          <w:rFonts w:ascii="Times New Roman" w:hAnsi="Times New Roman"/>
          <w:sz w:val="24"/>
          <w:szCs w:val="24"/>
        </w:rPr>
        <w:t>+ α</w:t>
      </w:r>
      <w:r w:rsidRPr="00061A5F">
        <w:rPr>
          <w:rFonts w:ascii="Times New Roman" w:hAnsi="Times New Roman"/>
          <w:sz w:val="24"/>
          <w:szCs w:val="24"/>
          <w:vertAlign w:val="subscript"/>
        </w:rPr>
        <w:t>6</w:t>
      </w:r>
      <w:r w:rsidRPr="00061A5F">
        <w:rPr>
          <w:rFonts w:ascii="Times New Roman" w:hAnsi="Times New Roman"/>
          <w:sz w:val="24"/>
          <w:szCs w:val="24"/>
        </w:rPr>
        <w:t>CBA·MSG + α</w:t>
      </w:r>
      <w:r w:rsidRPr="00061A5F">
        <w:rPr>
          <w:rFonts w:ascii="Times New Roman" w:hAnsi="Times New Roman"/>
          <w:sz w:val="24"/>
          <w:szCs w:val="24"/>
          <w:vertAlign w:val="subscript"/>
        </w:rPr>
        <w:t>7</w:t>
      </w:r>
      <w:r w:rsidRPr="00061A5F">
        <w:rPr>
          <w:rFonts w:ascii="Times New Roman" w:hAnsi="Times New Roman"/>
          <w:sz w:val="24"/>
          <w:szCs w:val="24"/>
        </w:rPr>
        <w:t>CRISIS</w:t>
      </w:r>
      <w:r w:rsidRPr="00061A5F">
        <w:rPr>
          <w:rFonts w:ascii="Times New Roman" w:hAnsi="Times New Roman"/>
          <w:sz w:val="24"/>
          <w:szCs w:val="24"/>
          <w:vertAlign w:val="subscript"/>
        </w:rPr>
        <w:t xml:space="preserve">i,t </w:t>
      </w:r>
      <w:r w:rsidRPr="00061A5F">
        <w:rPr>
          <w:rFonts w:ascii="Times New Roman" w:hAnsi="Times New Roman"/>
          <w:sz w:val="24"/>
          <w:szCs w:val="24"/>
        </w:rPr>
        <w:t>+ α</w:t>
      </w:r>
      <w:r w:rsidRPr="00061A5F">
        <w:rPr>
          <w:rFonts w:ascii="Times New Roman" w:hAnsi="Times New Roman"/>
          <w:sz w:val="24"/>
          <w:szCs w:val="24"/>
          <w:vertAlign w:val="subscript"/>
        </w:rPr>
        <w:t>8</w:t>
      </w:r>
      <w:r w:rsidRPr="00061A5F">
        <w:rPr>
          <w:rFonts w:ascii="Times New Roman" w:hAnsi="Times New Roman"/>
          <w:sz w:val="24"/>
          <w:szCs w:val="24"/>
        </w:rPr>
        <w:t>CBA·CRISIS + α</w:t>
      </w:r>
      <w:r w:rsidRPr="00061A5F">
        <w:rPr>
          <w:rFonts w:ascii="Times New Roman" w:hAnsi="Times New Roman"/>
          <w:sz w:val="24"/>
          <w:szCs w:val="24"/>
          <w:vertAlign w:val="subscript"/>
        </w:rPr>
        <w:t>9</w:t>
      </w:r>
      <w:r w:rsidRPr="00061A5F">
        <w:rPr>
          <w:rFonts w:ascii="Times New Roman" w:hAnsi="Times New Roman"/>
          <w:sz w:val="24"/>
          <w:szCs w:val="24"/>
        </w:rPr>
        <w:t>FB</w:t>
      </w:r>
      <w:r w:rsidRPr="00061A5F">
        <w:rPr>
          <w:rFonts w:ascii="Times New Roman" w:hAnsi="Times New Roman"/>
          <w:sz w:val="24"/>
          <w:szCs w:val="24"/>
          <w:vertAlign w:val="subscript"/>
        </w:rPr>
        <w:t>i,t</w:t>
      </w:r>
      <w:r w:rsidRPr="00061A5F">
        <w:rPr>
          <w:rFonts w:ascii="Times New Roman" w:hAnsi="Times New Roman"/>
          <w:sz w:val="24"/>
          <w:szCs w:val="24"/>
        </w:rPr>
        <w:t xml:space="preserve"> + α</w:t>
      </w:r>
      <w:r w:rsidRPr="00061A5F">
        <w:rPr>
          <w:rFonts w:ascii="Times New Roman" w:hAnsi="Times New Roman"/>
          <w:sz w:val="24"/>
          <w:szCs w:val="24"/>
          <w:vertAlign w:val="subscript"/>
        </w:rPr>
        <w:t>10</w:t>
      </w:r>
      <w:r w:rsidRPr="00061A5F">
        <w:rPr>
          <w:rFonts w:ascii="Times New Roman" w:hAnsi="Times New Roman"/>
          <w:sz w:val="24"/>
          <w:szCs w:val="24"/>
        </w:rPr>
        <w:t>OPEN</w:t>
      </w:r>
      <w:r w:rsidRPr="00061A5F">
        <w:rPr>
          <w:rFonts w:ascii="Times New Roman" w:hAnsi="Times New Roman"/>
          <w:sz w:val="24"/>
          <w:szCs w:val="24"/>
          <w:vertAlign w:val="subscript"/>
        </w:rPr>
        <w:t>i,t</w:t>
      </w:r>
      <w:r w:rsidRPr="00061A5F">
        <w:rPr>
          <w:rFonts w:ascii="Times New Roman" w:hAnsi="Times New Roman"/>
          <w:sz w:val="24"/>
          <w:szCs w:val="24"/>
        </w:rPr>
        <w:t xml:space="preserve"> + α</w:t>
      </w:r>
      <w:r w:rsidRPr="00061A5F">
        <w:rPr>
          <w:rFonts w:ascii="Times New Roman" w:hAnsi="Times New Roman"/>
          <w:sz w:val="24"/>
          <w:szCs w:val="24"/>
          <w:vertAlign w:val="subscript"/>
        </w:rPr>
        <w:t>11</w:t>
      </w:r>
      <w:r w:rsidRPr="00061A5F">
        <w:rPr>
          <w:rFonts w:ascii="Times New Roman" w:hAnsi="Times New Roman"/>
          <w:sz w:val="24"/>
          <w:szCs w:val="24"/>
        </w:rPr>
        <w:t>TOT</w:t>
      </w:r>
      <w:r w:rsidRPr="00061A5F">
        <w:rPr>
          <w:rFonts w:ascii="Times New Roman" w:hAnsi="Times New Roman"/>
          <w:sz w:val="24"/>
          <w:szCs w:val="24"/>
          <w:vertAlign w:val="subscript"/>
        </w:rPr>
        <w:t>i,t</w:t>
      </w:r>
      <w:r w:rsidRPr="00061A5F">
        <w:rPr>
          <w:rFonts w:ascii="Times New Roman" w:hAnsi="Times New Roman"/>
          <w:sz w:val="24"/>
          <w:szCs w:val="24"/>
        </w:rPr>
        <w:t xml:space="preserve"> + α</w:t>
      </w:r>
      <w:r w:rsidRPr="00061A5F">
        <w:rPr>
          <w:rFonts w:ascii="Times New Roman" w:hAnsi="Times New Roman"/>
          <w:sz w:val="24"/>
          <w:szCs w:val="24"/>
          <w:vertAlign w:val="subscript"/>
        </w:rPr>
        <w:t>12</w:t>
      </w:r>
      <w:r w:rsidRPr="00061A5F">
        <w:rPr>
          <w:rFonts w:ascii="Times New Roman" w:hAnsi="Times New Roman"/>
          <w:sz w:val="24"/>
          <w:szCs w:val="24"/>
        </w:rPr>
        <w:t>EBRDI</w:t>
      </w:r>
      <w:r w:rsidRPr="00061A5F">
        <w:rPr>
          <w:rFonts w:ascii="Times New Roman" w:hAnsi="Times New Roman"/>
          <w:sz w:val="24"/>
          <w:szCs w:val="24"/>
          <w:vertAlign w:val="subscript"/>
        </w:rPr>
        <w:t>i,t</w:t>
      </w:r>
      <w:r w:rsidRPr="00061A5F">
        <w:rPr>
          <w:rFonts w:ascii="Times New Roman" w:hAnsi="Times New Roman"/>
          <w:sz w:val="24"/>
          <w:szCs w:val="24"/>
        </w:rPr>
        <w:t xml:space="preserve"> + α</w:t>
      </w:r>
      <w:r w:rsidRPr="00061A5F">
        <w:rPr>
          <w:rFonts w:ascii="Times New Roman" w:hAnsi="Times New Roman"/>
          <w:sz w:val="24"/>
          <w:szCs w:val="24"/>
          <w:vertAlign w:val="subscript"/>
        </w:rPr>
        <w:t>13</w:t>
      </w:r>
      <w:r w:rsidRPr="00061A5F">
        <w:rPr>
          <w:rFonts w:ascii="Times New Roman" w:hAnsi="Times New Roman"/>
          <w:sz w:val="24"/>
          <w:szCs w:val="24"/>
        </w:rPr>
        <w:t>EU</w:t>
      </w:r>
      <w:r w:rsidRPr="00061A5F">
        <w:rPr>
          <w:rFonts w:ascii="Times New Roman" w:hAnsi="Times New Roman"/>
          <w:sz w:val="24"/>
          <w:szCs w:val="24"/>
          <w:vertAlign w:val="subscript"/>
        </w:rPr>
        <w:t>i,t</w:t>
      </w:r>
      <w:r w:rsidRPr="00061A5F">
        <w:rPr>
          <w:rFonts w:ascii="Times New Roman" w:hAnsi="Times New Roman"/>
          <w:sz w:val="24"/>
          <w:szCs w:val="24"/>
        </w:rPr>
        <w:t xml:space="preserve"> + α</w:t>
      </w:r>
      <w:r w:rsidRPr="00061A5F">
        <w:rPr>
          <w:rFonts w:ascii="Times New Roman" w:hAnsi="Times New Roman"/>
          <w:sz w:val="24"/>
          <w:szCs w:val="24"/>
          <w:vertAlign w:val="subscript"/>
        </w:rPr>
        <w:t>14</w:t>
      </w:r>
      <w:r w:rsidRPr="00061A5F">
        <w:rPr>
          <w:rFonts w:ascii="Times New Roman" w:hAnsi="Times New Roman"/>
          <w:sz w:val="24"/>
          <w:szCs w:val="24"/>
        </w:rPr>
        <w:t>VAT</w:t>
      </w:r>
      <w:r w:rsidRPr="00061A5F">
        <w:rPr>
          <w:rFonts w:ascii="Times New Roman" w:hAnsi="Times New Roman"/>
          <w:sz w:val="24"/>
          <w:szCs w:val="24"/>
          <w:vertAlign w:val="subscript"/>
        </w:rPr>
        <w:t>i,t</w:t>
      </w:r>
      <w:r w:rsidRPr="00061A5F">
        <w:rPr>
          <w:rFonts w:ascii="Times New Roman" w:hAnsi="Times New Roman"/>
          <w:sz w:val="24"/>
          <w:szCs w:val="24"/>
        </w:rPr>
        <w:t xml:space="preserve"> + </w:t>
      </w:r>
      <w:r w:rsidRPr="00061A5F">
        <w:rPr>
          <w:rFonts w:ascii="Times New Roman" w:hAnsi="Times New Roman"/>
          <w:sz w:val="24"/>
          <w:szCs w:val="24"/>
        </w:rPr>
        <w:sym w:font="Symbol" w:char="F067"/>
      </w:r>
      <w:r w:rsidRPr="00061A5F">
        <w:rPr>
          <w:rFonts w:ascii="Times New Roman" w:hAnsi="Times New Roman"/>
          <w:sz w:val="24"/>
          <w:szCs w:val="24"/>
          <w:vertAlign w:val="subscript"/>
        </w:rPr>
        <w:t>t</w:t>
      </w:r>
      <w:r w:rsidRPr="00061A5F">
        <w:rPr>
          <w:rFonts w:ascii="Times New Roman" w:hAnsi="Times New Roman"/>
          <w:sz w:val="24"/>
          <w:szCs w:val="24"/>
        </w:rPr>
        <w:t xml:space="preserve"> + </w:t>
      </w:r>
      <w:proofErr w:type="spellStart"/>
      <w:r w:rsidRPr="00061A5F">
        <w:rPr>
          <w:rFonts w:ascii="Times New Roman" w:hAnsi="Times New Roman"/>
          <w:sz w:val="24"/>
          <w:szCs w:val="24"/>
        </w:rPr>
        <w:t>ε</w:t>
      </w:r>
      <w:r w:rsidRPr="00061A5F">
        <w:rPr>
          <w:rFonts w:ascii="Times New Roman" w:hAnsi="Times New Roman"/>
          <w:sz w:val="24"/>
          <w:szCs w:val="24"/>
          <w:vertAlign w:val="subscript"/>
        </w:rPr>
        <w:t>i,t</w:t>
      </w:r>
      <w:proofErr w:type="spellEnd"/>
      <w:r w:rsidRPr="00061A5F">
        <w:rPr>
          <w:rFonts w:ascii="Times New Roman" w:hAnsi="Times New Roman"/>
          <w:sz w:val="24"/>
          <w:szCs w:val="24"/>
        </w:rPr>
        <w:tab/>
        <w:t xml:space="preserve">      </w:t>
      </w:r>
      <w:r w:rsidR="00474E05" w:rsidRPr="00061A5F">
        <w:rPr>
          <w:rFonts w:ascii="Times New Roman" w:hAnsi="Times New Roman"/>
          <w:sz w:val="24"/>
          <w:szCs w:val="24"/>
        </w:rPr>
        <w:t xml:space="preserve">       </w:t>
      </w:r>
      <w:r w:rsidR="00474E05" w:rsidRPr="00061A5F">
        <w:rPr>
          <w:rFonts w:ascii="Times New Roman" w:hAnsi="Times New Roman"/>
          <w:sz w:val="24"/>
          <w:szCs w:val="24"/>
        </w:rPr>
        <w:tab/>
      </w:r>
      <w:r w:rsidR="00474E05" w:rsidRPr="00061A5F">
        <w:rPr>
          <w:rFonts w:ascii="Times New Roman" w:hAnsi="Times New Roman"/>
          <w:sz w:val="24"/>
          <w:szCs w:val="24"/>
        </w:rPr>
        <w:tab/>
      </w:r>
      <w:r w:rsidR="00474E05" w:rsidRPr="00061A5F">
        <w:rPr>
          <w:rFonts w:ascii="Times New Roman" w:hAnsi="Times New Roman"/>
          <w:sz w:val="24"/>
          <w:szCs w:val="24"/>
        </w:rPr>
        <w:tab/>
      </w:r>
      <w:r w:rsidR="00474E05" w:rsidRPr="00061A5F">
        <w:rPr>
          <w:rFonts w:ascii="Times New Roman" w:hAnsi="Times New Roman"/>
          <w:sz w:val="24"/>
          <w:szCs w:val="24"/>
        </w:rPr>
        <w:tab/>
      </w:r>
      <w:r w:rsidR="00474E05" w:rsidRPr="00061A5F">
        <w:rPr>
          <w:rFonts w:ascii="Times New Roman" w:hAnsi="Times New Roman"/>
          <w:sz w:val="24"/>
          <w:szCs w:val="24"/>
        </w:rPr>
        <w:tab/>
      </w:r>
      <w:r w:rsidR="00474E05" w:rsidRPr="00061A5F">
        <w:rPr>
          <w:rFonts w:ascii="Times New Roman" w:hAnsi="Times New Roman"/>
          <w:sz w:val="24"/>
          <w:szCs w:val="24"/>
        </w:rPr>
        <w:tab/>
        <w:t xml:space="preserve">                       </w:t>
      </w:r>
      <w:r w:rsidRPr="00061A5F">
        <w:rPr>
          <w:rFonts w:ascii="Times New Roman" w:hAnsi="Times New Roman"/>
          <w:sz w:val="24"/>
          <w:szCs w:val="24"/>
        </w:rPr>
        <w:t>(</w:t>
      </w:r>
      <w:r w:rsidR="00E95A8D" w:rsidRPr="00061A5F">
        <w:rPr>
          <w:rFonts w:ascii="Times New Roman" w:hAnsi="Times New Roman"/>
          <w:sz w:val="24"/>
          <w:szCs w:val="24"/>
        </w:rPr>
        <w:t>2</w:t>
      </w:r>
      <w:r w:rsidRPr="00061A5F">
        <w:rPr>
          <w:rFonts w:ascii="Times New Roman" w:hAnsi="Times New Roman"/>
          <w:sz w:val="24"/>
          <w:szCs w:val="24"/>
        </w:rPr>
        <w:t>)</w:t>
      </w:r>
    </w:p>
    <w:p w14:paraId="14D7C88F" w14:textId="77777777" w:rsidR="00753582" w:rsidRPr="00061A5F" w:rsidRDefault="00753582" w:rsidP="007F5D0E">
      <w:pPr>
        <w:autoSpaceDE w:val="0"/>
        <w:autoSpaceDN w:val="0"/>
        <w:adjustRightInd w:val="0"/>
        <w:spacing w:line="276" w:lineRule="auto"/>
        <w:jc w:val="both"/>
        <w:rPr>
          <w:rFonts w:ascii="Times New Roman" w:hAnsi="Times New Roman"/>
          <w:sz w:val="24"/>
          <w:szCs w:val="24"/>
        </w:rPr>
      </w:pPr>
    </w:p>
    <w:p w14:paraId="1315DAB4" w14:textId="0873DDE3" w:rsidR="00FD5D89" w:rsidRPr="00061A5F" w:rsidRDefault="009408EE" w:rsidP="007F5D0E">
      <w:pPr>
        <w:autoSpaceDE w:val="0"/>
        <w:autoSpaceDN w:val="0"/>
        <w:adjustRightInd w:val="0"/>
        <w:spacing w:line="276" w:lineRule="auto"/>
        <w:jc w:val="both"/>
        <w:rPr>
          <w:rFonts w:ascii="Times New Roman" w:hAnsi="Times New Roman"/>
          <w:sz w:val="24"/>
          <w:szCs w:val="24"/>
        </w:rPr>
      </w:pPr>
      <w:r w:rsidRPr="00061A5F">
        <w:rPr>
          <w:rFonts w:ascii="Times New Roman" w:hAnsi="Times New Roman"/>
          <w:sz w:val="24"/>
          <w:szCs w:val="24"/>
        </w:rPr>
        <w:t xml:space="preserve">In </w:t>
      </w:r>
      <w:r w:rsidR="00231324" w:rsidRPr="00061A5F">
        <w:rPr>
          <w:rFonts w:ascii="Times New Roman" w:hAnsi="Times New Roman"/>
          <w:sz w:val="24"/>
          <w:szCs w:val="24"/>
        </w:rPr>
        <w:t xml:space="preserve">these </w:t>
      </w:r>
      <w:r w:rsidRPr="00061A5F">
        <w:rPr>
          <w:rFonts w:ascii="Times New Roman" w:hAnsi="Times New Roman"/>
          <w:sz w:val="24"/>
          <w:szCs w:val="24"/>
        </w:rPr>
        <w:t xml:space="preserve">dynamic </w:t>
      </w:r>
      <w:r w:rsidR="00231324" w:rsidRPr="00061A5F">
        <w:rPr>
          <w:rFonts w:ascii="Times New Roman" w:hAnsi="Times New Roman"/>
          <w:sz w:val="24"/>
          <w:szCs w:val="24"/>
        </w:rPr>
        <w:t xml:space="preserve">models, </w:t>
      </w:r>
      <w:r w:rsidR="0017237B" w:rsidRPr="00061A5F">
        <w:rPr>
          <w:rFonts w:ascii="Times New Roman" w:hAnsi="Times New Roman"/>
          <w:sz w:val="24"/>
          <w:szCs w:val="24"/>
        </w:rPr>
        <w:t xml:space="preserve">money supply and CBI </w:t>
      </w:r>
      <w:r w:rsidRPr="00061A5F">
        <w:rPr>
          <w:rFonts w:ascii="Times New Roman" w:hAnsi="Times New Roman"/>
          <w:sz w:val="24"/>
          <w:szCs w:val="24"/>
        </w:rPr>
        <w:t>variables are included in their current values and treated as endogenous</w:t>
      </w:r>
      <w:r w:rsidR="00EC1F59" w:rsidRPr="00061A5F">
        <w:rPr>
          <w:rFonts w:ascii="Times New Roman" w:hAnsi="Times New Roman"/>
          <w:sz w:val="24"/>
          <w:szCs w:val="24"/>
        </w:rPr>
        <w:t xml:space="preserve"> (as suggested in previous studies – see Section 4) </w:t>
      </w:r>
      <w:r w:rsidRPr="00061A5F">
        <w:rPr>
          <w:rFonts w:ascii="Times New Roman" w:hAnsi="Times New Roman"/>
          <w:sz w:val="24"/>
          <w:szCs w:val="24"/>
        </w:rPr>
        <w:t xml:space="preserve">and their lags are used as instruments. In order to estimate </w:t>
      </w:r>
      <w:r w:rsidR="00844BFF" w:rsidRPr="00061A5F">
        <w:rPr>
          <w:rFonts w:ascii="Times New Roman" w:hAnsi="Times New Roman"/>
          <w:sz w:val="24"/>
          <w:szCs w:val="24"/>
        </w:rPr>
        <w:t>our</w:t>
      </w:r>
      <w:r w:rsidRPr="00061A5F">
        <w:rPr>
          <w:rFonts w:ascii="Times New Roman" w:hAnsi="Times New Roman"/>
          <w:sz w:val="24"/>
          <w:szCs w:val="24"/>
        </w:rPr>
        <w:t xml:space="preserve"> dynamic model</w:t>
      </w:r>
      <w:r w:rsidR="00844BFF" w:rsidRPr="00061A5F">
        <w:rPr>
          <w:rFonts w:ascii="Times New Roman" w:hAnsi="Times New Roman"/>
          <w:sz w:val="24"/>
          <w:szCs w:val="24"/>
        </w:rPr>
        <w:t>s</w:t>
      </w:r>
      <w:r w:rsidR="00C302CC" w:rsidRPr="00061A5F">
        <w:rPr>
          <w:rFonts w:ascii="Times New Roman" w:hAnsi="Times New Roman"/>
          <w:sz w:val="24"/>
          <w:szCs w:val="24"/>
        </w:rPr>
        <w:t>, as well as to use internal instruments for potentially endogenous variables,</w:t>
      </w:r>
      <w:r w:rsidRPr="00061A5F">
        <w:rPr>
          <w:rFonts w:ascii="Times New Roman" w:hAnsi="Times New Roman"/>
          <w:sz w:val="24"/>
          <w:szCs w:val="24"/>
        </w:rPr>
        <w:t xml:space="preserve"> General Method of Moments (GMM) </w:t>
      </w:r>
      <w:r w:rsidR="00C302CC" w:rsidRPr="00061A5F">
        <w:rPr>
          <w:rFonts w:ascii="Times New Roman" w:hAnsi="Times New Roman"/>
          <w:sz w:val="24"/>
          <w:szCs w:val="24"/>
        </w:rPr>
        <w:t xml:space="preserve">estimation </w:t>
      </w:r>
      <w:r w:rsidRPr="00061A5F">
        <w:rPr>
          <w:rFonts w:ascii="Times New Roman" w:hAnsi="Times New Roman"/>
          <w:sz w:val="24"/>
          <w:szCs w:val="24"/>
        </w:rPr>
        <w:t>is used. The Arellano-Bond approach (</w:t>
      </w:r>
      <w:r w:rsidR="00056267" w:rsidRPr="00061A5F">
        <w:rPr>
          <w:rFonts w:ascii="Times New Roman" w:hAnsi="Times New Roman"/>
          <w:sz w:val="24"/>
          <w:szCs w:val="24"/>
        </w:rPr>
        <w:t xml:space="preserve">“difference” </w:t>
      </w:r>
      <w:r w:rsidRPr="00061A5F">
        <w:rPr>
          <w:rFonts w:ascii="Times New Roman" w:hAnsi="Times New Roman"/>
          <w:sz w:val="24"/>
          <w:szCs w:val="24"/>
        </w:rPr>
        <w:t>GMM</w:t>
      </w:r>
      <w:r w:rsidR="00056267" w:rsidRPr="00061A5F">
        <w:rPr>
          <w:rFonts w:ascii="Times New Roman" w:hAnsi="Times New Roman"/>
          <w:sz w:val="24"/>
          <w:szCs w:val="24"/>
        </w:rPr>
        <w:t>; Arellano and Bond, 1991</w:t>
      </w:r>
      <w:r w:rsidRPr="00061A5F">
        <w:rPr>
          <w:rFonts w:ascii="Times New Roman" w:hAnsi="Times New Roman"/>
          <w:sz w:val="24"/>
          <w:szCs w:val="24"/>
        </w:rPr>
        <w:t xml:space="preserve">), which uses lagged values of the levels as instruments for the equations in first differences, is not </w:t>
      </w:r>
      <w:r w:rsidR="00231324" w:rsidRPr="00061A5F">
        <w:rPr>
          <w:rFonts w:ascii="Times New Roman" w:hAnsi="Times New Roman"/>
          <w:sz w:val="24"/>
          <w:szCs w:val="24"/>
        </w:rPr>
        <w:t xml:space="preserve">appropriate, </w:t>
      </w:r>
      <w:r w:rsidRPr="00061A5F">
        <w:rPr>
          <w:rFonts w:ascii="Times New Roman" w:hAnsi="Times New Roman"/>
          <w:sz w:val="24"/>
          <w:szCs w:val="24"/>
        </w:rPr>
        <w:t xml:space="preserve">since it </w:t>
      </w:r>
      <w:r w:rsidR="00D76569" w:rsidRPr="00061A5F">
        <w:rPr>
          <w:rFonts w:ascii="Times New Roman" w:hAnsi="Times New Roman"/>
          <w:sz w:val="24"/>
          <w:szCs w:val="24"/>
        </w:rPr>
        <w:t>omits</w:t>
      </w:r>
      <w:r w:rsidRPr="00061A5F">
        <w:rPr>
          <w:rFonts w:ascii="Times New Roman" w:hAnsi="Times New Roman"/>
          <w:sz w:val="24"/>
          <w:szCs w:val="24"/>
        </w:rPr>
        <w:t xml:space="preserve"> the variable of interest, which is time-invariant. Therefore, </w:t>
      </w:r>
      <w:r w:rsidR="00FC402C" w:rsidRPr="00061A5F">
        <w:rPr>
          <w:rFonts w:ascii="Times New Roman" w:hAnsi="Times New Roman"/>
          <w:sz w:val="24"/>
          <w:szCs w:val="24"/>
        </w:rPr>
        <w:t xml:space="preserve">we use </w:t>
      </w:r>
      <w:r w:rsidRPr="00061A5F">
        <w:rPr>
          <w:rFonts w:ascii="Times New Roman" w:hAnsi="Times New Roman"/>
          <w:sz w:val="24"/>
          <w:szCs w:val="24"/>
        </w:rPr>
        <w:t>the Arellano-</w:t>
      </w:r>
      <w:proofErr w:type="spellStart"/>
      <w:r w:rsidRPr="00061A5F">
        <w:rPr>
          <w:rFonts w:ascii="Times New Roman" w:hAnsi="Times New Roman"/>
          <w:sz w:val="24"/>
          <w:szCs w:val="24"/>
        </w:rPr>
        <w:t>Bover</w:t>
      </w:r>
      <w:proofErr w:type="spellEnd"/>
      <w:r w:rsidRPr="00061A5F">
        <w:rPr>
          <w:rFonts w:ascii="Times New Roman" w:hAnsi="Times New Roman"/>
          <w:sz w:val="24"/>
          <w:szCs w:val="24"/>
        </w:rPr>
        <w:t xml:space="preserve">/Blundell-Bond </w:t>
      </w:r>
      <w:r w:rsidR="00056267" w:rsidRPr="00061A5F">
        <w:rPr>
          <w:rFonts w:ascii="Times New Roman" w:hAnsi="Times New Roman"/>
          <w:sz w:val="24"/>
          <w:szCs w:val="24"/>
        </w:rPr>
        <w:t xml:space="preserve">“system” </w:t>
      </w:r>
      <w:r w:rsidRPr="00061A5F">
        <w:rPr>
          <w:rFonts w:ascii="Times New Roman" w:hAnsi="Times New Roman"/>
          <w:sz w:val="24"/>
          <w:szCs w:val="24"/>
        </w:rPr>
        <w:t>GMM</w:t>
      </w:r>
      <w:r w:rsidR="00FC402C" w:rsidRPr="00061A5F">
        <w:rPr>
          <w:rFonts w:ascii="Times New Roman" w:hAnsi="Times New Roman"/>
          <w:sz w:val="24"/>
          <w:szCs w:val="24"/>
        </w:rPr>
        <w:t xml:space="preserve"> estimator (</w:t>
      </w:r>
      <w:r w:rsidR="00056267" w:rsidRPr="00061A5F">
        <w:rPr>
          <w:rFonts w:ascii="Times New Roman" w:hAnsi="Times New Roman"/>
          <w:sz w:val="24"/>
          <w:szCs w:val="24"/>
        </w:rPr>
        <w:t xml:space="preserve">Arellano and </w:t>
      </w:r>
      <w:proofErr w:type="spellStart"/>
      <w:r w:rsidR="00056267" w:rsidRPr="00061A5F">
        <w:rPr>
          <w:rFonts w:ascii="Times New Roman" w:hAnsi="Times New Roman"/>
          <w:sz w:val="24"/>
          <w:szCs w:val="24"/>
        </w:rPr>
        <w:t>Bover</w:t>
      </w:r>
      <w:proofErr w:type="spellEnd"/>
      <w:r w:rsidR="00056267" w:rsidRPr="00061A5F">
        <w:rPr>
          <w:rFonts w:ascii="Times New Roman" w:hAnsi="Times New Roman"/>
          <w:sz w:val="24"/>
          <w:szCs w:val="24"/>
        </w:rPr>
        <w:t>, 1995; Blundell and Bond, 1998)</w:t>
      </w:r>
      <w:r w:rsidR="00FC402C" w:rsidRPr="00061A5F">
        <w:rPr>
          <w:rFonts w:ascii="Times New Roman" w:hAnsi="Times New Roman"/>
          <w:sz w:val="24"/>
          <w:szCs w:val="24"/>
        </w:rPr>
        <w:t xml:space="preserve"> which </w:t>
      </w:r>
      <w:r w:rsidRPr="00061A5F">
        <w:rPr>
          <w:rFonts w:ascii="Times New Roman" w:hAnsi="Times New Roman"/>
          <w:sz w:val="24"/>
          <w:szCs w:val="24"/>
        </w:rPr>
        <w:t>builds a system of two equations: a difference equation</w:t>
      </w:r>
      <w:r w:rsidR="00FC402C" w:rsidRPr="00061A5F">
        <w:rPr>
          <w:rFonts w:ascii="Times New Roman" w:hAnsi="Times New Roman"/>
          <w:sz w:val="24"/>
          <w:szCs w:val="24"/>
        </w:rPr>
        <w:t>,</w:t>
      </w:r>
      <w:r w:rsidRPr="00061A5F">
        <w:rPr>
          <w:rFonts w:ascii="Times New Roman" w:hAnsi="Times New Roman"/>
          <w:sz w:val="24"/>
          <w:szCs w:val="24"/>
        </w:rPr>
        <w:t xml:space="preserve"> </w:t>
      </w:r>
      <w:r w:rsidR="00C302CC" w:rsidRPr="00061A5F">
        <w:rPr>
          <w:rFonts w:ascii="Times New Roman" w:hAnsi="Times New Roman"/>
          <w:sz w:val="24"/>
          <w:szCs w:val="24"/>
        </w:rPr>
        <w:t xml:space="preserve">in </w:t>
      </w:r>
      <w:r w:rsidRPr="00061A5F">
        <w:rPr>
          <w:rFonts w:ascii="Times New Roman" w:hAnsi="Times New Roman"/>
          <w:sz w:val="24"/>
          <w:szCs w:val="24"/>
        </w:rPr>
        <w:t xml:space="preserve">which </w:t>
      </w:r>
      <w:r w:rsidR="00C302CC" w:rsidRPr="00061A5F">
        <w:rPr>
          <w:rFonts w:ascii="Times New Roman" w:hAnsi="Times New Roman"/>
          <w:sz w:val="24"/>
          <w:szCs w:val="24"/>
        </w:rPr>
        <w:t xml:space="preserve">endogenous variables are </w:t>
      </w:r>
      <w:r w:rsidRPr="00061A5F">
        <w:rPr>
          <w:rFonts w:ascii="Times New Roman" w:hAnsi="Times New Roman"/>
          <w:sz w:val="24"/>
          <w:szCs w:val="24"/>
        </w:rPr>
        <w:t xml:space="preserve">instrumented by levels; and a levels equation </w:t>
      </w:r>
      <w:r w:rsidR="00C302CC" w:rsidRPr="00061A5F">
        <w:rPr>
          <w:rFonts w:ascii="Times New Roman" w:hAnsi="Times New Roman"/>
          <w:sz w:val="24"/>
          <w:szCs w:val="24"/>
        </w:rPr>
        <w:t xml:space="preserve">in which </w:t>
      </w:r>
      <w:r w:rsidRPr="00061A5F">
        <w:rPr>
          <w:rFonts w:ascii="Times New Roman" w:hAnsi="Times New Roman"/>
          <w:sz w:val="24"/>
          <w:szCs w:val="24"/>
        </w:rPr>
        <w:t>instrument</w:t>
      </w:r>
      <w:r w:rsidR="00C302CC" w:rsidRPr="00061A5F">
        <w:rPr>
          <w:rFonts w:ascii="Times New Roman" w:hAnsi="Times New Roman"/>
          <w:sz w:val="24"/>
          <w:szCs w:val="24"/>
        </w:rPr>
        <w:t>s</w:t>
      </w:r>
      <w:r w:rsidRPr="00061A5F">
        <w:rPr>
          <w:rFonts w:ascii="Times New Roman" w:hAnsi="Times New Roman"/>
          <w:sz w:val="24"/>
          <w:szCs w:val="24"/>
        </w:rPr>
        <w:t xml:space="preserve"> </w:t>
      </w:r>
      <w:r w:rsidR="00C302CC" w:rsidRPr="00061A5F">
        <w:rPr>
          <w:rFonts w:ascii="Times New Roman" w:hAnsi="Times New Roman"/>
          <w:sz w:val="24"/>
          <w:szCs w:val="24"/>
        </w:rPr>
        <w:t xml:space="preserve">are provided </w:t>
      </w:r>
      <w:r w:rsidRPr="00061A5F">
        <w:rPr>
          <w:rFonts w:ascii="Times New Roman" w:hAnsi="Times New Roman"/>
          <w:sz w:val="24"/>
          <w:szCs w:val="24"/>
        </w:rPr>
        <w:t xml:space="preserve">by first differences. Additionally, system GMM is </w:t>
      </w:r>
      <w:r w:rsidR="00312699" w:rsidRPr="00061A5F">
        <w:rPr>
          <w:rFonts w:ascii="Times New Roman" w:hAnsi="Times New Roman"/>
          <w:sz w:val="24"/>
          <w:szCs w:val="24"/>
        </w:rPr>
        <w:t>more comprehensive than difference</w:t>
      </w:r>
      <w:r w:rsidRPr="00061A5F">
        <w:rPr>
          <w:rFonts w:ascii="Times New Roman" w:hAnsi="Times New Roman"/>
          <w:sz w:val="24"/>
          <w:szCs w:val="24"/>
        </w:rPr>
        <w:t xml:space="preserve"> GMM, since lagged levels (used in difference GMM) are argued to be poor instruments for first differenced variables, especially for variables that are close to a random walk, which is frequently the case with macroeconomic variables (Baum, 2006). </w:t>
      </w:r>
    </w:p>
    <w:p w14:paraId="0D38027C" w14:textId="77777777" w:rsidR="00FD5D89" w:rsidRPr="00061A5F" w:rsidRDefault="00FD5D89" w:rsidP="007F5D0E">
      <w:pPr>
        <w:autoSpaceDE w:val="0"/>
        <w:autoSpaceDN w:val="0"/>
        <w:adjustRightInd w:val="0"/>
        <w:spacing w:line="276" w:lineRule="auto"/>
        <w:jc w:val="both"/>
        <w:rPr>
          <w:rFonts w:ascii="Times New Roman" w:hAnsi="Times New Roman"/>
          <w:sz w:val="24"/>
          <w:szCs w:val="24"/>
        </w:rPr>
      </w:pPr>
    </w:p>
    <w:p w14:paraId="2C4E27AE" w14:textId="1D5F787D" w:rsidR="00DF1E3B" w:rsidRPr="00061A5F" w:rsidRDefault="00E5320B" w:rsidP="007F5D0E">
      <w:pPr>
        <w:autoSpaceDE w:val="0"/>
        <w:autoSpaceDN w:val="0"/>
        <w:adjustRightInd w:val="0"/>
        <w:spacing w:line="276" w:lineRule="auto"/>
        <w:jc w:val="both"/>
        <w:rPr>
          <w:rFonts w:ascii="Times New Roman" w:hAnsi="Times New Roman"/>
          <w:sz w:val="24"/>
          <w:szCs w:val="24"/>
        </w:rPr>
      </w:pPr>
      <w:r w:rsidRPr="00061A5F">
        <w:rPr>
          <w:rFonts w:ascii="Times New Roman" w:hAnsi="Times New Roman"/>
          <w:sz w:val="24"/>
          <w:szCs w:val="24"/>
        </w:rPr>
        <w:t xml:space="preserve">Equation </w:t>
      </w:r>
      <w:r w:rsidR="005536A6" w:rsidRPr="00061A5F">
        <w:rPr>
          <w:rFonts w:ascii="Times New Roman" w:hAnsi="Times New Roman"/>
          <w:sz w:val="24"/>
          <w:szCs w:val="24"/>
        </w:rPr>
        <w:t>1</w:t>
      </w:r>
      <w:r w:rsidRPr="00061A5F">
        <w:rPr>
          <w:rFonts w:ascii="Times New Roman" w:hAnsi="Times New Roman"/>
          <w:sz w:val="24"/>
          <w:szCs w:val="24"/>
        </w:rPr>
        <w:t xml:space="preserve"> </w:t>
      </w:r>
      <w:r w:rsidR="00C3557A" w:rsidRPr="00061A5F">
        <w:rPr>
          <w:rFonts w:ascii="Times New Roman" w:hAnsi="Times New Roman"/>
          <w:sz w:val="24"/>
          <w:szCs w:val="24"/>
        </w:rPr>
        <w:t xml:space="preserve">is first estimated </w:t>
      </w:r>
      <w:r w:rsidR="00481591" w:rsidRPr="00061A5F">
        <w:rPr>
          <w:rFonts w:ascii="Times New Roman" w:hAnsi="Times New Roman"/>
          <w:sz w:val="24"/>
          <w:szCs w:val="24"/>
        </w:rPr>
        <w:t>without and then</w:t>
      </w:r>
      <w:r w:rsidRPr="00061A5F">
        <w:rPr>
          <w:rFonts w:ascii="Times New Roman" w:hAnsi="Times New Roman"/>
          <w:sz w:val="24"/>
          <w:szCs w:val="24"/>
        </w:rPr>
        <w:t xml:space="preserve"> </w:t>
      </w:r>
      <w:r w:rsidR="00D76569" w:rsidRPr="00061A5F">
        <w:rPr>
          <w:rFonts w:ascii="Times New Roman" w:hAnsi="Times New Roman"/>
          <w:sz w:val="24"/>
          <w:szCs w:val="24"/>
        </w:rPr>
        <w:t xml:space="preserve">with the </w:t>
      </w:r>
      <w:r w:rsidRPr="00061A5F">
        <w:rPr>
          <w:rFonts w:ascii="Times New Roman" w:hAnsi="Times New Roman"/>
          <w:sz w:val="24"/>
          <w:szCs w:val="24"/>
        </w:rPr>
        <w:t xml:space="preserve">interaction between money supply and CBA. </w:t>
      </w:r>
      <w:r w:rsidR="009408EE" w:rsidRPr="00061A5F">
        <w:rPr>
          <w:rFonts w:ascii="Times New Roman" w:hAnsi="Times New Roman"/>
          <w:sz w:val="24"/>
          <w:szCs w:val="24"/>
        </w:rPr>
        <w:t xml:space="preserve">Due to </w:t>
      </w:r>
      <w:r w:rsidR="00950444" w:rsidRPr="00061A5F">
        <w:rPr>
          <w:rFonts w:ascii="Times New Roman" w:hAnsi="Times New Roman"/>
          <w:sz w:val="24"/>
          <w:szCs w:val="24"/>
        </w:rPr>
        <w:t>the</w:t>
      </w:r>
      <w:r w:rsidR="009408EE" w:rsidRPr="00061A5F">
        <w:rPr>
          <w:rFonts w:ascii="Times New Roman" w:hAnsi="Times New Roman"/>
          <w:sz w:val="24"/>
          <w:szCs w:val="24"/>
        </w:rPr>
        <w:t xml:space="preserve"> small sample</w:t>
      </w:r>
      <w:r w:rsidR="005B763D" w:rsidRPr="00061A5F">
        <w:rPr>
          <w:rFonts w:ascii="Times New Roman" w:hAnsi="Times New Roman"/>
          <w:sz w:val="24"/>
          <w:szCs w:val="24"/>
        </w:rPr>
        <w:t>,</w:t>
      </w:r>
      <w:r w:rsidR="009408EE" w:rsidRPr="00061A5F">
        <w:rPr>
          <w:rFonts w:ascii="Times New Roman" w:hAnsi="Times New Roman"/>
          <w:sz w:val="24"/>
          <w:szCs w:val="24"/>
        </w:rPr>
        <w:t xml:space="preserve"> the minimum number of lags</w:t>
      </w:r>
      <w:r w:rsidR="00C3557A" w:rsidRPr="00061A5F">
        <w:rPr>
          <w:rFonts w:ascii="Times New Roman" w:hAnsi="Times New Roman"/>
          <w:sz w:val="24"/>
          <w:szCs w:val="24"/>
        </w:rPr>
        <w:t xml:space="preserve"> was used</w:t>
      </w:r>
      <w:r w:rsidR="009408EE" w:rsidRPr="00061A5F">
        <w:rPr>
          <w:rFonts w:ascii="Times New Roman" w:hAnsi="Times New Roman"/>
          <w:sz w:val="24"/>
          <w:szCs w:val="24"/>
        </w:rPr>
        <w:t xml:space="preserve">. However, even with a minimum number of lags </w:t>
      </w:r>
      <w:r w:rsidR="00531432" w:rsidRPr="00061A5F">
        <w:rPr>
          <w:rFonts w:ascii="Times New Roman" w:hAnsi="Times New Roman"/>
          <w:sz w:val="24"/>
          <w:szCs w:val="24"/>
        </w:rPr>
        <w:t>the number of</w:t>
      </w:r>
      <w:r w:rsidR="009408EE" w:rsidRPr="00061A5F">
        <w:rPr>
          <w:rFonts w:ascii="Times New Roman" w:hAnsi="Times New Roman"/>
          <w:sz w:val="24"/>
          <w:szCs w:val="24"/>
        </w:rPr>
        <w:t xml:space="preserve"> instruments</w:t>
      </w:r>
      <w:r w:rsidR="00531432" w:rsidRPr="00061A5F">
        <w:rPr>
          <w:rFonts w:ascii="Times New Roman" w:hAnsi="Times New Roman"/>
          <w:sz w:val="24"/>
          <w:szCs w:val="24"/>
        </w:rPr>
        <w:t xml:space="preserve"> exceeds the </w:t>
      </w:r>
      <w:r w:rsidR="00C302CC" w:rsidRPr="00061A5F">
        <w:rPr>
          <w:rFonts w:ascii="Times New Roman" w:hAnsi="Times New Roman"/>
          <w:sz w:val="24"/>
          <w:szCs w:val="24"/>
        </w:rPr>
        <w:t xml:space="preserve">number of </w:t>
      </w:r>
      <w:r w:rsidR="009408EE" w:rsidRPr="00061A5F">
        <w:rPr>
          <w:rFonts w:ascii="Times New Roman" w:hAnsi="Times New Roman"/>
          <w:sz w:val="24"/>
          <w:szCs w:val="24"/>
        </w:rPr>
        <w:t>groups</w:t>
      </w:r>
      <w:r w:rsidR="00531432" w:rsidRPr="00061A5F">
        <w:rPr>
          <w:rFonts w:ascii="Times New Roman" w:hAnsi="Times New Roman"/>
          <w:sz w:val="24"/>
          <w:szCs w:val="24"/>
        </w:rPr>
        <w:t xml:space="preserve"> </w:t>
      </w:r>
      <w:r w:rsidR="009408EE" w:rsidRPr="00061A5F">
        <w:rPr>
          <w:rFonts w:ascii="Times New Roman" w:hAnsi="Times New Roman"/>
          <w:sz w:val="24"/>
          <w:szCs w:val="24"/>
        </w:rPr>
        <w:t xml:space="preserve">(the number </w:t>
      </w:r>
      <w:r w:rsidR="009408EE" w:rsidRPr="00061A5F">
        <w:rPr>
          <w:rFonts w:ascii="Times New Roman" w:hAnsi="Times New Roman"/>
          <w:sz w:val="24"/>
          <w:szCs w:val="24"/>
        </w:rPr>
        <w:lastRenderedPageBreak/>
        <w:t>of instrumen</w:t>
      </w:r>
      <w:r w:rsidR="00753582" w:rsidRPr="00061A5F">
        <w:rPr>
          <w:rFonts w:ascii="Times New Roman" w:hAnsi="Times New Roman"/>
          <w:sz w:val="24"/>
          <w:szCs w:val="24"/>
        </w:rPr>
        <w:t>ts for each specification are 93, 118</w:t>
      </w:r>
      <w:r w:rsidR="00BF78AA" w:rsidRPr="00061A5F">
        <w:rPr>
          <w:rFonts w:ascii="Times New Roman" w:hAnsi="Times New Roman"/>
          <w:sz w:val="24"/>
          <w:szCs w:val="24"/>
        </w:rPr>
        <w:t xml:space="preserve"> and</w:t>
      </w:r>
      <w:r w:rsidR="00753582" w:rsidRPr="00061A5F">
        <w:rPr>
          <w:rFonts w:ascii="Times New Roman" w:hAnsi="Times New Roman"/>
          <w:sz w:val="24"/>
          <w:szCs w:val="24"/>
        </w:rPr>
        <w:t xml:space="preserve"> 119</w:t>
      </w:r>
      <w:r w:rsidR="009408EE" w:rsidRPr="00061A5F">
        <w:rPr>
          <w:rFonts w:ascii="Times New Roman" w:hAnsi="Times New Roman"/>
          <w:sz w:val="24"/>
          <w:szCs w:val="24"/>
        </w:rPr>
        <w:t xml:space="preserve">, respectively, while the </w:t>
      </w:r>
      <w:r w:rsidR="00753582" w:rsidRPr="00061A5F">
        <w:rPr>
          <w:rFonts w:ascii="Times New Roman" w:hAnsi="Times New Roman"/>
          <w:sz w:val="24"/>
          <w:szCs w:val="24"/>
        </w:rPr>
        <w:t>number of groups is 25 (as noted in Table 2</w:t>
      </w:r>
      <w:r w:rsidR="00F06E4C" w:rsidRPr="00061A5F">
        <w:rPr>
          <w:rFonts w:ascii="Times New Roman" w:hAnsi="Times New Roman"/>
          <w:sz w:val="24"/>
          <w:szCs w:val="24"/>
        </w:rPr>
        <w:t>a</w:t>
      </w:r>
      <w:r w:rsidR="009408EE" w:rsidRPr="00061A5F">
        <w:rPr>
          <w:rFonts w:ascii="Times New Roman" w:hAnsi="Times New Roman"/>
          <w:sz w:val="24"/>
          <w:szCs w:val="24"/>
        </w:rPr>
        <w:t xml:space="preserve">). Consequently, the Hansen version of the </w:t>
      </w:r>
      <w:proofErr w:type="spellStart"/>
      <w:r w:rsidR="009408EE" w:rsidRPr="00061A5F">
        <w:rPr>
          <w:rFonts w:ascii="Times New Roman" w:hAnsi="Times New Roman"/>
          <w:sz w:val="24"/>
          <w:szCs w:val="24"/>
        </w:rPr>
        <w:t>Sargan</w:t>
      </w:r>
      <w:proofErr w:type="spellEnd"/>
      <w:r w:rsidR="009408EE" w:rsidRPr="00061A5F">
        <w:rPr>
          <w:rFonts w:ascii="Times New Roman" w:hAnsi="Times New Roman"/>
          <w:sz w:val="24"/>
          <w:szCs w:val="24"/>
        </w:rPr>
        <w:t xml:space="preserve"> test is weak</w:t>
      </w:r>
      <w:r w:rsidR="00F00D5D" w:rsidRPr="00061A5F">
        <w:rPr>
          <w:rFonts w:ascii="Times New Roman" w:hAnsi="Times New Roman"/>
          <w:sz w:val="24"/>
          <w:szCs w:val="24"/>
        </w:rPr>
        <w:t xml:space="preserve"> – </w:t>
      </w:r>
      <w:r w:rsidR="009408EE" w:rsidRPr="00061A5F">
        <w:rPr>
          <w:rFonts w:ascii="Times New Roman" w:hAnsi="Times New Roman"/>
          <w:sz w:val="24"/>
          <w:szCs w:val="24"/>
        </w:rPr>
        <w:t>indicated</w:t>
      </w:r>
      <w:r w:rsidR="00F00D5D" w:rsidRPr="00061A5F">
        <w:rPr>
          <w:rFonts w:ascii="Times New Roman" w:hAnsi="Times New Roman"/>
          <w:sz w:val="24"/>
          <w:szCs w:val="24"/>
        </w:rPr>
        <w:t xml:space="preserve"> </w:t>
      </w:r>
      <w:r w:rsidR="009408EE" w:rsidRPr="00061A5F">
        <w:rPr>
          <w:rFonts w:ascii="Times New Roman" w:hAnsi="Times New Roman"/>
          <w:sz w:val="24"/>
          <w:szCs w:val="24"/>
        </w:rPr>
        <w:t>by the p-value = 1.00</w:t>
      </w:r>
      <w:r w:rsidR="00F00D5D" w:rsidRPr="00061A5F">
        <w:rPr>
          <w:rFonts w:ascii="Times New Roman" w:hAnsi="Times New Roman"/>
          <w:sz w:val="24"/>
          <w:szCs w:val="24"/>
        </w:rPr>
        <w:t xml:space="preserve"> –</w:t>
      </w:r>
      <w:r w:rsidR="009408EE" w:rsidRPr="00061A5F">
        <w:rPr>
          <w:rFonts w:ascii="Times New Roman" w:hAnsi="Times New Roman"/>
          <w:sz w:val="24"/>
          <w:szCs w:val="24"/>
        </w:rPr>
        <w:t xml:space="preserve"> meaning</w:t>
      </w:r>
      <w:r w:rsidR="00F00D5D" w:rsidRPr="00061A5F">
        <w:rPr>
          <w:rFonts w:ascii="Times New Roman" w:hAnsi="Times New Roman"/>
          <w:sz w:val="24"/>
          <w:szCs w:val="24"/>
        </w:rPr>
        <w:t xml:space="preserve"> </w:t>
      </w:r>
      <w:r w:rsidR="009408EE" w:rsidRPr="00061A5F">
        <w:rPr>
          <w:rFonts w:ascii="Times New Roman" w:hAnsi="Times New Roman"/>
          <w:sz w:val="24"/>
          <w:szCs w:val="24"/>
        </w:rPr>
        <w:t xml:space="preserve">that it is unable to reject the null hypothesis of instrument validity (strictly, the validity of the over-identifying instruments). However, the </w:t>
      </w:r>
      <w:proofErr w:type="spellStart"/>
      <w:r w:rsidR="009408EE" w:rsidRPr="00061A5F">
        <w:rPr>
          <w:rFonts w:ascii="Times New Roman" w:hAnsi="Times New Roman"/>
          <w:sz w:val="24"/>
          <w:szCs w:val="24"/>
        </w:rPr>
        <w:t>Sargan</w:t>
      </w:r>
      <w:proofErr w:type="spellEnd"/>
      <w:r w:rsidR="009408EE" w:rsidRPr="00061A5F">
        <w:rPr>
          <w:rFonts w:ascii="Times New Roman" w:hAnsi="Times New Roman"/>
          <w:sz w:val="24"/>
          <w:szCs w:val="24"/>
        </w:rPr>
        <w:t xml:space="preserve"> test is available </w:t>
      </w:r>
      <w:r w:rsidR="002F7755" w:rsidRPr="00061A5F">
        <w:rPr>
          <w:rFonts w:ascii="Times New Roman" w:hAnsi="Times New Roman"/>
          <w:sz w:val="24"/>
          <w:szCs w:val="24"/>
        </w:rPr>
        <w:t xml:space="preserve">(reported </w:t>
      </w:r>
      <w:r w:rsidR="00F06E4C" w:rsidRPr="00061A5F">
        <w:rPr>
          <w:rFonts w:ascii="Times New Roman" w:hAnsi="Times New Roman"/>
          <w:sz w:val="24"/>
          <w:szCs w:val="24"/>
        </w:rPr>
        <w:t>at the end of</w:t>
      </w:r>
      <w:r w:rsidR="002F7755" w:rsidRPr="00061A5F">
        <w:rPr>
          <w:rFonts w:ascii="Times New Roman" w:hAnsi="Times New Roman"/>
          <w:sz w:val="24"/>
          <w:szCs w:val="24"/>
        </w:rPr>
        <w:t xml:space="preserve"> Table 2</w:t>
      </w:r>
      <w:r w:rsidR="00F06E4C" w:rsidRPr="00061A5F">
        <w:rPr>
          <w:rFonts w:ascii="Times New Roman" w:hAnsi="Times New Roman"/>
          <w:sz w:val="24"/>
          <w:szCs w:val="24"/>
        </w:rPr>
        <w:t>a</w:t>
      </w:r>
      <w:r w:rsidR="002F7755" w:rsidRPr="00061A5F">
        <w:rPr>
          <w:rFonts w:ascii="Times New Roman" w:hAnsi="Times New Roman"/>
          <w:sz w:val="24"/>
          <w:szCs w:val="24"/>
        </w:rPr>
        <w:t xml:space="preserve">) </w:t>
      </w:r>
      <w:r w:rsidR="009408EE" w:rsidRPr="00061A5F">
        <w:rPr>
          <w:rFonts w:ascii="Times New Roman" w:hAnsi="Times New Roman"/>
          <w:sz w:val="24"/>
          <w:szCs w:val="24"/>
        </w:rPr>
        <w:t xml:space="preserve">and suggests that there is no problem with </w:t>
      </w:r>
      <w:r w:rsidRPr="00061A5F">
        <w:rPr>
          <w:rFonts w:ascii="Times New Roman" w:hAnsi="Times New Roman"/>
          <w:sz w:val="24"/>
          <w:szCs w:val="24"/>
        </w:rPr>
        <w:t>instrument validity</w:t>
      </w:r>
      <w:r w:rsidR="005D29AE" w:rsidRPr="00061A5F">
        <w:rPr>
          <w:rFonts w:ascii="Times New Roman" w:hAnsi="Times New Roman"/>
          <w:sz w:val="24"/>
          <w:szCs w:val="24"/>
        </w:rPr>
        <w:t xml:space="preserve"> when interaction terms are included</w:t>
      </w:r>
      <w:r w:rsidR="009408EE" w:rsidRPr="00061A5F">
        <w:rPr>
          <w:rFonts w:ascii="Times New Roman" w:hAnsi="Times New Roman"/>
          <w:sz w:val="24"/>
          <w:szCs w:val="24"/>
        </w:rPr>
        <w:t xml:space="preserve">. Moreover, tests </w:t>
      </w:r>
      <w:r w:rsidR="00C302CC" w:rsidRPr="00061A5F">
        <w:rPr>
          <w:rFonts w:ascii="Times New Roman" w:hAnsi="Times New Roman"/>
          <w:sz w:val="24"/>
          <w:szCs w:val="24"/>
        </w:rPr>
        <w:t>reported in Table 2</w:t>
      </w:r>
      <w:r w:rsidR="00F06E4C" w:rsidRPr="00061A5F">
        <w:rPr>
          <w:rFonts w:ascii="Times New Roman" w:hAnsi="Times New Roman"/>
          <w:sz w:val="24"/>
          <w:szCs w:val="24"/>
        </w:rPr>
        <w:t>a</w:t>
      </w:r>
      <w:r w:rsidR="00C302CC" w:rsidRPr="00061A5F">
        <w:rPr>
          <w:rFonts w:ascii="Times New Roman" w:hAnsi="Times New Roman"/>
          <w:sz w:val="24"/>
          <w:szCs w:val="24"/>
        </w:rPr>
        <w:t xml:space="preserve"> </w:t>
      </w:r>
      <w:r w:rsidR="009408EE" w:rsidRPr="00061A5F">
        <w:rPr>
          <w:rFonts w:ascii="Times New Roman" w:hAnsi="Times New Roman"/>
          <w:sz w:val="24"/>
          <w:szCs w:val="24"/>
        </w:rPr>
        <w:t>for the first</w:t>
      </w:r>
      <w:r w:rsidR="00BA3006" w:rsidRPr="00061A5F">
        <w:rPr>
          <w:rFonts w:ascii="Times New Roman" w:hAnsi="Times New Roman"/>
          <w:sz w:val="24"/>
          <w:szCs w:val="24"/>
        </w:rPr>
        <w:t>-</w:t>
      </w:r>
      <w:r w:rsidR="009408EE" w:rsidRPr="00061A5F">
        <w:rPr>
          <w:rFonts w:ascii="Times New Roman" w:hAnsi="Times New Roman"/>
          <w:sz w:val="24"/>
          <w:szCs w:val="24"/>
        </w:rPr>
        <w:t xml:space="preserve"> (m1) and second</w:t>
      </w:r>
      <w:r w:rsidR="00BA3006" w:rsidRPr="00061A5F">
        <w:rPr>
          <w:rFonts w:ascii="Times New Roman" w:hAnsi="Times New Roman"/>
          <w:sz w:val="24"/>
          <w:szCs w:val="24"/>
        </w:rPr>
        <w:t>-</w:t>
      </w:r>
      <w:r w:rsidR="009408EE" w:rsidRPr="00061A5F">
        <w:rPr>
          <w:rFonts w:ascii="Times New Roman" w:hAnsi="Times New Roman"/>
          <w:sz w:val="24"/>
          <w:szCs w:val="24"/>
        </w:rPr>
        <w:t>order autocorrelation (m2) suggest no problem with autocorrelation in the difference</w:t>
      </w:r>
      <w:r w:rsidR="00BA3006" w:rsidRPr="00061A5F">
        <w:rPr>
          <w:rFonts w:ascii="Times New Roman" w:hAnsi="Times New Roman"/>
          <w:sz w:val="24"/>
          <w:szCs w:val="24"/>
        </w:rPr>
        <w:t>d</w:t>
      </w:r>
      <w:r w:rsidR="009408EE" w:rsidRPr="00061A5F">
        <w:rPr>
          <w:rFonts w:ascii="Times New Roman" w:hAnsi="Times New Roman"/>
          <w:sz w:val="24"/>
          <w:szCs w:val="24"/>
        </w:rPr>
        <w:t xml:space="preserve"> residuals, which is </w:t>
      </w:r>
      <w:r w:rsidR="00BF78AA" w:rsidRPr="00061A5F">
        <w:rPr>
          <w:rFonts w:ascii="Times New Roman" w:hAnsi="Times New Roman"/>
          <w:sz w:val="24"/>
          <w:szCs w:val="24"/>
        </w:rPr>
        <w:t xml:space="preserve">likewise </w:t>
      </w:r>
      <w:r w:rsidR="009408EE" w:rsidRPr="00061A5F">
        <w:rPr>
          <w:rFonts w:ascii="Times New Roman" w:hAnsi="Times New Roman"/>
          <w:sz w:val="24"/>
          <w:szCs w:val="24"/>
        </w:rPr>
        <w:t xml:space="preserve">consistent with instrument validity. </w:t>
      </w:r>
      <w:bookmarkStart w:id="69" w:name="_Toc418088431"/>
    </w:p>
    <w:p w14:paraId="0C815F06" w14:textId="102AC237" w:rsidR="00AF0E8F" w:rsidRPr="00061A5F" w:rsidRDefault="00AF0E8F" w:rsidP="007F5D0E">
      <w:pPr>
        <w:autoSpaceDE w:val="0"/>
        <w:autoSpaceDN w:val="0"/>
        <w:adjustRightInd w:val="0"/>
        <w:spacing w:line="276" w:lineRule="auto"/>
        <w:jc w:val="both"/>
        <w:rPr>
          <w:rFonts w:ascii="Times New Roman" w:hAnsi="Times New Roman"/>
          <w:sz w:val="24"/>
          <w:szCs w:val="24"/>
        </w:rPr>
      </w:pPr>
    </w:p>
    <w:p w14:paraId="12EC4D09" w14:textId="26D4A7E3" w:rsidR="005009EB" w:rsidRPr="00061A5F" w:rsidRDefault="002F7755" w:rsidP="005009EB">
      <w:pPr>
        <w:autoSpaceDE w:val="0"/>
        <w:autoSpaceDN w:val="0"/>
        <w:adjustRightInd w:val="0"/>
        <w:spacing w:line="276" w:lineRule="auto"/>
        <w:jc w:val="both"/>
        <w:rPr>
          <w:rFonts w:ascii="Times New Roman" w:hAnsi="Times New Roman"/>
          <w:sz w:val="24"/>
          <w:szCs w:val="24"/>
        </w:rPr>
      </w:pPr>
      <w:r w:rsidRPr="00061A5F">
        <w:rPr>
          <w:rFonts w:ascii="Times New Roman" w:hAnsi="Times New Roman"/>
          <w:sz w:val="24"/>
          <w:szCs w:val="24"/>
        </w:rPr>
        <w:t>Since Equation 2 contain</w:t>
      </w:r>
      <w:r w:rsidR="00BA3006" w:rsidRPr="00061A5F">
        <w:rPr>
          <w:rFonts w:ascii="Times New Roman" w:hAnsi="Times New Roman"/>
          <w:sz w:val="24"/>
          <w:szCs w:val="24"/>
        </w:rPr>
        <w:t>s</w:t>
      </w:r>
      <w:r w:rsidRPr="00061A5F">
        <w:rPr>
          <w:rFonts w:ascii="Times New Roman" w:hAnsi="Times New Roman"/>
          <w:sz w:val="24"/>
          <w:szCs w:val="24"/>
        </w:rPr>
        <w:t xml:space="preserve"> interaction terms</w:t>
      </w:r>
      <w:r w:rsidR="00BA3006" w:rsidRPr="00061A5F">
        <w:rPr>
          <w:rFonts w:ascii="Times New Roman" w:hAnsi="Times New Roman"/>
          <w:sz w:val="24"/>
          <w:szCs w:val="24"/>
        </w:rPr>
        <w:t>,</w:t>
      </w:r>
      <w:r w:rsidRPr="00061A5F">
        <w:rPr>
          <w:rFonts w:ascii="Times New Roman" w:hAnsi="Times New Roman"/>
          <w:sz w:val="24"/>
          <w:szCs w:val="24"/>
        </w:rPr>
        <w:t xml:space="preserve"> we conduct a two-stage procedure and report results from: </w:t>
      </w:r>
      <w:r w:rsidR="00DA6B34" w:rsidRPr="00061A5F">
        <w:rPr>
          <w:rFonts w:ascii="Times New Roman" w:hAnsi="Times New Roman"/>
          <w:sz w:val="24"/>
          <w:szCs w:val="24"/>
        </w:rPr>
        <w:t xml:space="preserve">both </w:t>
      </w:r>
      <w:r w:rsidRPr="00061A5F">
        <w:rPr>
          <w:rFonts w:ascii="Times New Roman" w:hAnsi="Times New Roman"/>
          <w:sz w:val="24"/>
          <w:szCs w:val="24"/>
        </w:rPr>
        <w:t>(</w:t>
      </w:r>
      <w:proofErr w:type="spellStart"/>
      <w:r w:rsidRPr="00061A5F">
        <w:rPr>
          <w:rFonts w:ascii="Times New Roman" w:hAnsi="Times New Roman"/>
          <w:sz w:val="24"/>
          <w:szCs w:val="24"/>
        </w:rPr>
        <w:t>i</w:t>
      </w:r>
      <w:proofErr w:type="spellEnd"/>
      <w:r w:rsidRPr="00061A5F">
        <w:rPr>
          <w:rFonts w:ascii="Times New Roman" w:hAnsi="Times New Roman"/>
          <w:sz w:val="24"/>
          <w:szCs w:val="24"/>
        </w:rPr>
        <w:t xml:space="preserve">) estimation, including the constant term and the two interaction terms; and (ii) the marginal effects derived post-estimation from these </w:t>
      </w:r>
      <w:r w:rsidR="00DA6B34" w:rsidRPr="00061A5F">
        <w:rPr>
          <w:rFonts w:ascii="Times New Roman" w:hAnsi="Times New Roman"/>
          <w:sz w:val="24"/>
          <w:szCs w:val="24"/>
        </w:rPr>
        <w:t>regression</w:t>
      </w:r>
      <w:r w:rsidRPr="00061A5F">
        <w:rPr>
          <w:rFonts w:ascii="Times New Roman" w:hAnsi="Times New Roman"/>
          <w:sz w:val="24"/>
          <w:szCs w:val="24"/>
        </w:rPr>
        <w:t xml:space="preserve"> estimates. The results in Table 2b are from the post-estimation “margins” command and these will be discussed</w:t>
      </w:r>
      <w:r w:rsidR="00C302CC" w:rsidRPr="00061A5F">
        <w:rPr>
          <w:rFonts w:ascii="Times New Roman" w:hAnsi="Times New Roman"/>
          <w:sz w:val="24"/>
          <w:szCs w:val="24"/>
        </w:rPr>
        <w:t>,</w:t>
      </w:r>
      <w:r w:rsidRPr="00061A5F">
        <w:rPr>
          <w:rFonts w:ascii="Times New Roman" w:hAnsi="Times New Roman"/>
          <w:sz w:val="24"/>
          <w:szCs w:val="24"/>
        </w:rPr>
        <w:t xml:space="preserve"> since regression results with interaction terms require post-estimation of marginal effects, as coefficients on interaction terms and variables which are part of interaction term cannot be interpreted in a sensible way on their own, but are a platform for calculation of marginal effects. Hence, in Table 2b there are no separate estimates for the constant term or the interaction terms. The marginal effects take into account that the CBA is part of the interaction terms (since these are included in the regression prior to the calculation of the marginal effects), even though the marginal effect of the interaction term cannot be observed separately from the “margins” </w:t>
      </w:r>
      <w:r w:rsidR="00EB3B88" w:rsidRPr="00061A5F">
        <w:rPr>
          <w:rFonts w:ascii="Times New Roman" w:eastAsia="Calibri" w:hAnsi="Times New Roman"/>
          <w:color w:val="000000"/>
          <w:sz w:val="24"/>
          <w:szCs w:val="24"/>
        </w:rPr>
        <w:t>results.</w:t>
      </w:r>
      <w:r w:rsidR="00EB3B88" w:rsidRPr="00061A5F">
        <w:rPr>
          <w:rStyle w:val="FootnoteReference"/>
          <w:rFonts w:ascii="Times New Roman" w:eastAsia="Calibri" w:hAnsi="Times New Roman"/>
          <w:color w:val="000000"/>
          <w:sz w:val="24"/>
          <w:szCs w:val="24"/>
        </w:rPr>
        <w:footnoteReference w:id="9"/>
      </w:r>
      <w:r w:rsidR="00EB3B88" w:rsidRPr="00061A5F">
        <w:rPr>
          <w:rFonts w:ascii="Times New Roman" w:eastAsia="Calibri" w:hAnsi="Times New Roman"/>
          <w:color w:val="000000"/>
          <w:sz w:val="24"/>
          <w:szCs w:val="24"/>
        </w:rPr>
        <w:t xml:space="preserve"> </w:t>
      </w:r>
      <w:r w:rsidRPr="00061A5F">
        <w:rPr>
          <w:rFonts w:ascii="Times New Roman" w:hAnsi="Times New Roman"/>
          <w:sz w:val="24"/>
          <w:szCs w:val="24"/>
        </w:rPr>
        <w:t>T</w:t>
      </w:r>
      <w:r w:rsidR="00C302CC" w:rsidRPr="00061A5F">
        <w:rPr>
          <w:rFonts w:ascii="Times New Roman" w:hAnsi="Times New Roman"/>
          <w:sz w:val="24"/>
          <w:szCs w:val="24"/>
        </w:rPr>
        <w:t>o aid interpretation, t</w:t>
      </w:r>
      <w:r w:rsidRPr="00061A5F">
        <w:rPr>
          <w:rFonts w:ascii="Times New Roman" w:hAnsi="Times New Roman"/>
          <w:sz w:val="24"/>
          <w:szCs w:val="24"/>
        </w:rPr>
        <w:t>he effect</w:t>
      </w:r>
      <w:r w:rsidR="00C302CC" w:rsidRPr="00061A5F">
        <w:rPr>
          <w:rFonts w:ascii="Times New Roman" w:hAnsi="Times New Roman"/>
          <w:sz w:val="24"/>
          <w:szCs w:val="24"/>
        </w:rPr>
        <w:t>s</w:t>
      </w:r>
      <w:r w:rsidRPr="00061A5F">
        <w:rPr>
          <w:rFonts w:ascii="Times New Roman" w:hAnsi="Times New Roman"/>
          <w:sz w:val="24"/>
          <w:szCs w:val="24"/>
        </w:rPr>
        <w:t xml:space="preserve"> of interaction</w:t>
      </w:r>
      <w:r w:rsidR="00C302CC" w:rsidRPr="00061A5F">
        <w:rPr>
          <w:rFonts w:ascii="Times New Roman" w:hAnsi="Times New Roman"/>
          <w:sz w:val="24"/>
          <w:szCs w:val="24"/>
        </w:rPr>
        <w:t>s</w:t>
      </w:r>
      <w:r w:rsidRPr="00061A5F">
        <w:rPr>
          <w:rFonts w:ascii="Times New Roman" w:hAnsi="Times New Roman"/>
          <w:sz w:val="24"/>
          <w:szCs w:val="24"/>
        </w:rPr>
        <w:t xml:space="preserve"> </w:t>
      </w:r>
      <w:r w:rsidR="00C302CC" w:rsidRPr="00061A5F">
        <w:rPr>
          <w:rFonts w:ascii="Times New Roman" w:hAnsi="Times New Roman"/>
          <w:sz w:val="24"/>
          <w:szCs w:val="24"/>
        </w:rPr>
        <w:t>are</w:t>
      </w:r>
      <w:r w:rsidRPr="00061A5F">
        <w:rPr>
          <w:rFonts w:ascii="Times New Roman" w:hAnsi="Times New Roman"/>
          <w:sz w:val="24"/>
          <w:szCs w:val="24"/>
        </w:rPr>
        <w:t xml:space="preserve"> presented </w:t>
      </w:r>
      <w:r w:rsidR="00C302CC" w:rsidRPr="00061A5F">
        <w:rPr>
          <w:rFonts w:ascii="Times New Roman" w:hAnsi="Times New Roman"/>
          <w:sz w:val="24"/>
          <w:szCs w:val="24"/>
        </w:rPr>
        <w:t xml:space="preserve">graphically </w:t>
      </w:r>
      <w:r w:rsidRPr="00061A5F">
        <w:rPr>
          <w:rFonts w:ascii="Times New Roman" w:hAnsi="Times New Roman"/>
          <w:sz w:val="24"/>
          <w:szCs w:val="24"/>
        </w:rPr>
        <w:t xml:space="preserve">by the </w:t>
      </w:r>
      <w:proofErr w:type="spellStart"/>
      <w:r w:rsidRPr="00061A5F">
        <w:rPr>
          <w:rFonts w:ascii="Times New Roman" w:hAnsi="Times New Roman"/>
          <w:sz w:val="24"/>
          <w:szCs w:val="24"/>
        </w:rPr>
        <w:t>marginsplot</w:t>
      </w:r>
      <w:r w:rsidR="00C302CC" w:rsidRPr="00061A5F">
        <w:rPr>
          <w:rFonts w:ascii="Times New Roman" w:hAnsi="Times New Roman"/>
          <w:sz w:val="24"/>
          <w:szCs w:val="24"/>
        </w:rPr>
        <w:t>s</w:t>
      </w:r>
      <w:proofErr w:type="spellEnd"/>
      <w:r w:rsidRPr="00061A5F">
        <w:rPr>
          <w:rFonts w:ascii="Times New Roman" w:hAnsi="Times New Roman"/>
          <w:sz w:val="24"/>
          <w:szCs w:val="24"/>
        </w:rPr>
        <w:t xml:space="preserve"> below.</w:t>
      </w:r>
      <w:r w:rsidR="005009EB" w:rsidRPr="00061A5F">
        <w:rPr>
          <w:rFonts w:ascii="Times New Roman" w:hAnsi="Times New Roman"/>
          <w:sz w:val="24"/>
          <w:szCs w:val="24"/>
        </w:rPr>
        <w:t xml:space="preserve"> As can be seen from the first results column</w:t>
      </w:r>
      <w:r w:rsidR="00C302CC" w:rsidRPr="00061A5F">
        <w:rPr>
          <w:rFonts w:ascii="Times New Roman" w:hAnsi="Times New Roman"/>
          <w:sz w:val="24"/>
          <w:szCs w:val="24"/>
        </w:rPr>
        <w:t>s</w:t>
      </w:r>
      <w:r w:rsidR="005009EB" w:rsidRPr="00061A5F">
        <w:rPr>
          <w:rFonts w:ascii="Times New Roman" w:hAnsi="Times New Roman"/>
          <w:sz w:val="24"/>
          <w:szCs w:val="24"/>
        </w:rPr>
        <w:t xml:space="preserve"> from Table 2a and Table 2b, for variables that are not interacted the direct estimates and the derived, second-stage estimates are the same. It is only for the interacted variables that we need the second</w:t>
      </w:r>
      <w:r w:rsidR="00C302CC" w:rsidRPr="00061A5F">
        <w:rPr>
          <w:rFonts w:ascii="Times New Roman" w:hAnsi="Times New Roman"/>
          <w:sz w:val="24"/>
          <w:szCs w:val="24"/>
        </w:rPr>
        <w:t>-</w:t>
      </w:r>
      <w:r w:rsidR="005009EB" w:rsidRPr="00061A5F">
        <w:rPr>
          <w:rFonts w:ascii="Times New Roman" w:hAnsi="Times New Roman"/>
          <w:sz w:val="24"/>
          <w:szCs w:val="24"/>
        </w:rPr>
        <w:t>stage derived estimates.</w:t>
      </w:r>
    </w:p>
    <w:p w14:paraId="3719062E" w14:textId="77777777" w:rsidR="00E95A8D" w:rsidRPr="00061A5F" w:rsidRDefault="00E95A8D" w:rsidP="005009EB">
      <w:pPr>
        <w:autoSpaceDE w:val="0"/>
        <w:autoSpaceDN w:val="0"/>
        <w:adjustRightInd w:val="0"/>
        <w:spacing w:line="276" w:lineRule="auto"/>
        <w:jc w:val="both"/>
        <w:rPr>
          <w:rFonts w:ascii="Times New Roman" w:hAnsi="Times New Roman"/>
          <w:sz w:val="24"/>
          <w:szCs w:val="24"/>
        </w:rPr>
      </w:pPr>
    </w:p>
    <w:p w14:paraId="12818A8E" w14:textId="3B4CE162" w:rsidR="00AF0E8F" w:rsidRPr="00061A5F" w:rsidRDefault="00AF0E8F" w:rsidP="007F5D0E">
      <w:pPr>
        <w:autoSpaceDE w:val="0"/>
        <w:autoSpaceDN w:val="0"/>
        <w:adjustRightInd w:val="0"/>
        <w:spacing w:line="276" w:lineRule="auto"/>
        <w:jc w:val="both"/>
        <w:rPr>
          <w:rFonts w:ascii="Times New Roman" w:hAnsi="Times New Roman"/>
          <w:sz w:val="24"/>
          <w:szCs w:val="24"/>
        </w:rPr>
      </w:pPr>
      <w:r w:rsidRPr="00061A5F">
        <w:rPr>
          <w:rFonts w:ascii="Times New Roman" w:hAnsi="Times New Roman"/>
          <w:sz w:val="24"/>
          <w:szCs w:val="24"/>
        </w:rPr>
        <w:t>Table 2a</w:t>
      </w:r>
      <w:r w:rsidR="002255D3" w:rsidRPr="00061A5F">
        <w:rPr>
          <w:rFonts w:ascii="Times New Roman" w:hAnsi="Times New Roman"/>
          <w:sz w:val="24"/>
          <w:szCs w:val="24"/>
        </w:rPr>
        <w:t>.</w:t>
      </w:r>
      <w:r w:rsidR="005009EB" w:rsidRPr="00061A5F">
        <w:rPr>
          <w:rFonts w:ascii="Times New Roman" w:hAnsi="Times New Roman"/>
          <w:sz w:val="24"/>
          <w:szCs w:val="24"/>
        </w:rPr>
        <w:t xml:space="preserve"> Results from the one-step ‘system’ GMM - Estimation of Equations 1</w:t>
      </w:r>
      <w:r w:rsidR="00BA3006" w:rsidRPr="00061A5F">
        <w:rPr>
          <w:rFonts w:ascii="Times New Roman" w:hAnsi="Times New Roman"/>
          <w:sz w:val="24"/>
          <w:szCs w:val="24"/>
        </w:rPr>
        <w:t xml:space="preserve"> and</w:t>
      </w:r>
      <w:r w:rsidR="005009EB" w:rsidRPr="00061A5F">
        <w:rPr>
          <w:rFonts w:ascii="Times New Roman" w:hAnsi="Times New Roman"/>
          <w:sz w:val="24"/>
          <w:szCs w:val="24"/>
        </w:rPr>
        <w:t xml:space="preserve"> 2 </w:t>
      </w:r>
    </w:p>
    <w:tbl>
      <w:tblPr>
        <w:tblStyle w:val="PlainTable1"/>
        <w:tblW w:w="9022" w:type="dxa"/>
        <w:tblLook w:val="04A0" w:firstRow="1" w:lastRow="0" w:firstColumn="1" w:lastColumn="0" w:noHBand="0" w:noVBand="1"/>
      </w:tblPr>
      <w:tblGrid>
        <w:gridCol w:w="4106"/>
        <w:gridCol w:w="2552"/>
        <w:gridCol w:w="2364"/>
      </w:tblGrid>
      <w:tr w:rsidR="00E95A8D" w:rsidRPr="00061A5F" w14:paraId="6C5A78C2" w14:textId="77777777" w:rsidTr="00CD34D9">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0EAD1D11" w14:textId="77777777" w:rsidR="00E95A8D" w:rsidRPr="00061A5F" w:rsidRDefault="00E95A8D" w:rsidP="007F5D0E">
            <w:pPr>
              <w:jc w:val="both"/>
              <w:rPr>
                <w:rFonts w:ascii="Times New Roman" w:eastAsia="Times New Roman" w:hAnsi="Times New Roman"/>
                <w:lang w:eastAsia="en-GB"/>
              </w:rPr>
            </w:pPr>
            <w:r w:rsidRPr="00061A5F">
              <w:rPr>
                <w:rFonts w:ascii="Times New Roman" w:eastAsia="Times New Roman" w:hAnsi="Times New Roman"/>
                <w:lang w:eastAsia="en-GB"/>
              </w:rPr>
              <w:t>Variables</w:t>
            </w:r>
          </w:p>
        </w:tc>
        <w:tc>
          <w:tcPr>
            <w:tcW w:w="2552" w:type="dxa"/>
            <w:noWrap/>
            <w:hideMark/>
          </w:tcPr>
          <w:p w14:paraId="2240C07D" w14:textId="77777777" w:rsidR="00E95A8D" w:rsidRPr="00061A5F" w:rsidRDefault="00E95A8D" w:rsidP="005009E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Equation 1</w:t>
            </w:r>
          </w:p>
        </w:tc>
        <w:tc>
          <w:tcPr>
            <w:tcW w:w="2364" w:type="dxa"/>
            <w:noWrap/>
            <w:hideMark/>
          </w:tcPr>
          <w:p w14:paraId="12734CEA" w14:textId="21D8215F" w:rsidR="00E95A8D" w:rsidRPr="00061A5F" w:rsidRDefault="00E95A8D" w:rsidP="005009E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 xml:space="preserve">Equation </w:t>
            </w:r>
            <w:r w:rsidR="00DA6B34" w:rsidRPr="00061A5F">
              <w:rPr>
                <w:rFonts w:ascii="Times New Roman" w:eastAsia="Times New Roman" w:hAnsi="Times New Roman"/>
                <w:lang w:eastAsia="en-GB"/>
              </w:rPr>
              <w:t>2</w:t>
            </w:r>
          </w:p>
        </w:tc>
      </w:tr>
      <w:tr w:rsidR="00E95A8D" w:rsidRPr="00061A5F" w14:paraId="442FA5E5" w14:textId="77777777" w:rsidTr="00CD34D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65D79CD1" w14:textId="77777777" w:rsidR="00E95A8D" w:rsidRPr="00061A5F" w:rsidRDefault="00E95A8D" w:rsidP="007F5D0E">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L</w:t>
            </w:r>
            <w:proofErr w:type="gramStart"/>
            <w:r w:rsidRPr="00061A5F">
              <w:rPr>
                <w:rFonts w:ascii="Times New Roman" w:eastAsia="Times New Roman" w:hAnsi="Times New Roman"/>
                <w:color w:val="000000"/>
                <w:lang w:eastAsia="en-GB"/>
              </w:rPr>
              <w:t>1.LNINF</w:t>
            </w:r>
            <w:proofErr w:type="gramEnd"/>
          </w:p>
        </w:tc>
        <w:tc>
          <w:tcPr>
            <w:tcW w:w="2552" w:type="dxa"/>
            <w:noWrap/>
            <w:hideMark/>
          </w:tcPr>
          <w:p w14:paraId="1BA7DEF6"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0.411***</w:t>
            </w:r>
          </w:p>
        </w:tc>
        <w:tc>
          <w:tcPr>
            <w:tcW w:w="2364" w:type="dxa"/>
            <w:noWrap/>
            <w:hideMark/>
          </w:tcPr>
          <w:p w14:paraId="208C5F45"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0.410***</w:t>
            </w:r>
          </w:p>
        </w:tc>
      </w:tr>
      <w:tr w:rsidR="00E95A8D" w:rsidRPr="00061A5F" w14:paraId="2F2DD710" w14:textId="77777777" w:rsidTr="00CD34D9">
        <w:trPr>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72FC1522" w14:textId="77777777" w:rsidR="00E95A8D" w:rsidRPr="00061A5F" w:rsidRDefault="00E95A8D" w:rsidP="007F5D0E">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Inflation (lagged)</w:t>
            </w:r>
          </w:p>
        </w:tc>
        <w:tc>
          <w:tcPr>
            <w:tcW w:w="2552" w:type="dxa"/>
            <w:noWrap/>
            <w:hideMark/>
          </w:tcPr>
          <w:p w14:paraId="4BC3BC7A"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(0.0553)</w:t>
            </w:r>
          </w:p>
        </w:tc>
        <w:tc>
          <w:tcPr>
            <w:tcW w:w="2364" w:type="dxa"/>
            <w:noWrap/>
            <w:hideMark/>
          </w:tcPr>
          <w:p w14:paraId="5630F4D8"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(0.0512)</w:t>
            </w:r>
          </w:p>
        </w:tc>
      </w:tr>
      <w:tr w:rsidR="00E95A8D" w:rsidRPr="00061A5F" w14:paraId="395C6282" w14:textId="77777777" w:rsidTr="00CD34D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0CA05D6D" w14:textId="77777777" w:rsidR="00E95A8D" w:rsidRPr="00061A5F" w:rsidRDefault="00E95A8D" w:rsidP="007F5D0E">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CBA</w:t>
            </w:r>
          </w:p>
        </w:tc>
        <w:tc>
          <w:tcPr>
            <w:tcW w:w="2552" w:type="dxa"/>
            <w:noWrap/>
            <w:hideMark/>
          </w:tcPr>
          <w:p w14:paraId="7F2CE58D"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-0.0750*</w:t>
            </w:r>
          </w:p>
        </w:tc>
        <w:tc>
          <w:tcPr>
            <w:tcW w:w="2364" w:type="dxa"/>
            <w:noWrap/>
            <w:hideMark/>
          </w:tcPr>
          <w:p w14:paraId="61CE1083"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0.0644</w:t>
            </w:r>
          </w:p>
        </w:tc>
      </w:tr>
      <w:tr w:rsidR="00E95A8D" w:rsidRPr="00061A5F" w14:paraId="0CFF1107" w14:textId="77777777" w:rsidTr="00CD34D9">
        <w:trPr>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283BE4CD" w14:textId="1A0D0AA0" w:rsidR="00E95A8D" w:rsidRPr="00061A5F" w:rsidRDefault="00370685" w:rsidP="007F5D0E">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C</w:t>
            </w:r>
            <w:r w:rsidR="00E95A8D" w:rsidRPr="00061A5F">
              <w:rPr>
                <w:rFonts w:ascii="Times New Roman" w:eastAsia="Times New Roman" w:hAnsi="Times New Roman"/>
                <w:b w:val="0"/>
                <w:bCs w:val="0"/>
                <w:lang w:eastAsia="en-GB"/>
              </w:rPr>
              <w:t>urrency board arrangement</w:t>
            </w:r>
          </w:p>
        </w:tc>
        <w:tc>
          <w:tcPr>
            <w:tcW w:w="2552" w:type="dxa"/>
            <w:noWrap/>
            <w:hideMark/>
          </w:tcPr>
          <w:p w14:paraId="1CC56291"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(0.0443)</w:t>
            </w:r>
          </w:p>
        </w:tc>
        <w:tc>
          <w:tcPr>
            <w:tcW w:w="2364" w:type="dxa"/>
            <w:noWrap/>
            <w:hideMark/>
          </w:tcPr>
          <w:p w14:paraId="054A4328"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(0.0407)</w:t>
            </w:r>
          </w:p>
        </w:tc>
      </w:tr>
      <w:tr w:rsidR="00E95A8D" w:rsidRPr="00061A5F" w14:paraId="142EBAD9" w14:textId="77777777" w:rsidTr="00CD34D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303CF590" w14:textId="77777777" w:rsidR="00E95A8D" w:rsidRPr="00061A5F" w:rsidRDefault="00E95A8D" w:rsidP="007F5D0E">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1.CBA*MSG</w:t>
            </w:r>
          </w:p>
        </w:tc>
        <w:tc>
          <w:tcPr>
            <w:tcW w:w="2552" w:type="dxa"/>
            <w:noWrap/>
            <w:hideMark/>
          </w:tcPr>
          <w:p w14:paraId="2DA55BBF"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en-GB"/>
              </w:rPr>
            </w:pPr>
          </w:p>
        </w:tc>
        <w:tc>
          <w:tcPr>
            <w:tcW w:w="2364" w:type="dxa"/>
            <w:noWrap/>
            <w:hideMark/>
          </w:tcPr>
          <w:p w14:paraId="6FA47BD0"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-0.00568***</w:t>
            </w:r>
          </w:p>
        </w:tc>
      </w:tr>
      <w:tr w:rsidR="00E95A8D" w:rsidRPr="00061A5F" w14:paraId="7711EDAE" w14:textId="77777777" w:rsidTr="00CD34D9">
        <w:trPr>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5FC2DA0B" w14:textId="442B865A" w:rsidR="00E95A8D" w:rsidRPr="00061A5F" w:rsidRDefault="00E95A8D" w:rsidP="007F5D0E">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CBA=1</w:t>
            </w:r>
            <w:r w:rsidR="00370685" w:rsidRPr="00061A5F">
              <w:rPr>
                <w:rFonts w:ascii="Times New Roman" w:eastAsia="Times New Roman" w:hAnsi="Times New Roman"/>
                <w:b w:val="0"/>
                <w:bCs w:val="0"/>
                <w:lang w:eastAsia="en-GB"/>
              </w:rPr>
              <w:t xml:space="preserve">, money supply growth </w:t>
            </w:r>
          </w:p>
        </w:tc>
        <w:tc>
          <w:tcPr>
            <w:tcW w:w="2552" w:type="dxa"/>
            <w:noWrap/>
            <w:hideMark/>
          </w:tcPr>
          <w:p w14:paraId="5133AF36"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p>
        </w:tc>
        <w:tc>
          <w:tcPr>
            <w:tcW w:w="2364" w:type="dxa"/>
            <w:noWrap/>
            <w:hideMark/>
          </w:tcPr>
          <w:p w14:paraId="0ABFB1BA"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(0.00144)</w:t>
            </w:r>
          </w:p>
        </w:tc>
      </w:tr>
      <w:tr w:rsidR="00E95A8D" w:rsidRPr="00061A5F" w14:paraId="064CC117" w14:textId="77777777" w:rsidTr="00CD34D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05D8267F" w14:textId="77777777" w:rsidR="00E95A8D" w:rsidRPr="00061A5F" w:rsidRDefault="00E95A8D" w:rsidP="007F5D0E">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1.CBA*</w:t>
            </w:r>
            <w:proofErr w:type="gramStart"/>
            <w:r w:rsidRPr="00061A5F">
              <w:rPr>
                <w:rFonts w:ascii="Times New Roman" w:eastAsia="Times New Roman" w:hAnsi="Times New Roman"/>
                <w:color w:val="000000"/>
                <w:lang w:eastAsia="en-GB"/>
              </w:rPr>
              <w:t>1.CRISIS</w:t>
            </w:r>
            <w:proofErr w:type="gramEnd"/>
          </w:p>
        </w:tc>
        <w:tc>
          <w:tcPr>
            <w:tcW w:w="2552" w:type="dxa"/>
            <w:noWrap/>
            <w:hideMark/>
          </w:tcPr>
          <w:p w14:paraId="50499A65"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en-GB"/>
              </w:rPr>
            </w:pPr>
          </w:p>
        </w:tc>
        <w:tc>
          <w:tcPr>
            <w:tcW w:w="2364" w:type="dxa"/>
            <w:noWrap/>
            <w:hideMark/>
          </w:tcPr>
          <w:p w14:paraId="64EA29A6"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-0.137***</w:t>
            </w:r>
          </w:p>
        </w:tc>
      </w:tr>
      <w:tr w:rsidR="00E95A8D" w:rsidRPr="00061A5F" w14:paraId="2447BAC0" w14:textId="77777777" w:rsidTr="00CD34D9">
        <w:trPr>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49984587" w14:textId="77777777" w:rsidR="00E95A8D" w:rsidRPr="00061A5F" w:rsidRDefault="00E95A8D" w:rsidP="007F5D0E">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CBA=1 and crisis=1</w:t>
            </w:r>
          </w:p>
        </w:tc>
        <w:tc>
          <w:tcPr>
            <w:tcW w:w="2552" w:type="dxa"/>
            <w:noWrap/>
            <w:hideMark/>
          </w:tcPr>
          <w:p w14:paraId="71B03264"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p>
        </w:tc>
        <w:tc>
          <w:tcPr>
            <w:tcW w:w="2364" w:type="dxa"/>
            <w:noWrap/>
            <w:hideMark/>
          </w:tcPr>
          <w:p w14:paraId="42A73923"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(0.0516)</w:t>
            </w:r>
          </w:p>
        </w:tc>
      </w:tr>
      <w:tr w:rsidR="00E95A8D" w:rsidRPr="00061A5F" w14:paraId="5396C3E1" w14:textId="77777777" w:rsidTr="00CD34D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6ED412B7" w14:textId="77777777" w:rsidR="00E95A8D" w:rsidRPr="00061A5F" w:rsidRDefault="00E95A8D" w:rsidP="007F5D0E">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GDPG</w:t>
            </w:r>
          </w:p>
        </w:tc>
        <w:tc>
          <w:tcPr>
            <w:tcW w:w="2552" w:type="dxa"/>
            <w:noWrap/>
            <w:hideMark/>
          </w:tcPr>
          <w:p w14:paraId="58DEF4CF"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-0.00418</w:t>
            </w:r>
          </w:p>
        </w:tc>
        <w:tc>
          <w:tcPr>
            <w:tcW w:w="2364" w:type="dxa"/>
            <w:noWrap/>
            <w:hideMark/>
          </w:tcPr>
          <w:p w14:paraId="6BB9D7C0"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-0.00397</w:t>
            </w:r>
          </w:p>
        </w:tc>
      </w:tr>
      <w:tr w:rsidR="00E95A8D" w:rsidRPr="00061A5F" w14:paraId="32B8D691" w14:textId="77777777" w:rsidTr="00CD34D9">
        <w:trPr>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59E57491" w14:textId="77777777" w:rsidR="00E95A8D" w:rsidRPr="00061A5F" w:rsidRDefault="00E95A8D" w:rsidP="007F5D0E">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GPD growth</w:t>
            </w:r>
          </w:p>
        </w:tc>
        <w:tc>
          <w:tcPr>
            <w:tcW w:w="2552" w:type="dxa"/>
            <w:noWrap/>
            <w:hideMark/>
          </w:tcPr>
          <w:p w14:paraId="52B5B2BF"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(0.00351)</w:t>
            </w:r>
          </w:p>
        </w:tc>
        <w:tc>
          <w:tcPr>
            <w:tcW w:w="2364" w:type="dxa"/>
            <w:noWrap/>
            <w:hideMark/>
          </w:tcPr>
          <w:p w14:paraId="030A06F0"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(0.00356)</w:t>
            </w:r>
          </w:p>
        </w:tc>
      </w:tr>
      <w:tr w:rsidR="00E95A8D" w:rsidRPr="00061A5F" w14:paraId="087A3F69" w14:textId="77777777" w:rsidTr="00CD34D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780C470D" w14:textId="77777777" w:rsidR="00E95A8D" w:rsidRPr="00061A5F" w:rsidRDefault="00E95A8D" w:rsidP="007F5D0E">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MSG</w:t>
            </w:r>
          </w:p>
        </w:tc>
        <w:tc>
          <w:tcPr>
            <w:tcW w:w="2552" w:type="dxa"/>
            <w:noWrap/>
            <w:hideMark/>
          </w:tcPr>
          <w:p w14:paraId="0A0EAE6B"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0.00524***</w:t>
            </w:r>
          </w:p>
        </w:tc>
        <w:tc>
          <w:tcPr>
            <w:tcW w:w="2364" w:type="dxa"/>
            <w:noWrap/>
            <w:hideMark/>
          </w:tcPr>
          <w:p w14:paraId="47830597"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0.00538***</w:t>
            </w:r>
          </w:p>
        </w:tc>
      </w:tr>
      <w:tr w:rsidR="00E95A8D" w:rsidRPr="00061A5F" w14:paraId="49A3E423" w14:textId="77777777" w:rsidTr="00CD34D9">
        <w:trPr>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54DF528B" w14:textId="77777777" w:rsidR="00E95A8D" w:rsidRPr="00061A5F" w:rsidRDefault="00E95A8D" w:rsidP="007F5D0E">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Money supply growth</w:t>
            </w:r>
          </w:p>
        </w:tc>
        <w:tc>
          <w:tcPr>
            <w:tcW w:w="2552" w:type="dxa"/>
            <w:noWrap/>
            <w:hideMark/>
          </w:tcPr>
          <w:p w14:paraId="166E8F91"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(0.00128)</w:t>
            </w:r>
          </w:p>
        </w:tc>
        <w:tc>
          <w:tcPr>
            <w:tcW w:w="2364" w:type="dxa"/>
            <w:noWrap/>
            <w:hideMark/>
          </w:tcPr>
          <w:p w14:paraId="00D6C082"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(0.00121)</w:t>
            </w:r>
          </w:p>
        </w:tc>
      </w:tr>
      <w:tr w:rsidR="00E95A8D" w:rsidRPr="00061A5F" w14:paraId="780D36DB" w14:textId="77777777" w:rsidTr="00CD34D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2F73F34D" w14:textId="77777777" w:rsidR="00E95A8D" w:rsidRPr="00061A5F" w:rsidRDefault="00E95A8D" w:rsidP="007F5D0E">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FB</w:t>
            </w:r>
          </w:p>
        </w:tc>
        <w:tc>
          <w:tcPr>
            <w:tcW w:w="2552" w:type="dxa"/>
            <w:noWrap/>
            <w:hideMark/>
          </w:tcPr>
          <w:p w14:paraId="0E499516"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0.00665</w:t>
            </w:r>
          </w:p>
        </w:tc>
        <w:tc>
          <w:tcPr>
            <w:tcW w:w="2364" w:type="dxa"/>
            <w:noWrap/>
            <w:hideMark/>
          </w:tcPr>
          <w:p w14:paraId="063345E6"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0.00562</w:t>
            </w:r>
          </w:p>
        </w:tc>
      </w:tr>
      <w:tr w:rsidR="00E95A8D" w:rsidRPr="00061A5F" w14:paraId="0EDEB026" w14:textId="77777777" w:rsidTr="00CD34D9">
        <w:trPr>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2DFE7981" w14:textId="77777777" w:rsidR="00E95A8D" w:rsidRPr="00061A5F" w:rsidRDefault="00E95A8D" w:rsidP="007F5D0E">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Fiscal balance</w:t>
            </w:r>
          </w:p>
        </w:tc>
        <w:tc>
          <w:tcPr>
            <w:tcW w:w="2552" w:type="dxa"/>
            <w:noWrap/>
            <w:hideMark/>
          </w:tcPr>
          <w:p w14:paraId="16880CC7"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(0.00468)</w:t>
            </w:r>
          </w:p>
        </w:tc>
        <w:tc>
          <w:tcPr>
            <w:tcW w:w="2364" w:type="dxa"/>
            <w:noWrap/>
            <w:hideMark/>
          </w:tcPr>
          <w:p w14:paraId="6035E6A8"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(0.00424)</w:t>
            </w:r>
          </w:p>
        </w:tc>
      </w:tr>
      <w:tr w:rsidR="00E95A8D" w:rsidRPr="00061A5F" w14:paraId="56B8AD66" w14:textId="77777777" w:rsidTr="00CD34D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1018519D" w14:textId="77777777" w:rsidR="00E95A8D" w:rsidRPr="00061A5F" w:rsidRDefault="00E95A8D" w:rsidP="007F5D0E">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lastRenderedPageBreak/>
              <w:t>OPEN</w:t>
            </w:r>
          </w:p>
        </w:tc>
        <w:tc>
          <w:tcPr>
            <w:tcW w:w="2552" w:type="dxa"/>
            <w:noWrap/>
            <w:hideMark/>
          </w:tcPr>
          <w:p w14:paraId="0FFFA32B"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0.000892</w:t>
            </w:r>
          </w:p>
        </w:tc>
        <w:tc>
          <w:tcPr>
            <w:tcW w:w="2364" w:type="dxa"/>
            <w:noWrap/>
            <w:hideMark/>
          </w:tcPr>
          <w:p w14:paraId="3203CC12"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0.000871</w:t>
            </w:r>
          </w:p>
        </w:tc>
      </w:tr>
      <w:tr w:rsidR="00E95A8D" w:rsidRPr="00061A5F" w14:paraId="47A895B0" w14:textId="77777777" w:rsidTr="00CD34D9">
        <w:trPr>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05E0FA40" w14:textId="77777777" w:rsidR="00E95A8D" w:rsidRPr="00061A5F" w:rsidRDefault="00E95A8D" w:rsidP="007F5D0E">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 xml:space="preserve">Openness </w:t>
            </w:r>
          </w:p>
        </w:tc>
        <w:tc>
          <w:tcPr>
            <w:tcW w:w="2552" w:type="dxa"/>
            <w:noWrap/>
            <w:hideMark/>
          </w:tcPr>
          <w:p w14:paraId="22ED14B6"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(0.000696)</w:t>
            </w:r>
          </w:p>
        </w:tc>
        <w:tc>
          <w:tcPr>
            <w:tcW w:w="2364" w:type="dxa"/>
            <w:noWrap/>
            <w:hideMark/>
          </w:tcPr>
          <w:p w14:paraId="498D2A9D"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(0.000688)</w:t>
            </w:r>
          </w:p>
        </w:tc>
      </w:tr>
      <w:tr w:rsidR="00E95A8D" w:rsidRPr="00061A5F" w14:paraId="5A093EEB" w14:textId="77777777" w:rsidTr="00CD34D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298353CF" w14:textId="77777777" w:rsidR="00E95A8D" w:rsidRPr="00061A5F" w:rsidRDefault="00E95A8D" w:rsidP="007F5D0E">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TOT</w:t>
            </w:r>
          </w:p>
        </w:tc>
        <w:tc>
          <w:tcPr>
            <w:tcW w:w="2552" w:type="dxa"/>
            <w:noWrap/>
            <w:hideMark/>
          </w:tcPr>
          <w:p w14:paraId="2E3301FE"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-0.000505</w:t>
            </w:r>
          </w:p>
        </w:tc>
        <w:tc>
          <w:tcPr>
            <w:tcW w:w="2364" w:type="dxa"/>
            <w:noWrap/>
            <w:hideMark/>
          </w:tcPr>
          <w:p w14:paraId="37F556A1"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-0.000541</w:t>
            </w:r>
          </w:p>
        </w:tc>
      </w:tr>
      <w:tr w:rsidR="00E95A8D" w:rsidRPr="00061A5F" w14:paraId="7D81CA89" w14:textId="77777777" w:rsidTr="00CD34D9">
        <w:trPr>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2FBFB4CF" w14:textId="77777777" w:rsidR="00E95A8D" w:rsidRPr="00061A5F" w:rsidRDefault="00E95A8D" w:rsidP="007F5D0E">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Terms of trade</w:t>
            </w:r>
          </w:p>
        </w:tc>
        <w:tc>
          <w:tcPr>
            <w:tcW w:w="2552" w:type="dxa"/>
            <w:noWrap/>
            <w:hideMark/>
          </w:tcPr>
          <w:p w14:paraId="68883134"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(0.000667)</w:t>
            </w:r>
          </w:p>
        </w:tc>
        <w:tc>
          <w:tcPr>
            <w:tcW w:w="2364" w:type="dxa"/>
            <w:noWrap/>
            <w:hideMark/>
          </w:tcPr>
          <w:p w14:paraId="334F1FC0"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(0.000634)</w:t>
            </w:r>
          </w:p>
        </w:tc>
      </w:tr>
      <w:tr w:rsidR="00E95A8D" w:rsidRPr="00061A5F" w14:paraId="73FC7F76" w14:textId="77777777" w:rsidTr="00CD34D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7743D60A" w14:textId="77777777" w:rsidR="00E95A8D" w:rsidRPr="00061A5F" w:rsidRDefault="00E95A8D" w:rsidP="007F5D0E">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EBRDI</w:t>
            </w:r>
          </w:p>
        </w:tc>
        <w:tc>
          <w:tcPr>
            <w:tcW w:w="2552" w:type="dxa"/>
            <w:noWrap/>
            <w:hideMark/>
          </w:tcPr>
          <w:p w14:paraId="0077299C"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-0.0391</w:t>
            </w:r>
          </w:p>
        </w:tc>
        <w:tc>
          <w:tcPr>
            <w:tcW w:w="2364" w:type="dxa"/>
            <w:noWrap/>
            <w:hideMark/>
          </w:tcPr>
          <w:p w14:paraId="3E84494A"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-0.0363</w:t>
            </w:r>
          </w:p>
        </w:tc>
      </w:tr>
      <w:tr w:rsidR="00E95A8D" w:rsidRPr="00061A5F" w14:paraId="6534C71C" w14:textId="77777777" w:rsidTr="00CD34D9">
        <w:trPr>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38B2BB11" w14:textId="77777777" w:rsidR="00E95A8D" w:rsidRPr="00061A5F" w:rsidRDefault="00E95A8D" w:rsidP="007F5D0E">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EBRD indicator</w:t>
            </w:r>
          </w:p>
        </w:tc>
        <w:tc>
          <w:tcPr>
            <w:tcW w:w="2552" w:type="dxa"/>
            <w:noWrap/>
            <w:hideMark/>
          </w:tcPr>
          <w:p w14:paraId="3BBF55EA"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(0.0571)</w:t>
            </w:r>
          </w:p>
        </w:tc>
        <w:tc>
          <w:tcPr>
            <w:tcW w:w="2364" w:type="dxa"/>
            <w:noWrap/>
            <w:hideMark/>
          </w:tcPr>
          <w:p w14:paraId="2E1B37B4"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(0.0519)</w:t>
            </w:r>
          </w:p>
        </w:tc>
      </w:tr>
      <w:tr w:rsidR="00E95A8D" w:rsidRPr="00061A5F" w14:paraId="1FD96184" w14:textId="77777777" w:rsidTr="00CD34D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34C76B64" w14:textId="77777777" w:rsidR="00E95A8D" w:rsidRPr="00061A5F" w:rsidRDefault="00E95A8D" w:rsidP="007F5D0E">
            <w:pPr>
              <w:jc w:val="both"/>
              <w:rPr>
                <w:rFonts w:ascii="Times New Roman" w:eastAsia="Times New Roman" w:hAnsi="Times New Roman"/>
                <w:b w:val="0"/>
                <w:bCs w:val="0"/>
                <w:color w:val="000000"/>
                <w:lang w:eastAsia="en-GB"/>
              </w:rPr>
            </w:pPr>
            <w:r w:rsidRPr="00061A5F">
              <w:rPr>
                <w:rFonts w:ascii="Times New Roman" w:eastAsia="Times New Roman" w:hAnsi="Times New Roman"/>
                <w:b w:val="0"/>
                <w:bCs w:val="0"/>
                <w:color w:val="000000"/>
                <w:lang w:eastAsia="en-GB"/>
              </w:rPr>
              <w:t>CCBI</w:t>
            </w:r>
          </w:p>
        </w:tc>
        <w:tc>
          <w:tcPr>
            <w:tcW w:w="2552" w:type="dxa"/>
            <w:noWrap/>
            <w:hideMark/>
          </w:tcPr>
          <w:p w14:paraId="616FBC95"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-0.204</w:t>
            </w:r>
          </w:p>
        </w:tc>
        <w:tc>
          <w:tcPr>
            <w:tcW w:w="2364" w:type="dxa"/>
            <w:noWrap/>
            <w:hideMark/>
          </w:tcPr>
          <w:p w14:paraId="769A7DCF"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-0.255</w:t>
            </w:r>
          </w:p>
        </w:tc>
      </w:tr>
      <w:tr w:rsidR="00E95A8D" w:rsidRPr="00061A5F" w14:paraId="7635859A" w14:textId="77777777" w:rsidTr="00CD34D9">
        <w:trPr>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717ECD68" w14:textId="77777777" w:rsidR="00E95A8D" w:rsidRPr="00061A5F" w:rsidRDefault="00E95A8D" w:rsidP="007F5D0E">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Central bank independence</w:t>
            </w:r>
          </w:p>
        </w:tc>
        <w:tc>
          <w:tcPr>
            <w:tcW w:w="2552" w:type="dxa"/>
            <w:noWrap/>
            <w:hideMark/>
          </w:tcPr>
          <w:p w14:paraId="289B016C"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(0.288)</w:t>
            </w:r>
          </w:p>
        </w:tc>
        <w:tc>
          <w:tcPr>
            <w:tcW w:w="2364" w:type="dxa"/>
            <w:noWrap/>
            <w:hideMark/>
          </w:tcPr>
          <w:p w14:paraId="53E43E43"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(0.242)</w:t>
            </w:r>
          </w:p>
        </w:tc>
      </w:tr>
      <w:tr w:rsidR="00E95A8D" w:rsidRPr="00061A5F" w14:paraId="50871B3D" w14:textId="77777777" w:rsidTr="00CD34D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7E53490C" w14:textId="77777777" w:rsidR="00E95A8D" w:rsidRPr="00061A5F" w:rsidRDefault="00E95A8D" w:rsidP="007F5D0E">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VAT</w:t>
            </w:r>
          </w:p>
        </w:tc>
        <w:tc>
          <w:tcPr>
            <w:tcW w:w="2552" w:type="dxa"/>
            <w:noWrap/>
            <w:hideMark/>
          </w:tcPr>
          <w:p w14:paraId="5C2644F9"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0.193***</w:t>
            </w:r>
          </w:p>
        </w:tc>
        <w:tc>
          <w:tcPr>
            <w:tcW w:w="2364" w:type="dxa"/>
            <w:noWrap/>
            <w:hideMark/>
          </w:tcPr>
          <w:p w14:paraId="465F492D"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0.197***</w:t>
            </w:r>
          </w:p>
        </w:tc>
      </w:tr>
      <w:tr w:rsidR="00E95A8D" w:rsidRPr="00061A5F" w14:paraId="501E6EF3" w14:textId="77777777" w:rsidTr="00CD34D9">
        <w:trPr>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6A2CCF78" w14:textId="77777777" w:rsidR="00E95A8D" w:rsidRPr="00061A5F" w:rsidRDefault="00E95A8D" w:rsidP="007F5D0E">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Value added tax</w:t>
            </w:r>
          </w:p>
        </w:tc>
        <w:tc>
          <w:tcPr>
            <w:tcW w:w="2552" w:type="dxa"/>
            <w:noWrap/>
            <w:hideMark/>
          </w:tcPr>
          <w:p w14:paraId="54202667"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(0.0614)</w:t>
            </w:r>
          </w:p>
        </w:tc>
        <w:tc>
          <w:tcPr>
            <w:tcW w:w="2364" w:type="dxa"/>
            <w:noWrap/>
            <w:hideMark/>
          </w:tcPr>
          <w:p w14:paraId="4D0B934A"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(0.0583)</w:t>
            </w:r>
          </w:p>
        </w:tc>
      </w:tr>
      <w:tr w:rsidR="00E95A8D" w:rsidRPr="00061A5F" w14:paraId="16720C46" w14:textId="77777777" w:rsidTr="00CD34D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3A933DCA" w14:textId="77777777" w:rsidR="00E95A8D" w:rsidRPr="00061A5F" w:rsidRDefault="00E95A8D" w:rsidP="007F5D0E">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EU</w:t>
            </w:r>
          </w:p>
        </w:tc>
        <w:tc>
          <w:tcPr>
            <w:tcW w:w="2552" w:type="dxa"/>
            <w:noWrap/>
            <w:hideMark/>
          </w:tcPr>
          <w:p w14:paraId="3DB63C3C"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0.0245</w:t>
            </w:r>
          </w:p>
        </w:tc>
        <w:tc>
          <w:tcPr>
            <w:tcW w:w="2364" w:type="dxa"/>
            <w:noWrap/>
            <w:hideMark/>
          </w:tcPr>
          <w:p w14:paraId="70CA281E"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0.0279</w:t>
            </w:r>
          </w:p>
        </w:tc>
      </w:tr>
      <w:tr w:rsidR="00E95A8D" w:rsidRPr="00061A5F" w14:paraId="535FA89E" w14:textId="77777777" w:rsidTr="00CD34D9">
        <w:trPr>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304D9932" w14:textId="77777777" w:rsidR="00E95A8D" w:rsidRPr="00061A5F" w:rsidRDefault="00E95A8D" w:rsidP="007F5D0E">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European Union</w:t>
            </w:r>
          </w:p>
        </w:tc>
        <w:tc>
          <w:tcPr>
            <w:tcW w:w="2552" w:type="dxa"/>
            <w:noWrap/>
            <w:hideMark/>
          </w:tcPr>
          <w:p w14:paraId="2BFADCBF"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(0.0403)</w:t>
            </w:r>
          </w:p>
        </w:tc>
        <w:tc>
          <w:tcPr>
            <w:tcW w:w="2364" w:type="dxa"/>
            <w:noWrap/>
            <w:hideMark/>
          </w:tcPr>
          <w:p w14:paraId="7DE19D62"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(0.0389)</w:t>
            </w:r>
          </w:p>
        </w:tc>
      </w:tr>
      <w:tr w:rsidR="00E95A8D" w:rsidRPr="00061A5F" w14:paraId="330DB74B" w14:textId="77777777" w:rsidTr="00CD34D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17D4A485" w14:textId="77777777" w:rsidR="00E95A8D" w:rsidRPr="00061A5F" w:rsidRDefault="00E95A8D" w:rsidP="007F5D0E">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CRISIS</w:t>
            </w:r>
          </w:p>
        </w:tc>
        <w:tc>
          <w:tcPr>
            <w:tcW w:w="2552" w:type="dxa"/>
            <w:noWrap/>
            <w:hideMark/>
          </w:tcPr>
          <w:p w14:paraId="53B8441A"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en-GB"/>
              </w:rPr>
            </w:pPr>
          </w:p>
        </w:tc>
        <w:tc>
          <w:tcPr>
            <w:tcW w:w="2364" w:type="dxa"/>
            <w:noWrap/>
            <w:hideMark/>
          </w:tcPr>
          <w:p w14:paraId="712BA960" w14:textId="77777777"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-0.215***</w:t>
            </w:r>
          </w:p>
        </w:tc>
      </w:tr>
      <w:tr w:rsidR="00E95A8D" w:rsidRPr="00061A5F" w14:paraId="7ECB2BD8" w14:textId="77777777" w:rsidTr="00CD34D9">
        <w:trPr>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303D95FC" w14:textId="77777777" w:rsidR="00E95A8D" w:rsidRPr="00061A5F" w:rsidRDefault="00E95A8D" w:rsidP="007F5D0E">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 xml:space="preserve">Global financial crisis </w:t>
            </w:r>
          </w:p>
        </w:tc>
        <w:tc>
          <w:tcPr>
            <w:tcW w:w="2552" w:type="dxa"/>
            <w:noWrap/>
            <w:hideMark/>
          </w:tcPr>
          <w:p w14:paraId="45AFA0F0"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p>
        </w:tc>
        <w:tc>
          <w:tcPr>
            <w:tcW w:w="2364" w:type="dxa"/>
            <w:noWrap/>
            <w:hideMark/>
          </w:tcPr>
          <w:p w14:paraId="7D249092"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(0.0817)</w:t>
            </w:r>
          </w:p>
        </w:tc>
      </w:tr>
      <w:tr w:rsidR="00E95A8D" w:rsidRPr="00061A5F" w14:paraId="27EDE049" w14:textId="77777777" w:rsidTr="00CD34D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106" w:type="dxa"/>
          </w:tcPr>
          <w:p w14:paraId="474357E5" w14:textId="7EA567FB" w:rsidR="00E95A8D" w:rsidRPr="00061A5F" w:rsidRDefault="00E95A8D" w:rsidP="002F7755">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 xml:space="preserve">Constant </w:t>
            </w:r>
          </w:p>
        </w:tc>
        <w:tc>
          <w:tcPr>
            <w:tcW w:w="2552" w:type="dxa"/>
            <w:noWrap/>
          </w:tcPr>
          <w:p w14:paraId="7D8FD443" w14:textId="51F27966"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hAnsi="Times New Roman"/>
              </w:rPr>
              <w:t>0</w:t>
            </w:r>
          </w:p>
        </w:tc>
        <w:tc>
          <w:tcPr>
            <w:tcW w:w="2364" w:type="dxa"/>
            <w:noWrap/>
          </w:tcPr>
          <w:p w14:paraId="51258861" w14:textId="43EA1533" w:rsidR="00E95A8D" w:rsidRPr="00061A5F" w:rsidRDefault="00E95A8D" w:rsidP="005009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hAnsi="Times New Roman"/>
              </w:rPr>
              <w:t>1.878***</w:t>
            </w:r>
          </w:p>
        </w:tc>
      </w:tr>
      <w:tr w:rsidR="00E95A8D" w:rsidRPr="00061A5F" w14:paraId="5AF069B6" w14:textId="77777777" w:rsidTr="00CD34D9">
        <w:trPr>
          <w:trHeight w:val="259"/>
        </w:trPr>
        <w:tc>
          <w:tcPr>
            <w:cnfStyle w:val="001000000000" w:firstRow="0" w:lastRow="0" w:firstColumn="1" w:lastColumn="0" w:oddVBand="0" w:evenVBand="0" w:oddHBand="0" w:evenHBand="0" w:firstRowFirstColumn="0" w:firstRowLastColumn="0" w:lastRowFirstColumn="0" w:lastRowLastColumn="0"/>
            <w:tcW w:w="4106" w:type="dxa"/>
            <w:hideMark/>
          </w:tcPr>
          <w:p w14:paraId="535DF295" w14:textId="77777777" w:rsidR="00E95A8D" w:rsidRPr="00061A5F" w:rsidRDefault="00E95A8D" w:rsidP="007F5D0E">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TIME DUMMIES</w:t>
            </w:r>
          </w:p>
        </w:tc>
        <w:tc>
          <w:tcPr>
            <w:tcW w:w="2552" w:type="dxa"/>
            <w:noWrap/>
            <w:hideMark/>
          </w:tcPr>
          <w:p w14:paraId="5630145F"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included</w:t>
            </w:r>
          </w:p>
        </w:tc>
        <w:tc>
          <w:tcPr>
            <w:tcW w:w="2364" w:type="dxa"/>
            <w:noWrap/>
            <w:hideMark/>
          </w:tcPr>
          <w:p w14:paraId="101D9BD8" w14:textId="77777777" w:rsidR="00E95A8D" w:rsidRPr="00061A5F" w:rsidRDefault="00E95A8D" w:rsidP="005009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included</w:t>
            </w:r>
          </w:p>
        </w:tc>
      </w:tr>
      <w:tr w:rsidR="00E95A8D" w:rsidRPr="00061A5F" w14:paraId="6149C4C2" w14:textId="77777777" w:rsidTr="00CD34D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106" w:type="dxa"/>
          </w:tcPr>
          <w:p w14:paraId="56F06187" w14:textId="77777777" w:rsidR="00E95A8D" w:rsidRPr="00061A5F" w:rsidRDefault="00E95A8D" w:rsidP="00F94A91">
            <w:pPr>
              <w:spacing w:line="276" w:lineRule="auto"/>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Number of observations</w:t>
            </w:r>
          </w:p>
        </w:tc>
        <w:tc>
          <w:tcPr>
            <w:tcW w:w="2552" w:type="dxa"/>
          </w:tcPr>
          <w:p w14:paraId="5EDA6968" w14:textId="77777777" w:rsidR="00E95A8D" w:rsidRPr="00061A5F" w:rsidRDefault="00E95A8D" w:rsidP="00F06E4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bs-Latn-BA"/>
              </w:rPr>
            </w:pPr>
            <w:r w:rsidRPr="00061A5F">
              <w:rPr>
                <w:rFonts w:ascii="Times New Roman" w:eastAsia="Times New Roman" w:hAnsi="Times New Roman"/>
                <w:color w:val="000000"/>
                <w:lang w:eastAsia="bs-Latn-BA"/>
              </w:rPr>
              <w:t>285</w:t>
            </w:r>
          </w:p>
        </w:tc>
        <w:tc>
          <w:tcPr>
            <w:tcW w:w="2364" w:type="dxa"/>
          </w:tcPr>
          <w:p w14:paraId="41AE92FD" w14:textId="77777777" w:rsidR="00E95A8D" w:rsidRPr="00061A5F" w:rsidRDefault="00E95A8D" w:rsidP="00F06E4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bs-Latn-BA"/>
              </w:rPr>
            </w:pPr>
            <w:r w:rsidRPr="00061A5F">
              <w:rPr>
                <w:rFonts w:ascii="Times New Roman" w:eastAsia="Times New Roman" w:hAnsi="Times New Roman"/>
                <w:color w:val="000000"/>
                <w:lang w:eastAsia="bs-Latn-BA"/>
              </w:rPr>
              <w:t>285</w:t>
            </w:r>
          </w:p>
        </w:tc>
      </w:tr>
      <w:tr w:rsidR="00E95A8D" w:rsidRPr="00061A5F" w14:paraId="4A59130E" w14:textId="77777777" w:rsidTr="00CD34D9">
        <w:trPr>
          <w:trHeight w:val="226"/>
        </w:trPr>
        <w:tc>
          <w:tcPr>
            <w:cnfStyle w:val="001000000000" w:firstRow="0" w:lastRow="0" w:firstColumn="1" w:lastColumn="0" w:oddVBand="0" w:evenVBand="0" w:oddHBand="0" w:evenHBand="0" w:firstRowFirstColumn="0" w:firstRowLastColumn="0" w:lastRowFirstColumn="0" w:lastRowLastColumn="0"/>
            <w:tcW w:w="4106" w:type="dxa"/>
          </w:tcPr>
          <w:p w14:paraId="660E1FF0" w14:textId="77777777" w:rsidR="00E95A8D" w:rsidRPr="00061A5F" w:rsidRDefault="00E95A8D" w:rsidP="00F94A91">
            <w:pPr>
              <w:spacing w:line="276" w:lineRule="auto"/>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Number of groups</w:t>
            </w:r>
          </w:p>
        </w:tc>
        <w:tc>
          <w:tcPr>
            <w:tcW w:w="2552" w:type="dxa"/>
          </w:tcPr>
          <w:p w14:paraId="46EC35BF" w14:textId="77777777" w:rsidR="00E95A8D" w:rsidRPr="00061A5F" w:rsidRDefault="00E95A8D" w:rsidP="00F06E4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bs-Latn-BA"/>
              </w:rPr>
            </w:pPr>
            <w:r w:rsidRPr="00061A5F">
              <w:rPr>
                <w:rFonts w:ascii="Times New Roman" w:eastAsia="Times New Roman" w:hAnsi="Times New Roman"/>
                <w:color w:val="000000"/>
                <w:lang w:eastAsia="bs-Latn-BA"/>
              </w:rPr>
              <w:t>25</w:t>
            </w:r>
          </w:p>
        </w:tc>
        <w:tc>
          <w:tcPr>
            <w:tcW w:w="2364" w:type="dxa"/>
          </w:tcPr>
          <w:p w14:paraId="3BF8942B" w14:textId="77777777" w:rsidR="00E95A8D" w:rsidRPr="00061A5F" w:rsidRDefault="00E95A8D" w:rsidP="00F06E4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bs-Latn-BA"/>
              </w:rPr>
            </w:pPr>
            <w:r w:rsidRPr="00061A5F">
              <w:rPr>
                <w:rFonts w:ascii="Times New Roman" w:eastAsia="Times New Roman" w:hAnsi="Times New Roman"/>
                <w:color w:val="000000"/>
                <w:lang w:eastAsia="bs-Latn-BA"/>
              </w:rPr>
              <w:t>25</w:t>
            </w:r>
          </w:p>
        </w:tc>
      </w:tr>
      <w:tr w:rsidR="00E95A8D" w:rsidRPr="00061A5F" w14:paraId="248A78C2" w14:textId="77777777" w:rsidTr="00CD34D9">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106" w:type="dxa"/>
          </w:tcPr>
          <w:p w14:paraId="563CED55" w14:textId="77777777" w:rsidR="00E95A8D" w:rsidRPr="00061A5F" w:rsidRDefault="00E95A8D" w:rsidP="00F94A91">
            <w:pPr>
              <w:spacing w:line="276" w:lineRule="auto"/>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Number of instruments</w:t>
            </w:r>
          </w:p>
        </w:tc>
        <w:tc>
          <w:tcPr>
            <w:tcW w:w="2552" w:type="dxa"/>
          </w:tcPr>
          <w:p w14:paraId="7A69A945" w14:textId="77777777" w:rsidR="00E95A8D" w:rsidRPr="00061A5F" w:rsidRDefault="00E95A8D" w:rsidP="00F06E4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bs-Latn-BA"/>
              </w:rPr>
            </w:pPr>
            <w:r w:rsidRPr="00061A5F">
              <w:rPr>
                <w:rFonts w:ascii="Times New Roman" w:eastAsia="Times New Roman" w:hAnsi="Times New Roman"/>
                <w:color w:val="000000"/>
                <w:lang w:eastAsia="bs-Latn-BA"/>
              </w:rPr>
              <w:t>93</w:t>
            </w:r>
          </w:p>
        </w:tc>
        <w:tc>
          <w:tcPr>
            <w:tcW w:w="2364" w:type="dxa"/>
          </w:tcPr>
          <w:p w14:paraId="202AC9BF" w14:textId="77777777" w:rsidR="00E95A8D" w:rsidRPr="00061A5F" w:rsidRDefault="00E95A8D" w:rsidP="00F06E4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bs-Latn-BA"/>
              </w:rPr>
            </w:pPr>
            <w:r w:rsidRPr="00061A5F">
              <w:rPr>
                <w:rFonts w:ascii="Times New Roman" w:eastAsia="Times New Roman" w:hAnsi="Times New Roman"/>
                <w:color w:val="000000"/>
                <w:lang w:eastAsia="bs-Latn-BA"/>
              </w:rPr>
              <w:t>119</w:t>
            </w:r>
          </w:p>
        </w:tc>
      </w:tr>
      <w:tr w:rsidR="00E95A8D" w:rsidRPr="00061A5F" w14:paraId="46885488" w14:textId="77777777" w:rsidTr="00CD34D9">
        <w:trPr>
          <w:trHeight w:val="233"/>
        </w:trPr>
        <w:tc>
          <w:tcPr>
            <w:cnfStyle w:val="001000000000" w:firstRow="0" w:lastRow="0" w:firstColumn="1" w:lastColumn="0" w:oddVBand="0" w:evenVBand="0" w:oddHBand="0" w:evenHBand="0" w:firstRowFirstColumn="0" w:firstRowLastColumn="0" w:lastRowFirstColumn="0" w:lastRowLastColumn="0"/>
            <w:tcW w:w="4106" w:type="dxa"/>
          </w:tcPr>
          <w:p w14:paraId="6F47722E" w14:textId="77777777" w:rsidR="00E95A8D" w:rsidRPr="00061A5F" w:rsidRDefault="00E95A8D" w:rsidP="00F94A91">
            <w:pPr>
              <w:spacing w:line="276" w:lineRule="auto"/>
              <w:jc w:val="both"/>
              <w:rPr>
                <w:rFonts w:ascii="Times New Roman" w:eastAsia="Times New Roman" w:hAnsi="Times New Roman"/>
                <w:b w:val="0"/>
                <w:bCs w:val="0"/>
                <w:lang w:eastAsia="en-GB"/>
              </w:rPr>
            </w:pPr>
            <w:proofErr w:type="spellStart"/>
            <w:r w:rsidRPr="00061A5F">
              <w:rPr>
                <w:rFonts w:ascii="Times New Roman" w:eastAsia="Times New Roman" w:hAnsi="Times New Roman"/>
                <w:b w:val="0"/>
                <w:bCs w:val="0"/>
                <w:lang w:eastAsia="en-GB"/>
              </w:rPr>
              <w:t>Sargan</w:t>
            </w:r>
            <w:proofErr w:type="spellEnd"/>
            <w:r w:rsidRPr="00061A5F">
              <w:rPr>
                <w:rFonts w:ascii="Times New Roman" w:eastAsia="Times New Roman" w:hAnsi="Times New Roman"/>
                <w:b w:val="0"/>
                <w:bCs w:val="0"/>
                <w:lang w:eastAsia="en-GB"/>
              </w:rPr>
              <w:t xml:space="preserve"> (Prob &gt; chi2)</w:t>
            </w:r>
          </w:p>
        </w:tc>
        <w:tc>
          <w:tcPr>
            <w:tcW w:w="2552" w:type="dxa"/>
          </w:tcPr>
          <w:p w14:paraId="22F44866" w14:textId="77777777" w:rsidR="00E95A8D" w:rsidRPr="00061A5F" w:rsidRDefault="00E95A8D" w:rsidP="00F06E4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bs-Latn-BA"/>
              </w:rPr>
            </w:pPr>
            <w:r w:rsidRPr="00061A5F">
              <w:rPr>
                <w:rFonts w:ascii="Times New Roman" w:eastAsia="Times New Roman" w:hAnsi="Times New Roman"/>
                <w:color w:val="000000"/>
                <w:lang w:eastAsia="bs-Latn-BA"/>
              </w:rPr>
              <w:t>0.038</w:t>
            </w:r>
          </w:p>
        </w:tc>
        <w:tc>
          <w:tcPr>
            <w:tcW w:w="2364" w:type="dxa"/>
          </w:tcPr>
          <w:p w14:paraId="1E91481D" w14:textId="77777777" w:rsidR="00E95A8D" w:rsidRPr="00061A5F" w:rsidRDefault="00E95A8D" w:rsidP="00F06E4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bs-Latn-BA"/>
              </w:rPr>
            </w:pPr>
            <w:r w:rsidRPr="00061A5F">
              <w:rPr>
                <w:rFonts w:ascii="Times New Roman" w:eastAsia="Times New Roman" w:hAnsi="Times New Roman"/>
                <w:color w:val="000000"/>
                <w:lang w:eastAsia="bs-Latn-BA"/>
              </w:rPr>
              <w:t>0.120</w:t>
            </w:r>
          </w:p>
        </w:tc>
      </w:tr>
      <w:tr w:rsidR="00E95A8D" w:rsidRPr="00061A5F" w14:paraId="78542711" w14:textId="77777777" w:rsidTr="00CD34D9">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106" w:type="dxa"/>
          </w:tcPr>
          <w:p w14:paraId="771FB0A2" w14:textId="77777777" w:rsidR="00E95A8D" w:rsidRPr="00061A5F" w:rsidRDefault="00E95A8D" w:rsidP="00F94A91">
            <w:pPr>
              <w:spacing w:line="276" w:lineRule="auto"/>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m1+m2 (</w:t>
            </w:r>
            <w:proofErr w:type="spellStart"/>
            <w:r w:rsidRPr="00061A5F">
              <w:rPr>
                <w:rFonts w:ascii="Times New Roman" w:eastAsia="Times New Roman" w:hAnsi="Times New Roman"/>
                <w:b w:val="0"/>
                <w:bCs w:val="0"/>
                <w:lang w:eastAsia="en-GB"/>
              </w:rPr>
              <w:t>Pr</w:t>
            </w:r>
            <w:proofErr w:type="spellEnd"/>
            <w:r w:rsidRPr="00061A5F">
              <w:rPr>
                <w:rFonts w:ascii="Times New Roman" w:eastAsia="Times New Roman" w:hAnsi="Times New Roman"/>
                <w:b w:val="0"/>
                <w:bCs w:val="0"/>
                <w:lang w:eastAsia="en-GB"/>
              </w:rPr>
              <w:t xml:space="preserve"> &gt; z)</w:t>
            </w:r>
          </w:p>
        </w:tc>
        <w:tc>
          <w:tcPr>
            <w:tcW w:w="2552" w:type="dxa"/>
          </w:tcPr>
          <w:p w14:paraId="15C81EC8" w14:textId="77777777" w:rsidR="00E95A8D" w:rsidRPr="00061A5F" w:rsidRDefault="00E95A8D" w:rsidP="00F06E4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bs-Latn-BA"/>
              </w:rPr>
            </w:pPr>
            <w:r w:rsidRPr="00061A5F">
              <w:rPr>
                <w:rFonts w:ascii="Times New Roman" w:eastAsia="Times New Roman" w:hAnsi="Times New Roman"/>
                <w:color w:val="000000"/>
                <w:lang w:eastAsia="bs-Latn-BA"/>
              </w:rPr>
              <w:t>0.018/0.841</w:t>
            </w:r>
          </w:p>
        </w:tc>
        <w:tc>
          <w:tcPr>
            <w:tcW w:w="2364" w:type="dxa"/>
          </w:tcPr>
          <w:p w14:paraId="0903F82A" w14:textId="77777777" w:rsidR="00E95A8D" w:rsidRPr="00061A5F" w:rsidRDefault="00E95A8D" w:rsidP="00F06E4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bs-Latn-BA"/>
              </w:rPr>
            </w:pPr>
            <w:r w:rsidRPr="00061A5F">
              <w:rPr>
                <w:rFonts w:ascii="Times New Roman" w:eastAsia="Times New Roman" w:hAnsi="Times New Roman"/>
                <w:color w:val="000000"/>
                <w:lang w:eastAsia="bs-Latn-BA"/>
              </w:rPr>
              <w:t>0.020/0.841</w:t>
            </w:r>
          </w:p>
        </w:tc>
      </w:tr>
    </w:tbl>
    <w:p w14:paraId="35046A2F" w14:textId="44385D98" w:rsidR="009A40F5" w:rsidRPr="00061A5F" w:rsidRDefault="00F53F54" w:rsidP="002255D3">
      <w:pPr>
        <w:spacing w:line="276" w:lineRule="auto"/>
        <w:jc w:val="both"/>
        <w:rPr>
          <w:rFonts w:ascii="Times New Roman" w:eastAsia="Times New Roman" w:hAnsi="Times New Roman"/>
          <w:lang w:eastAsia="en-GB"/>
        </w:rPr>
      </w:pPr>
      <w:r w:rsidRPr="00061A5F">
        <w:rPr>
          <w:rFonts w:ascii="Times New Roman" w:eastAsia="Times New Roman" w:hAnsi="Times New Roman"/>
          <w:lang w:eastAsia="en-GB"/>
        </w:rPr>
        <w:t xml:space="preserve">***, **, * denotes that variables are statistically significant at the 1%, 5% and 10%, respectively </w:t>
      </w:r>
    </w:p>
    <w:p w14:paraId="416B6989" w14:textId="77777777" w:rsidR="002255D3" w:rsidRPr="00061A5F" w:rsidRDefault="002255D3" w:rsidP="00F06E4C">
      <w:pPr>
        <w:spacing w:line="276" w:lineRule="auto"/>
        <w:jc w:val="both"/>
        <w:rPr>
          <w:rFonts w:ascii="Times New Roman" w:eastAsia="Times New Roman" w:hAnsi="Times New Roman"/>
          <w:lang w:eastAsia="en-GB"/>
        </w:rPr>
      </w:pPr>
    </w:p>
    <w:p w14:paraId="7E2AE5AB" w14:textId="0531B114" w:rsidR="009A40F5" w:rsidRPr="00061A5F" w:rsidRDefault="009A40F5" w:rsidP="007F5D0E">
      <w:pPr>
        <w:spacing w:line="276" w:lineRule="auto"/>
        <w:jc w:val="both"/>
        <w:rPr>
          <w:rFonts w:ascii="Times New Roman" w:hAnsi="Times New Roman"/>
          <w:sz w:val="24"/>
          <w:szCs w:val="24"/>
          <w:lang w:eastAsia="en-GB"/>
        </w:rPr>
      </w:pPr>
      <w:r w:rsidRPr="00061A5F">
        <w:rPr>
          <w:rFonts w:ascii="Times New Roman" w:hAnsi="Times New Roman"/>
          <w:sz w:val="24"/>
          <w:szCs w:val="24"/>
        </w:rPr>
        <w:t>Table 2</w:t>
      </w:r>
      <w:r w:rsidR="002F7755" w:rsidRPr="00061A5F">
        <w:rPr>
          <w:rFonts w:ascii="Times New Roman" w:hAnsi="Times New Roman"/>
          <w:sz w:val="24"/>
          <w:szCs w:val="24"/>
        </w:rPr>
        <w:t>b</w:t>
      </w:r>
      <w:r w:rsidR="002255D3" w:rsidRPr="00061A5F">
        <w:rPr>
          <w:rFonts w:ascii="Times New Roman" w:hAnsi="Times New Roman"/>
          <w:sz w:val="24"/>
          <w:szCs w:val="24"/>
        </w:rPr>
        <w:t>.</w:t>
      </w:r>
      <w:r w:rsidRPr="00061A5F">
        <w:rPr>
          <w:rFonts w:ascii="Times New Roman" w:hAnsi="Times New Roman"/>
          <w:sz w:val="24"/>
          <w:szCs w:val="24"/>
        </w:rPr>
        <w:t xml:space="preserve"> </w:t>
      </w:r>
      <w:r w:rsidR="005009EB" w:rsidRPr="00061A5F">
        <w:rPr>
          <w:rFonts w:ascii="Times New Roman" w:hAnsi="Times New Roman"/>
          <w:sz w:val="24"/>
          <w:szCs w:val="24"/>
        </w:rPr>
        <w:t>Post-estimation r</w:t>
      </w:r>
      <w:r w:rsidRPr="00061A5F">
        <w:rPr>
          <w:rFonts w:ascii="Times New Roman" w:hAnsi="Times New Roman"/>
          <w:sz w:val="24"/>
          <w:szCs w:val="24"/>
        </w:rPr>
        <w:t xml:space="preserve">esults </w:t>
      </w:r>
      <w:r w:rsidR="005009EB" w:rsidRPr="00061A5F">
        <w:rPr>
          <w:rFonts w:ascii="Times New Roman" w:hAnsi="Times New Roman"/>
          <w:sz w:val="24"/>
          <w:szCs w:val="24"/>
        </w:rPr>
        <w:t>(marginal effects) after e</w:t>
      </w:r>
      <w:r w:rsidRPr="00061A5F">
        <w:rPr>
          <w:rFonts w:ascii="Times New Roman" w:hAnsi="Times New Roman"/>
          <w:sz w:val="24"/>
          <w:szCs w:val="24"/>
        </w:rPr>
        <w:t xml:space="preserve">stimation of Equations </w:t>
      </w:r>
      <w:r w:rsidR="00512895" w:rsidRPr="00061A5F">
        <w:rPr>
          <w:rFonts w:ascii="Times New Roman" w:hAnsi="Times New Roman"/>
          <w:sz w:val="24"/>
          <w:szCs w:val="24"/>
        </w:rPr>
        <w:t>1</w:t>
      </w:r>
      <w:r w:rsidR="00DA6B34" w:rsidRPr="00061A5F">
        <w:rPr>
          <w:rFonts w:ascii="Times New Roman" w:hAnsi="Times New Roman"/>
          <w:sz w:val="24"/>
          <w:szCs w:val="24"/>
        </w:rPr>
        <w:t xml:space="preserve"> and</w:t>
      </w:r>
      <w:r w:rsidRPr="00061A5F">
        <w:rPr>
          <w:rFonts w:ascii="Times New Roman" w:hAnsi="Times New Roman"/>
          <w:sz w:val="24"/>
          <w:szCs w:val="24"/>
        </w:rPr>
        <w:t xml:space="preserve"> </w:t>
      </w:r>
      <w:r w:rsidR="00DA6B34" w:rsidRPr="00061A5F">
        <w:rPr>
          <w:rFonts w:ascii="Times New Roman" w:hAnsi="Times New Roman"/>
          <w:sz w:val="24"/>
          <w:szCs w:val="24"/>
        </w:rPr>
        <w:t>2</w:t>
      </w:r>
    </w:p>
    <w:tbl>
      <w:tblPr>
        <w:tblStyle w:val="PlainTable1"/>
        <w:tblW w:w="9045" w:type="dxa"/>
        <w:tblLook w:val="01E0" w:firstRow="1" w:lastRow="1" w:firstColumn="1" w:lastColumn="1" w:noHBand="0" w:noVBand="0"/>
      </w:tblPr>
      <w:tblGrid>
        <w:gridCol w:w="4106"/>
        <w:gridCol w:w="2552"/>
        <w:gridCol w:w="2387"/>
      </w:tblGrid>
      <w:tr w:rsidR="00E95A8D" w:rsidRPr="00061A5F" w14:paraId="7E9D7C78" w14:textId="77777777" w:rsidTr="00CD34D9">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106" w:type="dxa"/>
          </w:tcPr>
          <w:p w14:paraId="356E88CC" w14:textId="77777777" w:rsidR="00E95A8D" w:rsidRPr="00061A5F" w:rsidRDefault="00E95A8D" w:rsidP="00370685">
            <w:pPr>
              <w:jc w:val="both"/>
              <w:rPr>
                <w:rFonts w:ascii="Times New Roman" w:eastAsia="Times New Roman" w:hAnsi="Times New Roman"/>
                <w:lang w:eastAsia="en-GB"/>
              </w:rPr>
            </w:pPr>
            <w:r w:rsidRPr="00061A5F">
              <w:rPr>
                <w:rFonts w:ascii="Times New Roman" w:eastAsia="Times New Roman" w:hAnsi="Times New Roman"/>
                <w:lang w:eastAsia="en-GB"/>
              </w:rPr>
              <w:t>Variables</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Pr>
          <w:p w14:paraId="6C82B84C" w14:textId="045B7FEA" w:rsidR="00E95A8D" w:rsidRPr="00061A5F" w:rsidRDefault="00E95A8D" w:rsidP="002F7755">
            <w:pPr>
              <w:spacing w:line="276" w:lineRule="auto"/>
              <w:jc w:val="center"/>
              <w:rPr>
                <w:rFonts w:ascii="Times New Roman" w:eastAsia="Times New Roman" w:hAnsi="Times New Roman"/>
                <w:lang w:eastAsia="en-GB"/>
              </w:rPr>
            </w:pPr>
            <w:r w:rsidRPr="00061A5F">
              <w:rPr>
                <w:rFonts w:ascii="Times New Roman" w:eastAsia="Times New Roman" w:hAnsi="Times New Roman"/>
                <w:lang w:eastAsia="en-GB"/>
              </w:rPr>
              <w:t>Equation 1</w:t>
            </w:r>
          </w:p>
        </w:tc>
        <w:tc>
          <w:tcPr>
            <w:cnfStyle w:val="000100000000" w:firstRow="0" w:lastRow="0" w:firstColumn="0" w:lastColumn="1" w:oddVBand="0" w:evenVBand="0" w:oddHBand="0" w:evenHBand="0" w:firstRowFirstColumn="0" w:firstRowLastColumn="0" w:lastRowFirstColumn="0" w:lastRowLastColumn="0"/>
            <w:tcW w:w="2387" w:type="dxa"/>
          </w:tcPr>
          <w:p w14:paraId="0CD5BC17" w14:textId="15985D9B" w:rsidR="00E95A8D" w:rsidRPr="00061A5F" w:rsidRDefault="00E95A8D" w:rsidP="002F7755">
            <w:pPr>
              <w:spacing w:line="276" w:lineRule="auto"/>
              <w:jc w:val="center"/>
              <w:rPr>
                <w:rFonts w:ascii="Times New Roman" w:eastAsia="Times New Roman" w:hAnsi="Times New Roman"/>
                <w:lang w:eastAsia="en-GB"/>
              </w:rPr>
            </w:pPr>
            <w:r w:rsidRPr="00061A5F">
              <w:rPr>
                <w:rFonts w:ascii="Times New Roman" w:eastAsia="Times New Roman" w:hAnsi="Times New Roman"/>
                <w:lang w:eastAsia="en-GB"/>
              </w:rPr>
              <w:t xml:space="preserve">Equation </w:t>
            </w:r>
            <w:r w:rsidR="00DA6B34" w:rsidRPr="00061A5F">
              <w:rPr>
                <w:rFonts w:ascii="Times New Roman" w:eastAsia="Times New Roman" w:hAnsi="Times New Roman"/>
                <w:lang w:eastAsia="en-GB"/>
              </w:rPr>
              <w:t>2</w:t>
            </w:r>
          </w:p>
        </w:tc>
      </w:tr>
      <w:tr w:rsidR="00E95A8D" w:rsidRPr="00061A5F" w14:paraId="3F7C49F4" w14:textId="77777777" w:rsidTr="00CD34D9">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106" w:type="dxa"/>
          </w:tcPr>
          <w:p w14:paraId="7ABCF7AF" w14:textId="77777777" w:rsidR="00E95A8D" w:rsidRPr="00061A5F" w:rsidRDefault="00E95A8D" w:rsidP="00370685">
            <w:pPr>
              <w:jc w:val="both"/>
              <w:rPr>
                <w:rFonts w:ascii="Times New Roman" w:eastAsia="Times New Roman" w:hAnsi="Times New Roman"/>
                <w:lang w:eastAsia="en-GB"/>
              </w:rPr>
            </w:pPr>
            <w:r w:rsidRPr="00061A5F">
              <w:rPr>
                <w:rFonts w:ascii="Times New Roman" w:eastAsia="Times New Roman" w:hAnsi="Times New Roman"/>
                <w:lang w:eastAsia="en-GB"/>
              </w:rPr>
              <w:t>L</w:t>
            </w:r>
            <w:proofErr w:type="gramStart"/>
            <w:r w:rsidRPr="00061A5F">
              <w:rPr>
                <w:rFonts w:ascii="Times New Roman" w:eastAsia="Times New Roman" w:hAnsi="Times New Roman"/>
                <w:lang w:eastAsia="en-GB"/>
              </w:rPr>
              <w:t>1.LNINF</w:t>
            </w:r>
            <w:proofErr w:type="gramEnd"/>
          </w:p>
        </w:tc>
        <w:tc>
          <w:tcPr>
            <w:cnfStyle w:val="000010000000" w:firstRow="0" w:lastRow="0" w:firstColumn="0" w:lastColumn="0" w:oddVBand="1" w:evenVBand="0" w:oddHBand="0" w:evenHBand="0" w:firstRowFirstColumn="0" w:firstRowLastColumn="0" w:lastRowFirstColumn="0" w:lastRowLastColumn="0"/>
            <w:tcW w:w="2552" w:type="dxa"/>
          </w:tcPr>
          <w:p w14:paraId="3E76EA96" w14:textId="6A54EF47" w:rsidR="00E95A8D" w:rsidRPr="00061A5F" w:rsidRDefault="00E95A8D" w:rsidP="00370685">
            <w:pPr>
              <w:jc w:val="center"/>
              <w:rPr>
                <w:rFonts w:ascii="Times New Roman" w:eastAsia="Times New Roman" w:hAnsi="Times New Roman"/>
                <w:lang w:eastAsia="en-GB"/>
              </w:rPr>
            </w:pPr>
            <w:r w:rsidRPr="00061A5F">
              <w:rPr>
                <w:rFonts w:ascii="Times New Roman" w:eastAsia="Times New Roman" w:hAnsi="Times New Roman"/>
                <w:lang w:eastAsia="en-GB"/>
              </w:rPr>
              <w:t>0.411***</w:t>
            </w:r>
          </w:p>
        </w:tc>
        <w:tc>
          <w:tcPr>
            <w:cnfStyle w:val="000100000000" w:firstRow="0" w:lastRow="0" w:firstColumn="0" w:lastColumn="1" w:oddVBand="0" w:evenVBand="0" w:oddHBand="0" w:evenHBand="0" w:firstRowFirstColumn="0" w:firstRowLastColumn="0" w:lastRowFirstColumn="0" w:lastRowLastColumn="0"/>
            <w:tcW w:w="2387" w:type="dxa"/>
          </w:tcPr>
          <w:p w14:paraId="220546DD" w14:textId="7263BCC1" w:rsidR="00E95A8D" w:rsidRPr="00061A5F" w:rsidRDefault="00E95A8D" w:rsidP="00370685">
            <w:pPr>
              <w:jc w:val="cente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0.410***</w:t>
            </w:r>
          </w:p>
        </w:tc>
      </w:tr>
      <w:tr w:rsidR="00E95A8D" w:rsidRPr="00061A5F" w14:paraId="3213BBCF" w14:textId="77777777" w:rsidTr="00CD34D9">
        <w:trPr>
          <w:trHeight w:val="271"/>
        </w:trPr>
        <w:tc>
          <w:tcPr>
            <w:cnfStyle w:val="001000000000" w:firstRow="0" w:lastRow="0" w:firstColumn="1" w:lastColumn="0" w:oddVBand="0" w:evenVBand="0" w:oddHBand="0" w:evenHBand="0" w:firstRowFirstColumn="0" w:firstRowLastColumn="0" w:lastRowFirstColumn="0" w:lastRowLastColumn="0"/>
            <w:tcW w:w="4106" w:type="dxa"/>
          </w:tcPr>
          <w:p w14:paraId="1E2DDBED" w14:textId="77777777" w:rsidR="00E95A8D" w:rsidRPr="00061A5F" w:rsidRDefault="00E95A8D" w:rsidP="00370685">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Inflation (lagged)</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Pr>
          <w:p w14:paraId="605AD51C" w14:textId="77777777" w:rsidR="00E95A8D" w:rsidRPr="00061A5F" w:rsidRDefault="00E95A8D" w:rsidP="00370685">
            <w:pPr>
              <w:jc w:val="center"/>
              <w:rPr>
                <w:rFonts w:ascii="Times New Roman" w:eastAsia="Times New Roman" w:hAnsi="Times New Roman"/>
                <w:lang w:eastAsia="en-GB"/>
              </w:rPr>
            </w:pPr>
            <w:r w:rsidRPr="00061A5F">
              <w:rPr>
                <w:rFonts w:ascii="Times New Roman" w:eastAsia="Times New Roman" w:hAnsi="Times New Roman"/>
                <w:lang w:eastAsia="en-GB"/>
              </w:rPr>
              <w:t>(0.0553)</w:t>
            </w:r>
          </w:p>
        </w:tc>
        <w:tc>
          <w:tcPr>
            <w:cnfStyle w:val="000100000000" w:firstRow="0" w:lastRow="0" w:firstColumn="0" w:lastColumn="1" w:oddVBand="0" w:evenVBand="0" w:oddHBand="0" w:evenHBand="0" w:firstRowFirstColumn="0" w:firstRowLastColumn="0" w:lastRowFirstColumn="0" w:lastRowLastColumn="0"/>
            <w:tcW w:w="2387" w:type="dxa"/>
          </w:tcPr>
          <w:p w14:paraId="19BE3C15" w14:textId="77777777" w:rsidR="00E95A8D" w:rsidRPr="00061A5F" w:rsidRDefault="00E95A8D" w:rsidP="00370685">
            <w:pPr>
              <w:jc w:val="cente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(0.0512)</w:t>
            </w:r>
          </w:p>
        </w:tc>
      </w:tr>
      <w:tr w:rsidR="00E95A8D" w:rsidRPr="00061A5F" w14:paraId="6B2ED3A6" w14:textId="77777777" w:rsidTr="00CD34D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106" w:type="dxa"/>
          </w:tcPr>
          <w:p w14:paraId="3A18C74C" w14:textId="77777777" w:rsidR="00E95A8D" w:rsidRPr="00061A5F" w:rsidRDefault="00E95A8D" w:rsidP="00370685">
            <w:pPr>
              <w:jc w:val="both"/>
              <w:rPr>
                <w:rFonts w:ascii="Times New Roman" w:eastAsia="Times New Roman" w:hAnsi="Times New Roman"/>
                <w:lang w:eastAsia="en-GB"/>
              </w:rPr>
            </w:pPr>
            <w:r w:rsidRPr="00061A5F">
              <w:rPr>
                <w:rFonts w:ascii="Times New Roman" w:eastAsia="Times New Roman" w:hAnsi="Times New Roman"/>
                <w:lang w:eastAsia="en-GB"/>
              </w:rPr>
              <w:t>CBA</w:t>
            </w:r>
          </w:p>
        </w:tc>
        <w:tc>
          <w:tcPr>
            <w:cnfStyle w:val="000010000000" w:firstRow="0" w:lastRow="0" w:firstColumn="0" w:lastColumn="0" w:oddVBand="1" w:evenVBand="0" w:oddHBand="0" w:evenHBand="0" w:firstRowFirstColumn="0" w:firstRowLastColumn="0" w:lastRowFirstColumn="0" w:lastRowLastColumn="0"/>
            <w:tcW w:w="2552" w:type="dxa"/>
          </w:tcPr>
          <w:p w14:paraId="63A272F1" w14:textId="77777777" w:rsidR="00E95A8D" w:rsidRPr="00061A5F" w:rsidRDefault="00E95A8D" w:rsidP="00370685">
            <w:pPr>
              <w:jc w:val="center"/>
              <w:rPr>
                <w:rFonts w:ascii="Times New Roman" w:eastAsia="Times New Roman" w:hAnsi="Times New Roman"/>
                <w:lang w:eastAsia="en-GB"/>
              </w:rPr>
            </w:pPr>
            <w:r w:rsidRPr="00061A5F">
              <w:rPr>
                <w:rFonts w:ascii="Times New Roman" w:eastAsia="Times New Roman" w:hAnsi="Times New Roman"/>
                <w:lang w:eastAsia="en-GB"/>
              </w:rPr>
              <w:t>-0.0750*</w:t>
            </w:r>
          </w:p>
        </w:tc>
        <w:tc>
          <w:tcPr>
            <w:cnfStyle w:val="000100000000" w:firstRow="0" w:lastRow="0" w:firstColumn="0" w:lastColumn="1" w:oddVBand="0" w:evenVBand="0" w:oddHBand="0" w:evenHBand="0" w:firstRowFirstColumn="0" w:firstRowLastColumn="0" w:lastRowFirstColumn="0" w:lastRowLastColumn="0"/>
            <w:tcW w:w="2387" w:type="dxa"/>
          </w:tcPr>
          <w:p w14:paraId="7B0ADF8B" w14:textId="774D1A1E" w:rsidR="00E95A8D" w:rsidRPr="00061A5F" w:rsidRDefault="00E95A8D" w:rsidP="00370685">
            <w:pPr>
              <w:jc w:val="cente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-0.103**</w:t>
            </w:r>
          </w:p>
        </w:tc>
      </w:tr>
      <w:tr w:rsidR="00E95A8D" w:rsidRPr="00061A5F" w14:paraId="12A57CAD" w14:textId="77777777" w:rsidTr="00CD34D9">
        <w:trPr>
          <w:trHeight w:val="72"/>
        </w:trPr>
        <w:tc>
          <w:tcPr>
            <w:cnfStyle w:val="001000000000" w:firstRow="0" w:lastRow="0" w:firstColumn="1" w:lastColumn="0" w:oddVBand="0" w:evenVBand="0" w:oddHBand="0" w:evenHBand="0" w:firstRowFirstColumn="0" w:firstRowLastColumn="0" w:lastRowFirstColumn="0" w:lastRowLastColumn="0"/>
            <w:tcW w:w="4106" w:type="dxa"/>
          </w:tcPr>
          <w:p w14:paraId="3D909944" w14:textId="252F79BD" w:rsidR="00E95A8D" w:rsidRPr="00061A5F" w:rsidRDefault="00370685" w:rsidP="00370685">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C</w:t>
            </w:r>
            <w:r w:rsidR="00E95A8D" w:rsidRPr="00061A5F">
              <w:rPr>
                <w:rFonts w:ascii="Times New Roman" w:eastAsia="Times New Roman" w:hAnsi="Times New Roman"/>
                <w:b w:val="0"/>
                <w:bCs w:val="0"/>
                <w:lang w:eastAsia="en-GB"/>
              </w:rPr>
              <w:t>urrency board</w:t>
            </w:r>
            <w:r w:rsidRPr="00061A5F">
              <w:rPr>
                <w:rFonts w:ascii="Times New Roman" w:eastAsia="Times New Roman" w:hAnsi="Times New Roman"/>
                <w:b w:val="0"/>
                <w:bCs w:val="0"/>
                <w:lang w:eastAsia="en-GB"/>
              </w:rPr>
              <w:t xml:space="preserve"> </w:t>
            </w:r>
            <w:r w:rsidR="00E95A8D" w:rsidRPr="00061A5F">
              <w:rPr>
                <w:rFonts w:ascii="Times New Roman" w:eastAsia="Times New Roman" w:hAnsi="Times New Roman"/>
                <w:b w:val="0"/>
                <w:bCs w:val="0"/>
                <w:lang w:eastAsia="en-GB"/>
              </w:rPr>
              <w:t>arrangement</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Pr>
          <w:p w14:paraId="6F54A8FB" w14:textId="77777777" w:rsidR="00E95A8D" w:rsidRPr="00061A5F" w:rsidRDefault="00E95A8D" w:rsidP="00370685">
            <w:pPr>
              <w:jc w:val="center"/>
              <w:rPr>
                <w:rFonts w:ascii="Times New Roman" w:eastAsia="Times New Roman" w:hAnsi="Times New Roman"/>
                <w:lang w:eastAsia="en-GB"/>
              </w:rPr>
            </w:pPr>
            <w:r w:rsidRPr="00061A5F">
              <w:rPr>
                <w:rFonts w:ascii="Times New Roman" w:eastAsia="Times New Roman" w:hAnsi="Times New Roman"/>
                <w:lang w:eastAsia="en-GB"/>
              </w:rPr>
              <w:t>(0.0443)</w:t>
            </w:r>
          </w:p>
        </w:tc>
        <w:tc>
          <w:tcPr>
            <w:cnfStyle w:val="000100000000" w:firstRow="0" w:lastRow="0" w:firstColumn="0" w:lastColumn="1" w:oddVBand="0" w:evenVBand="0" w:oddHBand="0" w:evenHBand="0" w:firstRowFirstColumn="0" w:firstRowLastColumn="0" w:lastRowFirstColumn="0" w:lastRowLastColumn="0"/>
            <w:tcW w:w="2387" w:type="dxa"/>
          </w:tcPr>
          <w:p w14:paraId="42996ADD" w14:textId="26586D43" w:rsidR="00E95A8D" w:rsidRPr="00061A5F" w:rsidRDefault="00E95A8D" w:rsidP="00370685">
            <w:pPr>
              <w:jc w:val="cente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(0.0449)</w:t>
            </w:r>
          </w:p>
        </w:tc>
      </w:tr>
      <w:tr w:rsidR="00E95A8D" w:rsidRPr="00061A5F" w14:paraId="53D8D157" w14:textId="77777777" w:rsidTr="00CD34D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106" w:type="dxa"/>
          </w:tcPr>
          <w:p w14:paraId="71ACAAE6" w14:textId="77777777" w:rsidR="00E95A8D" w:rsidRPr="00061A5F" w:rsidRDefault="00E95A8D" w:rsidP="00370685">
            <w:pPr>
              <w:jc w:val="both"/>
              <w:rPr>
                <w:rFonts w:ascii="Times New Roman" w:eastAsia="Times New Roman" w:hAnsi="Times New Roman"/>
                <w:lang w:eastAsia="en-GB"/>
              </w:rPr>
            </w:pPr>
            <w:r w:rsidRPr="00061A5F">
              <w:rPr>
                <w:rFonts w:ascii="Times New Roman" w:eastAsia="Times New Roman" w:hAnsi="Times New Roman"/>
                <w:lang w:eastAsia="en-GB"/>
              </w:rPr>
              <w:t>GDPG</w:t>
            </w:r>
          </w:p>
        </w:tc>
        <w:tc>
          <w:tcPr>
            <w:cnfStyle w:val="000010000000" w:firstRow="0" w:lastRow="0" w:firstColumn="0" w:lastColumn="0" w:oddVBand="1" w:evenVBand="0" w:oddHBand="0" w:evenHBand="0" w:firstRowFirstColumn="0" w:firstRowLastColumn="0" w:lastRowFirstColumn="0" w:lastRowLastColumn="0"/>
            <w:tcW w:w="2552" w:type="dxa"/>
          </w:tcPr>
          <w:p w14:paraId="08252049" w14:textId="77777777" w:rsidR="00E95A8D" w:rsidRPr="00061A5F" w:rsidRDefault="00E95A8D" w:rsidP="00370685">
            <w:pPr>
              <w:jc w:val="center"/>
              <w:rPr>
                <w:rFonts w:ascii="Times New Roman" w:eastAsia="Times New Roman" w:hAnsi="Times New Roman"/>
                <w:lang w:eastAsia="en-GB"/>
              </w:rPr>
            </w:pPr>
            <w:r w:rsidRPr="00061A5F">
              <w:rPr>
                <w:rFonts w:ascii="Times New Roman" w:eastAsia="Times New Roman" w:hAnsi="Times New Roman"/>
                <w:lang w:eastAsia="en-GB"/>
              </w:rPr>
              <w:t>-0.00418</w:t>
            </w:r>
          </w:p>
        </w:tc>
        <w:tc>
          <w:tcPr>
            <w:cnfStyle w:val="000100000000" w:firstRow="0" w:lastRow="0" w:firstColumn="0" w:lastColumn="1" w:oddVBand="0" w:evenVBand="0" w:oddHBand="0" w:evenHBand="0" w:firstRowFirstColumn="0" w:firstRowLastColumn="0" w:lastRowFirstColumn="0" w:lastRowLastColumn="0"/>
            <w:tcW w:w="2387" w:type="dxa"/>
          </w:tcPr>
          <w:p w14:paraId="22EF5D3E" w14:textId="77777777" w:rsidR="00E95A8D" w:rsidRPr="00061A5F" w:rsidRDefault="00E95A8D" w:rsidP="00370685">
            <w:pPr>
              <w:jc w:val="cente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-0.00397</w:t>
            </w:r>
          </w:p>
        </w:tc>
      </w:tr>
      <w:tr w:rsidR="00E95A8D" w:rsidRPr="00061A5F" w14:paraId="78504117" w14:textId="77777777" w:rsidTr="00CD34D9">
        <w:trPr>
          <w:trHeight w:val="271"/>
        </w:trPr>
        <w:tc>
          <w:tcPr>
            <w:cnfStyle w:val="001000000000" w:firstRow="0" w:lastRow="0" w:firstColumn="1" w:lastColumn="0" w:oddVBand="0" w:evenVBand="0" w:oddHBand="0" w:evenHBand="0" w:firstRowFirstColumn="0" w:firstRowLastColumn="0" w:lastRowFirstColumn="0" w:lastRowLastColumn="0"/>
            <w:tcW w:w="4106" w:type="dxa"/>
          </w:tcPr>
          <w:p w14:paraId="3FE3CAD3" w14:textId="77777777" w:rsidR="00E95A8D" w:rsidRPr="00061A5F" w:rsidRDefault="00E95A8D" w:rsidP="00370685">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GPD growth</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Pr>
          <w:p w14:paraId="20E8E0CA" w14:textId="63EFE137" w:rsidR="00E95A8D" w:rsidRPr="00061A5F" w:rsidRDefault="00E95A8D" w:rsidP="00370685">
            <w:pPr>
              <w:jc w:val="center"/>
              <w:rPr>
                <w:rFonts w:ascii="Times New Roman" w:eastAsia="Times New Roman" w:hAnsi="Times New Roman"/>
                <w:lang w:eastAsia="en-GB"/>
              </w:rPr>
            </w:pPr>
            <w:r w:rsidRPr="00061A5F">
              <w:rPr>
                <w:rFonts w:ascii="Times New Roman" w:eastAsia="Times New Roman" w:hAnsi="Times New Roman"/>
                <w:lang w:eastAsia="en-GB"/>
              </w:rPr>
              <w:t>(0.00351)</w:t>
            </w:r>
          </w:p>
        </w:tc>
        <w:tc>
          <w:tcPr>
            <w:cnfStyle w:val="000100000000" w:firstRow="0" w:lastRow="0" w:firstColumn="0" w:lastColumn="1" w:oddVBand="0" w:evenVBand="0" w:oddHBand="0" w:evenHBand="0" w:firstRowFirstColumn="0" w:firstRowLastColumn="0" w:lastRowFirstColumn="0" w:lastRowLastColumn="0"/>
            <w:tcW w:w="2387" w:type="dxa"/>
          </w:tcPr>
          <w:p w14:paraId="3F13DE9F" w14:textId="049FDF9D" w:rsidR="00E95A8D" w:rsidRPr="00061A5F" w:rsidRDefault="00E95A8D" w:rsidP="00370685">
            <w:pPr>
              <w:jc w:val="cente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(0.00356)</w:t>
            </w:r>
          </w:p>
        </w:tc>
      </w:tr>
      <w:tr w:rsidR="00E95A8D" w:rsidRPr="00061A5F" w14:paraId="526C34E3" w14:textId="77777777" w:rsidTr="00CD34D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106" w:type="dxa"/>
          </w:tcPr>
          <w:p w14:paraId="39DE0C90" w14:textId="77777777" w:rsidR="00E95A8D" w:rsidRPr="00061A5F" w:rsidRDefault="00E95A8D" w:rsidP="00370685">
            <w:pPr>
              <w:jc w:val="both"/>
              <w:rPr>
                <w:rFonts w:ascii="Times New Roman" w:eastAsia="Times New Roman" w:hAnsi="Times New Roman"/>
                <w:lang w:eastAsia="en-GB"/>
              </w:rPr>
            </w:pPr>
            <w:r w:rsidRPr="00061A5F">
              <w:rPr>
                <w:rFonts w:ascii="Times New Roman" w:eastAsia="Times New Roman" w:hAnsi="Times New Roman"/>
                <w:lang w:eastAsia="en-GB"/>
              </w:rPr>
              <w:t>MSG</w:t>
            </w:r>
          </w:p>
        </w:tc>
        <w:tc>
          <w:tcPr>
            <w:cnfStyle w:val="000010000000" w:firstRow="0" w:lastRow="0" w:firstColumn="0" w:lastColumn="0" w:oddVBand="1" w:evenVBand="0" w:oddHBand="0" w:evenHBand="0" w:firstRowFirstColumn="0" w:firstRowLastColumn="0" w:lastRowFirstColumn="0" w:lastRowLastColumn="0"/>
            <w:tcW w:w="2552" w:type="dxa"/>
          </w:tcPr>
          <w:p w14:paraId="1694B7DF" w14:textId="04523B58" w:rsidR="00E95A8D" w:rsidRPr="00061A5F" w:rsidRDefault="00E95A8D" w:rsidP="00370685">
            <w:pPr>
              <w:jc w:val="center"/>
              <w:rPr>
                <w:rFonts w:ascii="Times New Roman" w:eastAsia="Times New Roman" w:hAnsi="Times New Roman"/>
                <w:lang w:eastAsia="en-GB"/>
              </w:rPr>
            </w:pPr>
            <w:r w:rsidRPr="00061A5F">
              <w:rPr>
                <w:rFonts w:ascii="Times New Roman" w:eastAsia="Times New Roman" w:hAnsi="Times New Roman"/>
                <w:lang w:eastAsia="en-GB"/>
              </w:rPr>
              <w:t>0.00524***</w:t>
            </w:r>
          </w:p>
        </w:tc>
        <w:tc>
          <w:tcPr>
            <w:cnfStyle w:val="000100000000" w:firstRow="0" w:lastRow="0" w:firstColumn="0" w:lastColumn="1" w:oddVBand="0" w:evenVBand="0" w:oddHBand="0" w:evenHBand="0" w:firstRowFirstColumn="0" w:firstRowLastColumn="0" w:lastRowFirstColumn="0" w:lastRowLastColumn="0"/>
            <w:tcW w:w="2387" w:type="dxa"/>
          </w:tcPr>
          <w:p w14:paraId="64E2232C" w14:textId="679390E6" w:rsidR="00E95A8D" w:rsidRPr="00061A5F" w:rsidRDefault="00E95A8D" w:rsidP="00370685">
            <w:pPr>
              <w:jc w:val="cente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0.00446***</w:t>
            </w:r>
          </w:p>
        </w:tc>
      </w:tr>
      <w:tr w:rsidR="00E95A8D" w:rsidRPr="00061A5F" w14:paraId="7432C847" w14:textId="77777777" w:rsidTr="00CD34D9">
        <w:trPr>
          <w:trHeight w:val="271"/>
        </w:trPr>
        <w:tc>
          <w:tcPr>
            <w:cnfStyle w:val="001000000000" w:firstRow="0" w:lastRow="0" w:firstColumn="1" w:lastColumn="0" w:oddVBand="0" w:evenVBand="0" w:oddHBand="0" w:evenHBand="0" w:firstRowFirstColumn="0" w:firstRowLastColumn="0" w:lastRowFirstColumn="0" w:lastRowLastColumn="0"/>
            <w:tcW w:w="4106" w:type="dxa"/>
          </w:tcPr>
          <w:p w14:paraId="1C35C381" w14:textId="77777777" w:rsidR="00E95A8D" w:rsidRPr="00061A5F" w:rsidRDefault="00E95A8D" w:rsidP="00370685">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Money supply growth</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Pr>
          <w:p w14:paraId="5599F9F0" w14:textId="232AB148" w:rsidR="00E95A8D" w:rsidRPr="00061A5F" w:rsidRDefault="00E95A8D" w:rsidP="00370685">
            <w:pPr>
              <w:jc w:val="center"/>
              <w:rPr>
                <w:rFonts w:ascii="Times New Roman" w:eastAsia="Times New Roman" w:hAnsi="Times New Roman"/>
                <w:lang w:eastAsia="en-GB"/>
              </w:rPr>
            </w:pPr>
            <w:r w:rsidRPr="00061A5F">
              <w:rPr>
                <w:rFonts w:ascii="Times New Roman" w:eastAsia="Times New Roman" w:hAnsi="Times New Roman"/>
                <w:lang w:eastAsia="en-GB"/>
              </w:rPr>
              <w:t>(0.00128)</w:t>
            </w:r>
          </w:p>
        </w:tc>
        <w:tc>
          <w:tcPr>
            <w:cnfStyle w:val="000100000000" w:firstRow="0" w:lastRow="0" w:firstColumn="0" w:lastColumn="1" w:oddVBand="0" w:evenVBand="0" w:oddHBand="0" w:evenHBand="0" w:firstRowFirstColumn="0" w:firstRowLastColumn="0" w:lastRowFirstColumn="0" w:lastRowLastColumn="0"/>
            <w:tcW w:w="2387" w:type="dxa"/>
          </w:tcPr>
          <w:p w14:paraId="6615FA5E" w14:textId="211F86FF" w:rsidR="00E95A8D" w:rsidRPr="00061A5F" w:rsidRDefault="00E95A8D" w:rsidP="00370685">
            <w:pPr>
              <w:jc w:val="cente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(0.00112)</w:t>
            </w:r>
          </w:p>
        </w:tc>
      </w:tr>
      <w:tr w:rsidR="00E95A8D" w:rsidRPr="00061A5F" w14:paraId="15EBECC7" w14:textId="77777777" w:rsidTr="00CD34D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106" w:type="dxa"/>
          </w:tcPr>
          <w:p w14:paraId="5B3A4DB8" w14:textId="77777777" w:rsidR="00E95A8D" w:rsidRPr="00061A5F" w:rsidRDefault="00E95A8D" w:rsidP="00370685">
            <w:pPr>
              <w:jc w:val="both"/>
              <w:rPr>
                <w:rFonts w:ascii="Times New Roman" w:eastAsia="Times New Roman" w:hAnsi="Times New Roman"/>
                <w:lang w:eastAsia="en-GB"/>
              </w:rPr>
            </w:pPr>
            <w:r w:rsidRPr="00061A5F">
              <w:rPr>
                <w:rFonts w:ascii="Times New Roman" w:eastAsia="Times New Roman" w:hAnsi="Times New Roman"/>
                <w:lang w:eastAsia="en-GB"/>
              </w:rPr>
              <w:t>FB</w:t>
            </w:r>
          </w:p>
        </w:tc>
        <w:tc>
          <w:tcPr>
            <w:cnfStyle w:val="000010000000" w:firstRow="0" w:lastRow="0" w:firstColumn="0" w:lastColumn="0" w:oddVBand="1" w:evenVBand="0" w:oddHBand="0" w:evenHBand="0" w:firstRowFirstColumn="0" w:firstRowLastColumn="0" w:lastRowFirstColumn="0" w:lastRowLastColumn="0"/>
            <w:tcW w:w="2552" w:type="dxa"/>
          </w:tcPr>
          <w:p w14:paraId="66C4647B" w14:textId="77777777" w:rsidR="00E95A8D" w:rsidRPr="00061A5F" w:rsidRDefault="00E95A8D" w:rsidP="00370685">
            <w:pPr>
              <w:jc w:val="center"/>
              <w:rPr>
                <w:rFonts w:ascii="Times New Roman" w:eastAsia="Times New Roman" w:hAnsi="Times New Roman"/>
                <w:lang w:eastAsia="en-GB"/>
              </w:rPr>
            </w:pPr>
            <w:r w:rsidRPr="00061A5F">
              <w:rPr>
                <w:rFonts w:ascii="Times New Roman" w:eastAsia="Times New Roman" w:hAnsi="Times New Roman"/>
                <w:lang w:eastAsia="en-GB"/>
              </w:rPr>
              <w:t>0.00665</w:t>
            </w:r>
          </w:p>
        </w:tc>
        <w:tc>
          <w:tcPr>
            <w:cnfStyle w:val="000100000000" w:firstRow="0" w:lastRow="0" w:firstColumn="0" w:lastColumn="1" w:oddVBand="0" w:evenVBand="0" w:oddHBand="0" w:evenHBand="0" w:firstRowFirstColumn="0" w:firstRowLastColumn="0" w:lastRowFirstColumn="0" w:lastRowLastColumn="0"/>
            <w:tcW w:w="2387" w:type="dxa"/>
          </w:tcPr>
          <w:p w14:paraId="6944F806" w14:textId="77777777" w:rsidR="00E95A8D" w:rsidRPr="00061A5F" w:rsidRDefault="00E95A8D" w:rsidP="00370685">
            <w:pPr>
              <w:jc w:val="cente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0.00562</w:t>
            </w:r>
          </w:p>
        </w:tc>
      </w:tr>
      <w:tr w:rsidR="00E95A8D" w:rsidRPr="00061A5F" w14:paraId="4A6302B8" w14:textId="77777777" w:rsidTr="00CD34D9">
        <w:trPr>
          <w:trHeight w:val="271"/>
        </w:trPr>
        <w:tc>
          <w:tcPr>
            <w:cnfStyle w:val="001000000000" w:firstRow="0" w:lastRow="0" w:firstColumn="1" w:lastColumn="0" w:oddVBand="0" w:evenVBand="0" w:oddHBand="0" w:evenHBand="0" w:firstRowFirstColumn="0" w:firstRowLastColumn="0" w:lastRowFirstColumn="0" w:lastRowLastColumn="0"/>
            <w:tcW w:w="4106" w:type="dxa"/>
          </w:tcPr>
          <w:p w14:paraId="16E745AB" w14:textId="77777777" w:rsidR="00E95A8D" w:rsidRPr="00061A5F" w:rsidRDefault="00E95A8D" w:rsidP="00370685">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Fiscal balance</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Pr>
          <w:p w14:paraId="41686D83" w14:textId="518AB58F" w:rsidR="00E95A8D" w:rsidRPr="00061A5F" w:rsidRDefault="00E95A8D" w:rsidP="00370685">
            <w:pPr>
              <w:jc w:val="center"/>
              <w:rPr>
                <w:rFonts w:ascii="Times New Roman" w:eastAsia="Times New Roman" w:hAnsi="Times New Roman"/>
                <w:lang w:eastAsia="en-GB"/>
              </w:rPr>
            </w:pPr>
            <w:r w:rsidRPr="00061A5F">
              <w:rPr>
                <w:rFonts w:ascii="Times New Roman" w:eastAsia="Times New Roman" w:hAnsi="Times New Roman"/>
                <w:lang w:eastAsia="en-GB"/>
              </w:rPr>
              <w:t>(0.00468)</w:t>
            </w:r>
          </w:p>
        </w:tc>
        <w:tc>
          <w:tcPr>
            <w:cnfStyle w:val="000100000000" w:firstRow="0" w:lastRow="0" w:firstColumn="0" w:lastColumn="1" w:oddVBand="0" w:evenVBand="0" w:oddHBand="0" w:evenHBand="0" w:firstRowFirstColumn="0" w:firstRowLastColumn="0" w:lastRowFirstColumn="0" w:lastRowLastColumn="0"/>
            <w:tcW w:w="2387" w:type="dxa"/>
          </w:tcPr>
          <w:p w14:paraId="10F2B6FF" w14:textId="06AEF3AE" w:rsidR="00E95A8D" w:rsidRPr="00061A5F" w:rsidRDefault="00E95A8D" w:rsidP="00370685">
            <w:pPr>
              <w:jc w:val="cente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(0.00424)</w:t>
            </w:r>
          </w:p>
        </w:tc>
      </w:tr>
      <w:tr w:rsidR="00E95A8D" w:rsidRPr="00061A5F" w14:paraId="78F2F296" w14:textId="77777777" w:rsidTr="00CD34D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106" w:type="dxa"/>
          </w:tcPr>
          <w:p w14:paraId="536C1B85" w14:textId="77777777" w:rsidR="00E95A8D" w:rsidRPr="00061A5F" w:rsidRDefault="00E95A8D" w:rsidP="00370685">
            <w:pPr>
              <w:jc w:val="both"/>
              <w:rPr>
                <w:rFonts w:ascii="Times New Roman" w:eastAsia="Times New Roman" w:hAnsi="Times New Roman"/>
                <w:lang w:eastAsia="en-GB"/>
              </w:rPr>
            </w:pPr>
            <w:r w:rsidRPr="00061A5F">
              <w:rPr>
                <w:rFonts w:ascii="Times New Roman" w:eastAsia="Times New Roman" w:hAnsi="Times New Roman"/>
                <w:lang w:eastAsia="en-GB"/>
              </w:rPr>
              <w:t>OPEN</w:t>
            </w:r>
          </w:p>
        </w:tc>
        <w:tc>
          <w:tcPr>
            <w:cnfStyle w:val="000010000000" w:firstRow="0" w:lastRow="0" w:firstColumn="0" w:lastColumn="0" w:oddVBand="1" w:evenVBand="0" w:oddHBand="0" w:evenHBand="0" w:firstRowFirstColumn="0" w:firstRowLastColumn="0" w:lastRowFirstColumn="0" w:lastRowLastColumn="0"/>
            <w:tcW w:w="2552" w:type="dxa"/>
          </w:tcPr>
          <w:p w14:paraId="75688C83" w14:textId="00C6FBDC" w:rsidR="00E95A8D" w:rsidRPr="00061A5F" w:rsidRDefault="00E95A8D" w:rsidP="00370685">
            <w:pPr>
              <w:jc w:val="center"/>
              <w:rPr>
                <w:rFonts w:ascii="Times New Roman" w:eastAsia="Times New Roman" w:hAnsi="Times New Roman"/>
                <w:lang w:eastAsia="en-GB"/>
              </w:rPr>
            </w:pPr>
            <w:r w:rsidRPr="00061A5F">
              <w:rPr>
                <w:rFonts w:ascii="Times New Roman" w:eastAsia="Times New Roman" w:hAnsi="Times New Roman"/>
                <w:lang w:eastAsia="en-GB"/>
              </w:rPr>
              <w:t>0.000892</w:t>
            </w:r>
          </w:p>
        </w:tc>
        <w:tc>
          <w:tcPr>
            <w:cnfStyle w:val="000100000000" w:firstRow="0" w:lastRow="0" w:firstColumn="0" w:lastColumn="1" w:oddVBand="0" w:evenVBand="0" w:oddHBand="0" w:evenHBand="0" w:firstRowFirstColumn="0" w:firstRowLastColumn="0" w:lastRowFirstColumn="0" w:lastRowLastColumn="0"/>
            <w:tcW w:w="2387" w:type="dxa"/>
          </w:tcPr>
          <w:p w14:paraId="205506CF" w14:textId="77777777" w:rsidR="00E95A8D" w:rsidRPr="00061A5F" w:rsidRDefault="00E95A8D" w:rsidP="00370685">
            <w:pPr>
              <w:jc w:val="cente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0.000871</w:t>
            </w:r>
          </w:p>
        </w:tc>
      </w:tr>
      <w:tr w:rsidR="00E95A8D" w:rsidRPr="00061A5F" w14:paraId="69086D7D" w14:textId="77777777" w:rsidTr="00CD34D9">
        <w:trPr>
          <w:trHeight w:val="271"/>
        </w:trPr>
        <w:tc>
          <w:tcPr>
            <w:cnfStyle w:val="001000000000" w:firstRow="0" w:lastRow="0" w:firstColumn="1" w:lastColumn="0" w:oddVBand="0" w:evenVBand="0" w:oddHBand="0" w:evenHBand="0" w:firstRowFirstColumn="0" w:firstRowLastColumn="0" w:lastRowFirstColumn="0" w:lastRowLastColumn="0"/>
            <w:tcW w:w="4106" w:type="dxa"/>
          </w:tcPr>
          <w:p w14:paraId="1B5157F6" w14:textId="77777777" w:rsidR="00E95A8D" w:rsidRPr="00061A5F" w:rsidRDefault="00E95A8D" w:rsidP="00370685">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 xml:space="preserve">Openness </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Pr>
          <w:p w14:paraId="1AA82866" w14:textId="6CB8C963" w:rsidR="00E95A8D" w:rsidRPr="00061A5F" w:rsidRDefault="00E95A8D" w:rsidP="00370685">
            <w:pPr>
              <w:jc w:val="center"/>
              <w:rPr>
                <w:rFonts w:ascii="Times New Roman" w:eastAsia="Times New Roman" w:hAnsi="Times New Roman"/>
                <w:lang w:eastAsia="en-GB"/>
              </w:rPr>
            </w:pPr>
            <w:r w:rsidRPr="00061A5F">
              <w:rPr>
                <w:rFonts w:ascii="Times New Roman" w:eastAsia="Times New Roman" w:hAnsi="Times New Roman"/>
                <w:lang w:eastAsia="en-GB"/>
              </w:rPr>
              <w:t>(0.000696)</w:t>
            </w:r>
          </w:p>
        </w:tc>
        <w:tc>
          <w:tcPr>
            <w:cnfStyle w:val="000100000000" w:firstRow="0" w:lastRow="0" w:firstColumn="0" w:lastColumn="1" w:oddVBand="0" w:evenVBand="0" w:oddHBand="0" w:evenHBand="0" w:firstRowFirstColumn="0" w:firstRowLastColumn="0" w:lastRowFirstColumn="0" w:lastRowLastColumn="0"/>
            <w:tcW w:w="2387" w:type="dxa"/>
          </w:tcPr>
          <w:p w14:paraId="09BE6A80" w14:textId="53DF7B64" w:rsidR="00E95A8D" w:rsidRPr="00061A5F" w:rsidRDefault="00E95A8D" w:rsidP="00370685">
            <w:pPr>
              <w:jc w:val="cente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(0.000688)</w:t>
            </w:r>
          </w:p>
        </w:tc>
      </w:tr>
      <w:tr w:rsidR="00E95A8D" w:rsidRPr="00061A5F" w14:paraId="1C334C92" w14:textId="77777777" w:rsidTr="00CD34D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106" w:type="dxa"/>
          </w:tcPr>
          <w:p w14:paraId="035D4F12" w14:textId="77777777" w:rsidR="00E95A8D" w:rsidRPr="00061A5F" w:rsidRDefault="00E95A8D" w:rsidP="00370685">
            <w:pPr>
              <w:jc w:val="both"/>
              <w:rPr>
                <w:rFonts w:ascii="Times New Roman" w:eastAsia="Times New Roman" w:hAnsi="Times New Roman"/>
                <w:lang w:eastAsia="en-GB"/>
              </w:rPr>
            </w:pPr>
            <w:r w:rsidRPr="00061A5F">
              <w:rPr>
                <w:rFonts w:ascii="Times New Roman" w:eastAsia="Times New Roman" w:hAnsi="Times New Roman"/>
                <w:lang w:eastAsia="en-GB"/>
              </w:rPr>
              <w:t>TOT</w:t>
            </w:r>
          </w:p>
        </w:tc>
        <w:tc>
          <w:tcPr>
            <w:cnfStyle w:val="000010000000" w:firstRow="0" w:lastRow="0" w:firstColumn="0" w:lastColumn="0" w:oddVBand="1" w:evenVBand="0" w:oddHBand="0" w:evenHBand="0" w:firstRowFirstColumn="0" w:firstRowLastColumn="0" w:lastRowFirstColumn="0" w:lastRowLastColumn="0"/>
            <w:tcW w:w="2552" w:type="dxa"/>
          </w:tcPr>
          <w:p w14:paraId="2DAF2647" w14:textId="77777777" w:rsidR="00E95A8D" w:rsidRPr="00061A5F" w:rsidRDefault="00E95A8D" w:rsidP="00370685">
            <w:pPr>
              <w:jc w:val="center"/>
              <w:rPr>
                <w:rFonts w:ascii="Times New Roman" w:eastAsia="Times New Roman" w:hAnsi="Times New Roman"/>
                <w:lang w:eastAsia="en-GB"/>
              </w:rPr>
            </w:pPr>
            <w:r w:rsidRPr="00061A5F">
              <w:rPr>
                <w:rFonts w:ascii="Times New Roman" w:eastAsia="Times New Roman" w:hAnsi="Times New Roman"/>
                <w:lang w:eastAsia="en-GB"/>
              </w:rPr>
              <w:t>-0.000505</w:t>
            </w:r>
          </w:p>
        </w:tc>
        <w:tc>
          <w:tcPr>
            <w:cnfStyle w:val="000100000000" w:firstRow="0" w:lastRow="0" w:firstColumn="0" w:lastColumn="1" w:oddVBand="0" w:evenVBand="0" w:oddHBand="0" w:evenHBand="0" w:firstRowFirstColumn="0" w:firstRowLastColumn="0" w:lastRowFirstColumn="0" w:lastRowLastColumn="0"/>
            <w:tcW w:w="2387" w:type="dxa"/>
          </w:tcPr>
          <w:p w14:paraId="76725BA9" w14:textId="77777777" w:rsidR="00E95A8D" w:rsidRPr="00061A5F" w:rsidRDefault="00E95A8D" w:rsidP="00370685">
            <w:pPr>
              <w:jc w:val="cente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-0.000541</w:t>
            </w:r>
          </w:p>
        </w:tc>
      </w:tr>
      <w:tr w:rsidR="00E95A8D" w:rsidRPr="00061A5F" w14:paraId="73849986" w14:textId="77777777" w:rsidTr="00CD34D9">
        <w:trPr>
          <w:trHeight w:val="271"/>
        </w:trPr>
        <w:tc>
          <w:tcPr>
            <w:cnfStyle w:val="001000000000" w:firstRow="0" w:lastRow="0" w:firstColumn="1" w:lastColumn="0" w:oddVBand="0" w:evenVBand="0" w:oddHBand="0" w:evenHBand="0" w:firstRowFirstColumn="0" w:firstRowLastColumn="0" w:lastRowFirstColumn="0" w:lastRowLastColumn="0"/>
            <w:tcW w:w="4106" w:type="dxa"/>
          </w:tcPr>
          <w:p w14:paraId="770D3F59" w14:textId="77777777" w:rsidR="00E95A8D" w:rsidRPr="00061A5F" w:rsidRDefault="00E95A8D" w:rsidP="00370685">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Terms of trade</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Pr>
          <w:p w14:paraId="52443005" w14:textId="3F8D9D85" w:rsidR="00E95A8D" w:rsidRPr="00061A5F" w:rsidRDefault="00E95A8D" w:rsidP="00370685">
            <w:pPr>
              <w:jc w:val="center"/>
              <w:rPr>
                <w:rFonts w:ascii="Times New Roman" w:eastAsia="Times New Roman" w:hAnsi="Times New Roman"/>
                <w:lang w:eastAsia="en-GB"/>
              </w:rPr>
            </w:pPr>
            <w:r w:rsidRPr="00061A5F">
              <w:rPr>
                <w:rFonts w:ascii="Times New Roman" w:eastAsia="Times New Roman" w:hAnsi="Times New Roman"/>
                <w:lang w:eastAsia="en-GB"/>
              </w:rPr>
              <w:t>(0.000667)</w:t>
            </w:r>
          </w:p>
        </w:tc>
        <w:tc>
          <w:tcPr>
            <w:cnfStyle w:val="000100000000" w:firstRow="0" w:lastRow="0" w:firstColumn="0" w:lastColumn="1" w:oddVBand="0" w:evenVBand="0" w:oddHBand="0" w:evenHBand="0" w:firstRowFirstColumn="0" w:firstRowLastColumn="0" w:lastRowFirstColumn="0" w:lastRowLastColumn="0"/>
            <w:tcW w:w="2387" w:type="dxa"/>
          </w:tcPr>
          <w:p w14:paraId="31285654" w14:textId="68BC4919" w:rsidR="00E95A8D" w:rsidRPr="00061A5F" w:rsidRDefault="00E95A8D" w:rsidP="00370685">
            <w:pPr>
              <w:jc w:val="cente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(0.000634)</w:t>
            </w:r>
          </w:p>
        </w:tc>
      </w:tr>
      <w:tr w:rsidR="00E95A8D" w:rsidRPr="00061A5F" w14:paraId="3D098B43" w14:textId="77777777" w:rsidTr="00CD34D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106" w:type="dxa"/>
          </w:tcPr>
          <w:p w14:paraId="41028EAF" w14:textId="77777777" w:rsidR="00E95A8D" w:rsidRPr="00061A5F" w:rsidRDefault="00E95A8D" w:rsidP="00370685">
            <w:pPr>
              <w:jc w:val="both"/>
              <w:rPr>
                <w:rFonts w:ascii="Times New Roman" w:eastAsia="Times New Roman" w:hAnsi="Times New Roman"/>
                <w:lang w:eastAsia="en-GB"/>
              </w:rPr>
            </w:pPr>
            <w:r w:rsidRPr="00061A5F">
              <w:rPr>
                <w:rFonts w:ascii="Times New Roman" w:eastAsia="Times New Roman" w:hAnsi="Times New Roman"/>
                <w:lang w:eastAsia="en-GB"/>
              </w:rPr>
              <w:t>EBRDI</w:t>
            </w:r>
          </w:p>
        </w:tc>
        <w:tc>
          <w:tcPr>
            <w:cnfStyle w:val="000010000000" w:firstRow="0" w:lastRow="0" w:firstColumn="0" w:lastColumn="0" w:oddVBand="1" w:evenVBand="0" w:oddHBand="0" w:evenHBand="0" w:firstRowFirstColumn="0" w:firstRowLastColumn="0" w:lastRowFirstColumn="0" w:lastRowLastColumn="0"/>
            <w:tcW w:w="2552" w:type="dxa"/>
          </w:tcPr>
          <w:p w14:paraId="1A28A3B9" w14:textId="77777777" w:rsidR="00E95A8D" w:rsidRPr="00061A5F" w:rsidRDefault="00E95A8D" w:rsidP="00370685">
            <w:pPr>
              <w:jc w:val="center"/>
              <w:rPr>
                <w:rFonts w:ascii="Times New Roman" w:eastAsia="Times New Roman" w:hAnsi="Times New Roman"/>
                <w:lang w:eastAsia="en-GB"/>
              </w:rPr>
            </w:pPr>
            <w:r w:rsidRPr="00061A5F">
              <w:rPr>
                <w:rFonts w:ascii="Times New Roman" w:eastAsia="Times New Roman" w:hAnsi="Times New Roman"/>
                <w:lang w:eastAsia="en-GB"/>
              </w:rPr>
              <w:t>-0.0391</w:t>
            </w:r>
          </w:p>
        </w:tc>
        <w:tc>
          <w:tcPr>
            <w:cnfStyle w:val="000100000000" w:firstRow="0" w:lastRow="0" w:firstColumn="0" w:lastColumn="1" w:oddVBand="0" w:evenVBand="0" w:oddHBand="0" w:evenHBand="0" w:firstRowFirstColumn="0" w:firstRowLastColumn="0" w:lastRowFirstColumn="0" w:lastRowLastColumn="0"/>
            <w:tcW w:w="2387" w:type="dxa"/>
          </w:tcPr>
          <w:p w14:paraId="2003636A" w14:textId="2083BEBB" w:rsidR="00E95A8D" w:rsidRPr="00061A5F" w:rsidRDefault="00E95A8D" w:rsidP="00370685">
            <w:pPr>
              <w:jc w:val="cente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-0.0363</w:t>
            </w:r>
          </w:p>
        </w:tc>
      </w:tr>
      <w:tr w:rsidR="00E95A8D" w:rsidRPr="00061A5F" w14:paraId="30D49E75" w14:textId="77777777" w:rsidTr="00CD34D9">
        <w:trPr>
          <w:trHeight w:val="271"/>
        </w:trPr>
        <w:tc>
          <w:tcPr>
            <w:cnfStyle w:val="001000000000" w:firstRow="0" w:lastRow="0" w:firstColumn="1" w:lastColumn="0" w:oddVBand="0" w:evenVBand="0" w:oddHBand="0" w:evenHBand="0" w:firstRowFirstColumn="0" w:firstRowLastColumn="0" w:lastRowFirstColumn="0" w:lastRowLastColumn="0"/>
            <w:tcW w:w="4106" w:type="dxa"/>
          </w:tcPr>
          <w:p w14:paraId="32305432" w14:textId="77777777" w:rsidR="00E95A8D" w:rsidRPr="00061A5F" w:rsidRDefault="00E95A8D" w:rsidP="00370685">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EBRD indicator</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Pr>
          <w:p w14:paraId="031AC741" w14:textId="77777777" w:rsidR="00E95A8D" w:rsidRPr="00061A5F" w:rsidRDefault="00E95A8D" w:rsidP="00370685">
            <w:pPr>
              <w:jc w:val="center"/>
              <w:rPr>
                <w:rFonts w:ascii="Times New Roman" w:eastAsia="Times New Roman" w:hAnsi="Times New Roman"/>
                <w:lang w:eastAsia="en-GB"/>
              </w:rPr>
            </w:pPr>
            <w:r w:rsidRPr="00061A5F">
              <w:rPr>
                <w:rFonts w:ascii="Times New Roman" w:eastAsia="Times New Roman" w:hAnsi="Times New Roman"/>
                <w:lang w:eastAsia="en-GB"/>
              </w:rPr>
              <w:t>(0.0571)</w:t>
            </w:r>
          </w:p>
        </w:tc>
        <w:tc>
          <w:tcPr>
            <w:cnfStyle w:val="000100000000" w:firstRow="0" w:lastRow="0" w:firstColumn="0" w:lastColumn="1" w:oddVBand="0" w:evenVBand="0" w:oddHBand="0" w:evenHBand="0" w:firstRowFirstColumn="0" w:firstRowLastColumn="0" w:lastRowFirstColumn="0" w:lastRowLastColumn="0"/>
            <w:tcW w:w="2387" w:type="dxa"/>
          </w:tcPr>
          <w:p w14:paraId="71E672F2" w14:textId="1186EBA6" w:rsidR="00E95A8D" w:rsidRPr="00061A5F" w:rsidRDefault="00E95A8D" w:rsidP="00370685">
            <w:pPr>
              <w:jc w:val="cente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(0.0519)</w:t>
            </w:r>
          </w:p>
        </w:tc>
      </w:tr>
      <w:tr w:rsidR="00E95A8D" w:rsidRPr="00061A5F" w14:paraId="2A483E12" w14:textId="77777777" w:rsidTr="00CD34D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106" w:type="dxa"/>
          </w:tcPr>
          <w:p w14:paraId="67CFC1BF" w14:textId="77777777" w:rsidR="00E95A8D" w:rsidRPr="00061A5F" w:rsidRDefault="00E95A8D" w:rsidP="00370685">
            <w:pPr>
              <w:jc w:val="both"/>
              <w:rPr>
                <w:rFonts w:ascii="Times New Roman" w:eastAsia="Times New Roman" w:hAnsi="Times New Roman"/>
                <w:lang w:eastAsia="en-GB"/>
              </w:rPr>
            </w:pPr>
            <w:r w:rsidRPr="00061A5F">
              <w:rPr>
                <w:rFonts w:ascii="Times New Roman" w:eastAsia="Times New Roman" w:hAnsi="Times New Roman"/>
                <w:lang w:eastAsia="en-GB"/>
              </w:rPr>
              <w:t>CCBI</w:t>
            </w:r>
          </w:p>
        </w:tc>
        <w:tc>
          <w:tcPr>
            <w:cnfStyle w:val="000010000000" w:firstRow="0" w:lastRow="0" w:firstColumn="0" w:lastColumn="0" w:oddVBand="1" w:evenVBand="0" w:oddHBand="0" w:evenHBand="0" w:firstRowFirstColumn="0" w:firstRowLastColumn="0" w:lastRowFirstColumn="0" w:lastRowLastColumn="0"/>
            <w:tcW w:w="2552" w:type="dxa"/>
          </w:tcPr>
          <w:p w14:paraId="2848B506" w14:textId="000AE719" w:rsidR="00E95A8D" w:rsidRPr="00061A5F" w:rsidRDefault="00E95A8D" w:rsidP="00370685">
            <w:pPr>
              <w:jc w:val="center"/>
              <w:rPr>
                <w:rFonts w:ascii="Times New Roman" w:eastAsia="Times New Roman" w:hAnsi="Times New Roman"/>
                <w:lang w:eastAsia="en-GB"/>
              </w:rPr>
            </w:pPr>
            <w:r w:rsidRPr="00061A5F">
              <w:rPr>
                <w:rFonts w:ascii="Times New Roman" w:eastAsia="Times New Roman" w:hAnsi="Times New Roman"/>
                <w:lang w:eastAsia="en-GB"/>
              </w:rPr>
              <w:t>-0.204</w:t>
            </w:r>
          </w:p>
        </w:tc>
        <w:tc>
          <w:tcPr>
            <w:cnfStyle w:val="000100000000" w:firstRow="0" w:lastRow="0" w:firstColumn="0" w:lastColumn="1" w:oddVBand="0" w:evenVBand="0" w:oddHBand="0" w:evenHBand="0" w:firstRowFirstColumn="0" w:firstRowLastColumn="0" w:lastRowFirstColumn="0" w:lastRowLastColumn="0"/>
            <w:tcW w:w="2387" w:type="dxa"/>
          </w:tcPr>
          <w:p w14:paraId="500D537A" w14:textId="4BFA4CF6" w:rsidR="00E95A8D" w:rsidRPr="00061A5F" w:rsidRDefault="00E95A8D" w:rsidP="00370685">
            <w:pPr>
              <w:jc w:val="cente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-0.255</w:t>
            </w:r>
          </w:p>
        </w:tc>
      </w:tr>
      <w:tr w:rsidR="00E95A8D" w:rsidRPr="00061A5F" w14:paraId="0EA44657" w14:textId="77777777" w:rsidTr="00CD34D9">
        <w:trPr>
          <w:trHeight w:val="271"/>
        </w:trPr>
        <w:tc>
          <w:tcPr>
            <w:cnfStyle w:val="001000000000" w:firstRow="0" w:lastRow="0" w:firstColumn="1" w:lastColumn="0" w:oddVBand="0" w:evenVBand="0" w:oddHBand="0" w:evenHBand="0" w:firstRowFirstColumn="0" w:firstRowLastColumn="0" w:lastRowFirstColumn="0" w:lastRowLastColumn="0"/>
            <w:tcW w:w="4106" w:type="dxa"/>
          </w:tcPr>
          <w:p w14:paraId="087B0B40" w14:textId="4CBBEDFA" w:rsidR="00E95A8D" w:rsidRPr="00061A5F" w:rsidRDefault="00E95A8D" w:rsidP="00370685">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Central bank independence index</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Pr>
          <w:p w14:paraId="736B5364" w14:textId="5C676783" w:rsidR="00E95A8D" w:rsidRPr="00061A5F" w:rsidRDefault="00E95A8D" w:rsidP="00370685">
            <w:pPr>
              <w:jc w:val="center"/>
              <w:rPr>
                <w:rFonts w:ascii="Times New Roman" w:eastAsia="Times New Roman" w:hAnsi="Times New Roman"/>
                <w:lang w:eastAsia="en-GB"/>
              </w:rPr>
            </w:pPr>
            <w:r w:rsidRPr="00061A5F">
              <w:rPr>
                <w:rFonts w:ascii="Times New Roman" w:eastAsia="Times New Roman" w:hAnsi="Times New Roman"/>
                <w:lang w:eastAsia="en-GB"/>
              </w:rPr>
              <w:t>(0.288)</w:t>
            </w:r>
          </w:p>
        </w:tc>
        <w:tc>
          <w:tcPr>
            <w:cnfStyle w:val="000100000000" w:firstRow="0" w:lastRow="0" w:firstColumn="0" w:lastColumn="1" w:oddVBand="0" w:evenVBand="0" w:oddHBand="0" w:evenHBand="0" w:firstRowFirstColumn="0" w:firstRowLastColumn="0" w:lastRowFirstColumn="0" w:lastRowLastColumn="0"/>
            <w:tcW w:w="2387" w:type="dxa"/>
          </w:tcPr>
          <w:p w14:paraId="5FC11DE2" w14:textId="05781ADC" w:rsidR="00E95A8D" w:rsidRPr="00061A5F" w:rsidRDefault="00E95A8D" w:rsidP="00370685">
            <w:pPr>
              <w:jc w:val="cente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(0.242)</w:t>
            </w:r>
          </w:p>
        </w:tc>
      </w:tr>
      <w:tr w:rsidR="00E95A8D" w:rsidRPr="00061A5F" w14:paraId="3CADE162" w14:textId="77777777" w:rsidTr="00CD34D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106" w:type="dxa"/>
          </w:tcPr>
          <w:p w14:paraId="4F2B25E9" w14:textId="77777777" w:rsidR="00E95A8D" w:rsidRPr="00061A5F" w:rsidRDefault="00E95A8D" w:rsidP="00370685">
            <w:pPr>
              <w:jc w:val="both"/>
              <w:rPr>
                <w:rFonts w:ascii="Times New Roman" w:eastAsia="Times New Roman" w:hAnsi="Times New Roman"/>
                <w:lang w:eastAsia="en-GB"/>
              </w:rPr>
            </w:pPr>
            <w:r w:rsidRPr="00061A5F">
              <w:rPr>
                <w:rFonts w:ascii="Times New Roman" w:eastAsia="Times New Roman" w:hAnsi="Times New Roman"/>
                <w:lang w:eastAsia="en-GB"/>
              </w:rPr>
              <w:t>VAT</w:t>
            </w:r>
          </w:p>
        </w:tc>
        <w:tc>
          <w:tcPr>
            <w:cnfStyle w:val="000010000000" w:firstRow="0" w:lastRow="0" w:firstColumn="0" w:lastColumn="0" w:oddVBand="1" w:evenVBand="0" w:oddHBand="0" w:evenHBand="0" w:firstRowFirstColumn="0" w:firstRowLastColumn="0" w:lastRowFirstColumn="0" w:lastRowLastColumn="0"/>
            <w:tcW w:w="2552" w:type="dxa"/>
          </w:tcPr>
          <w:p w14:paraId="455A3F39" w14:textId="6BAB2A95" w:rsidR="00E95A8D" w:rsidRPr="00061A5F" w:rsidRDefault="00E95A8D" w:rsidP="00370685">
            <w:pPr>
              <w:jc w:val="center"/>
              <w:rPr>
                <w:rFonts w:ascii="Times New Roman" w:eastAsia="Times New Roman" w:hAnsi="Times New Roman"/>
                <w:lang w:eastAsia="en-GB"/>
              </w:rPr>
            </w:pPr>
            <w:r w:rsidRPr="00061A5F">
              <w:rPr>
                <w:rFonts w:ascii="Times New Roman" w:eastAsia="Times New Roman" w:hAnsi="Times New Roman"/>
                <w:lang w:eastAsia="en-GB"/>
              </w:rPr>
              <w:t>0.193***</w:t>
            </w:r>
          </w:p>
        </w:tc>
        <w:tc>
          <w:tcPr>
            <w:cnfStyle w:val="000100000000" w:firstRow="0" w:lastRow="0" w:firstColumn="0" w:lastColumn="1" w:oddVBand="0" w:evenVBand="0" w:oddHBand="0" w:evenHBand="0" w:firstRowFirstColumn="0" w:firstRowLastColumn="0" w:lastRowFirstColumn="0" w:lastRowLastColumn="0"/>
            <w:tcW w:w="2387" w:type="dxa"/>
          </w:tcPr>
          <w:p w14:paraId="366ADD05" w14:textId="208D8CF8" w:rsidR="00E95A8D" w:rsidRPr="00061A5F" w:rsidRDefault="00E95A8D" w:rsidP="00370685">
            <w:pPr>
              <w:jc w:val="cente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0.197***</w:t>
            </w:r>
          </w:p>
        </w:tc>
      </w:tr>
      <w:tr w:rsidR="00E95A8D" w:rsidRPr="00061A5F" w14:paraId="24329900" w14:textId="77777777" w:rsidTr="00CD34D9">
        <w:trPr>
          <w:trHeight w:val="271"/>
        </w:trPr>
        <w:tc>
          <w:tcPr>
            <w:cnfStyle w:val="001000000000" w:firstRow="0" w:lastRow="0" w:firstColumn="1" w:lastColumn="0" w:oddVBand="0" w:evenVBand="0" w:oddHBand="0" w:evenHBand="0" w:firstRowFirstColumn="0" w:firstRowLastColumn="0" w:lastRowFirstColumn="0" w:lastRowLastColumn="0"/>
            <w:tcW w:w="4106" w:type="dxa"/>
          </w:tcPr>
          <w:p w14:paraId="75AC3AE6" w14:textId="77777777" w:rsidR="00E95A8D" w:rsidRPr="00061A5F" w:rsidRDefault="00E95A8D" w:rsidP="00370685">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Value added tax</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Pr>
          <w:p w14:paraId="6B5C82A3" w14:textId="77777777" w:rsidR="00E95A8D" w:rsidRPr="00061A5F" w:rsidRDefault="00E95A8D" w:rsidP="00370685">
            <w:pPr>
              <w:jc w:val="center"/>
              <w:rPr>
                <w:rFonts w:ascii="Times New Roman" w:eastAsia="Times New Roman" w:hAnsi="Times New Roman"/>
                <w:lang w:eastAsia="en-GB"/>
              </w:rPr>
            </w:pPr>
            <w:r w:rsidRPr="00061A5F">
              <w:rPr>
                <w:rFonts w:ascii="Times New Roman" w:eastAsia="Times New Roman" w:hAnsi="Times New Roman"/>
                <w:lang w:eastAsia="en-GB"/>
              </w:rPr>
              <w:t>(0.0614)</w:t>
            </w:r>
          </w:p>
        </w:tc>
        <w:tc>
          <w:tcPr>
            <w:cnfStyle w:val="000100000000" w:firstRow="0" w:lastRow="0" w:firstColumn="0" w:lastColumn="1" w:oddVBand="0" w:evenVBand="0" w:oddHBand="0" w:evenHBand="0" w:firstRowFirstColumn="0" w:firstRowLastColumn="0" w:lastRowFirstColumn="0" w:lastRowLastColumn="0"/>
            <w:tcW w:w="2387" w:type="dxa"/>
          </w:tcPr>
          <w:p w14:paraId="18CDA4A9" w14:textId="670B6205" w:rsidR="00E95A8D" w:rsidRPr="00061A5F" w:rsidRDefault="00E95A8D" w:rsidP="00370685">
            <w:pPr>
              <w:jc w:val="cente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(0.0583)</w:t>
            </w:r>
          </w:p>
        </w:tc>
      </w:tr>
      <w:tr w:rsidR="00E95A8D" w:rsidRPr="00061A5F" w14:paraId="5A8690CB" w14:textId="77777777" w:rsidTr="00CD34D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106" w:type="dxa"/>
          </w:tcPr>
          <w:p w14:paraId="442451EB" w14:textId="77777777" w:rsidR="00E95A8D" w:rsidRPr="00061A5F" w:rsidRDefault="00E95A8D" w:rsidP="00370685">
            <w:pPr>
              <w:jc w:val="both"/>
              <w:rPr>
                <w:rFonts w:ascii="Times New Roman" w:eastAsia="Times New Roman" w:hAnsi="Times New Roman"/>
                <w:lang w:eastAsia="en-GB"/>
              </w:rPr>
            </w:pPr>
            <w:r w:rsidRPr="00061A5F">
              <w:rPr>
                <w:rFonts w:ascii="Times New Roman" w:eastAsia="Times New Roman" w:hAnsi="Times New Roman"/>
                <w:lang w:eastAsia="en-GB"/>
              </w:rPr>
              <w:t>EU</w:t>
            </w:r>
          </w:p>
        </w:tc>
        <w:tc>
          <w:tcPr>
            <w:cnfStyle w:val="000010000000" w:firstRow="0" w:lastRow="0" w:firstColumn="0" w:lastColumn="0" w:oddVBand="1" w:evenVBand="0" w:oddHBand="0" w:evenHBand="0" w:firstRowFirstColumn="0" w:firstRowLastColumn="0" w:lastRowFirstColumn="0" w:lastRowLastColumn="0"/>
            <w:tcW w:w="2552" w:type="dxa"/>
          </w:tcPr>
          <w:p w14:paraId="406771B3" w14:textId="77777777" w:rsidR="00E95A8D" w:rsidRPr="00061A5F" w:rsidRDefault="00E95A8D" w:rsidP="00370685">
            <w:pPr>
              <w:jc w:val="center"/>
              <w:rPr>
                <w:rFonts w:ascii="Times New Roman" w:eastAsia="Times New Roman" w:hAnsi="Times New Roman"/>
                <w:lang w:eastAsia="en-GB"/>
              </w:rPr>
            </w:pPr>
            <w:r w:rsidRPr="00061A5F">
              <w:rPr>
                <w:rFonts w:ascii="Times New Roman" w:eastAsia="Times New Roman" w:hAnsi="Times New Roman"/>
                <w:lang w:eastAsia="en-GB"/>
              </w:rPr>
              <w:t>0.0245</w:t>
            </w:r>
          </w:p>
        </w:tc>
        <w:tc>
          <w:tcPr>
            <w:cnfStyle w:val="000100000000" w:firstRow="0" w:lastRow="0" w:firstColumn="0" w:lastColumn="1" w:oddVBand="0" w:evenVBand="0" w:oddHBand="0" w:evenHBand="0" w:firstRowFirstColumn="0" w:firstRowLastColumn="0" w:lastRowFirstColumn="0" w:lastRowLastColumn="0"/>
            <w:tcW w:w="2387" w:type="dxa"/>
          </w:tcPr>
          <w:p w14:paraId="179F6F89" w14:textId="629D741D" w:rsidR="00E95A8D" w:rsidRPr="00061A5F" w:rsidRDefault="00E95A8D" w:rsidP="00370685">
            <w:pPr>
              <w:jc w:val="cente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0.0279</w:t>
            </w:r>
          </w:p>
        </w:tc>
      </w:tr>
      <w:tr w:rsidR="00E95A8D" w:rsidRPr="00061A5F" w14:paraId="3611360A" w14:textId="77777777" w:rsidTr="00CD34D9">
        <w:trPr>
          <w:trHeight w:val="271"/>
        </w:trPr>
        <w:tc>
          <w:tcPr>
            <w:cnfStyle w:val="001000000000" w:firstRow="0" w:lastRow="0" w:firstColumn="1" w:lastColumn="0" w:oddVBand="0" w:evenVBand="0" w:oddHBand="0" w:evenHBand="0" w:firstRowFirstColumn="0" w:firstRowLastColumn="0" w:lastRowFirstColumn="0" w:lastRowLastColumn="0"/>
            <w:tcW w:w="4106" w:type="dxa"/>
          </w:tcPr>
          <w:p w14:paraId="776D9429" w14:textId="77777777" w:rsidR="00E95A8D" w:rsidRPr="00061A5F" w:rsidRDefault="00E95A8D" w:rsidP="00370685">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European Union</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Pr>
          <w:p w14:paraId="41D9CF9F" w14:textId="77777777" w:rsidR="00E95A8D" w:rsidRPr="00061A5F" w:rsidRDefault="00E95A8D" w:rsidP="00370685">
            <w:pPr>
              <w:jc w:val="center"/>
              <w:rPr>
                <w:rFonts w:ascii="Times New Roman" w:eastAsia="Times New Roman" w:hAnsi="Times New Roman"/>
                <w:lang w:eastAsia="en-GB"/>
              </w:rPr>
            </w:pPr>
            <w:r w:rsidRPr="00061A5F">
              <w:rPr>
                <w:rFonts w:ascii="Times New Roman" w:eastAsia="Times New Roman" w:hAnsi="Times New Roman"/>
                <w:lang w:eastAsia="en-GB"/>
              </w:rPr>
              <w:t>(0.0403)</w:t>
            </w:r>
          </w:p>
        </w:tc>
        <w:tc>
          <w:tcPr>
            <w:cnfStyle w:val="000100000000" w:firstRow="0" w:lastRow="0" w:firstColumn="0" w:lastColumn="1" w:oddVBand="0" w:evenVBand="0" w:oddHBand="0" w:evenHBand="0" w:firstRowFirstColumn="0" w:firstRowLastColumn="0" w:lastRowFirstColumn="0" w:lastRowLastColumn="0"/>
            <w:tcW w:w="2387" w:type="dxa"/>
          </w:tcPr>
          <w:p w14:paraId="5C29438C" w14:textId="38381975" w:rsidR="00E95A8D" w:rsidRPr="00061A5F" w:rsidRDefault="00E95A8D" w:rsidP="00370685">
            <w:pPr>
              <w:jc w:val="cente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(0.0389)</w:t>
            </w:r>
          </w:p>
        </w:tc>
      </w:tr>
      <w:tr w:rsidR="00E95A8D" w:rsidRPr="00061A5F" w14:paraId="352305D0" w14:textId="77777777" w:rsidTr="00CD34D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106" w:type="dxa"/>
          </w:tcPr>
          <w:p w14:paraId="4D52F1DA" w14:textId="77777777" w:rsidR="00E95A8D" w:rsidRPr="00061A5F" w:rsidRDefault="00E95A8D" w:rsidP="00370685">
            <w:pPr>
              <w:jc w:val="both"/>
              <w:rPr>
                <w:rFonts w:ascii="Times New Roman" w:eastAsia="Times New Roman" w:hAnsi="Times New Roman"/>
                <w:lang w:eastAsia="en-GB"/>
              </w:rPr>
            </w:pPr>
            <w:r w:rsidRPr="00061A5F">
              <w:rPr>
                <w:rFonts w:ascii="Times New Roman" w:eastAsia="Times New Roman" w:hAnsi="Times New Roman"/>
                <w:lang w:eastAsia="en-GB"/>
              </w:rPr>
              <w:t>CRISIS</w:t>
            </w:r>
          </w:p>
        </w:tc>
        <w:tc>
          <w:tcPr>
            <w:cnfStyle w:val="000010000000" w:firstRow="0" w:lastRow="0" w:firstColumn="0" w:lastColumn="0" w:oddVBand="1" w:evenVBand="0" w:oddHBand="0" w:evenHBand="0" w:firstRowFirstColumn="0" w:firstRowLastColumn="0" w:lastRowFirstColumn="0" w:lastRowLastColumn="0"/>
            <w:tcW w:w="2552" w:type="dxa"/>
          </w:tcPr>
          <w:p w14:paraId="02151855" w14:textId="77777777" w:rsidR="00E95A8D" w:rsidRPr="00061A5F" w:rsidRDefault="00E95A8D" w:rsidP="00370685">
            <w:pPr>
              <w:jc w:val="center"/>
              <w:rPr>
                <w:rFonts w:ascii="Times New Roman" w:eastAsia="Times New Roman" w:hAnsi="Times New Roman"/>
                <w:lang w:eastAsia="en-GB"/>
              </w:rPr>
            </w:pPr>
          </w:p>
        </w:tc>
        <w:tc>
          <w:tcPr>
            <w:cnfStyle w:val="000100000000" w:firstRow="0" w:lastRow="0" w:firstColumn="0" w:lastColumn="1" w:oddVBand="0" w:evenVBand="0" w:oddHBand="0" w:evenHBand="0" w:firstRowFirstColumn="0" w:firstRowLastColumn="0" w:lastRowFirstColumn="0" w:lastRowLastColumn="0"/>
            <w:tcW w:w="2387" w:type="dxa"/>
          </w:tcPr>
          <w:p w14:paraId="578219C2" w14:textId="5B357D09" w:rsidR="00E95A8D" w:rsidRPr="00061A5F" w:rsidRDefault="00E95A8D" w:rsidP="00370685">
            <w:pPr>
              <w:jc w:val="cente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-0.452***</w:t>
            </w:r>
          </w:p>
        </w:tc>
      </w:tr>
      <w:tr w:rsidR="00E95A8D" w:rsidRPr="00061A5F" w14:paraId="31C15761" w14:textId="77777777" w:rsidTr="00CD34D9">
        <w:trPr>
          <w:trHeight w:val="271"/>
        </w:trPr>
        <w:tc>
          <w:tcPr>
            <w:cnfStyle w:val="001000000000" w:firstRow="0" w:lastRow="0" w:firstColumn="1" w:lastColumn="0" w:oddVBand="0" w:evenVBand="0" w:oddHBand="0" w:evenHBand="0" w:firstRowFirstColumn="0" w:firstRowLastColumn="0" w:lastRowFirstColumn="0" w:lastRowLastColumn="0"/>
            <w:tcW w:w="4106" w:type="dxa"/>
          </w:tcPr>
          <w:p w14:paraId="1BA2CA57" w14:textId="77777777" w:rsidR="00E95A8D" w:rsidRPr="00061A5F" w:rsidRDefault="00E95A8D" w:rsidP="00370685">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 xml:space="preserve">Global financial crisis </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auto"/>
          </w:tcPr>
          <w:p w14:paraId="4F3933E9" w14:textId="77777777" w:rsidR="00E95A8D" w:rsidRPr="00061A5F" w:rsidRDefault="00E95A8D" w:rsidP="00370685">
            <w:pPr>
              <w:jc w:val="center"/>
              <w:rPr>
                <w:rFonts w:ascii="Times New Roman" w:eastAsia="Times New Roman" w:hAnsi="Times New Roman"/>
                <w:lang w:eastAsia="en-GB"/>
              </w:rPr>
            </w:pPr>
          </w:p>
        </w:tc>
        <w:tc>
          <w:tcPr>
            <w:cnfStyle w:val="000100000000" w:firstRow="0" w:lastRow="0" w:firstColumn="0" w:lastColumn="1" w:oddVBand="0" w:evenVBand="0" w:oddHBand="0" w:evenHBand="0" w:firstRowFirstColumn="0" w:firstRowLastColumn="0" w:lastRowFirstColumn="0" w:lastRowLastColumn="0"/>
            <w:tcW w:w="2387" w:type="dxa"/>
          </w:tcPr>
          <w:p w14:paraId="0FC272F8" w14:textId="2E0AB2D0" w:rsidR="00E95A8D" w:rsidRPr="00061A5F" w:rsidRDefault="00E95A8D" w:rsidP="00370685">
            <w:pPr>
              <w:jc w:val="cente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(0.0716)</w:t>
            </w:r>
          </w:p>
        </w:tc>
      </w:tr>
      <w:tr w:rsidR="004136E9" w:rsidRPr="00061A5F" w14:paraId="0CB0A815" w14:textId="77777777" w:rsidTr="00CD34D9">
        <w:trPr>
          <w:cnfStyle w:val="010000000000" w:firstRow="0" w:lastRow="1"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tcPr>
          <w:p w14:paraId="2E9DA64B" w14:textId="4DBAA774" w:rsidR="004136E9" w:rsidRPr="00061A5F" w:rsidRDefault="004136E9" w:rsidP="00370685">
            <w:pPr>
              <w:jc w:val="both"/>
              <w:rPr>
                <w:rFonts w:ascii="Times New Roman" w:eastAsia="Times New Roman" w:hAnsi="Times New Roman"/>
                <w:lang w:eastAsia="en-GB"/>
              </w:rPr>
            </w:pPr>
            <w:r w:rsidRPr="00061A5F">
              <w:rPr>
                <w:rFonts w:ascii="Times New Roman" w:eastAsia="Times New Roman" w:hAnsi="Times New Roman"/>
                <w:lang w:eastAsia="en-GB"/>
              </w:rPr>
              <w:t>TIME DUMMIES</w:t>
            </w:r>
          </w:p>
        </w:tc>
        <w:tc>
          <w:tcPr>
            <w:cnfStyle w:val="000010000000" w:firstRow="0" w:lastRow="0" w:firstColumn="0" w:lastColumn="0" w:oddVBand="1" w:evenVBand="0" w:oddHBand="0" w:evenHBand="0" w:firstRowFirstColumn="0" w:firstRowLastColumn="0" w:lastRowFirstColumn="0" w:lastRowLastColumn="0"/>
            <w:tcW w:w="2552" w:type="dxa"/>
          </w:tcPr>
          <w:p w14:paraId="71015F03" w14:textId="030B8F37" w:rsidR="004136E9" w:rsidRPr="00061A5F" w:rsidRDefault="004136E9" w:rsidP="00370685">
            <w:pPr>
              <w:jc w:val="center"/>
              <w:rPr>
                <w:rFonts w:ascii="Times New Roman" w:eastAsia="Times New Roman" w:hAnsi="Times New Roman"/>
                <w:lang w:eastAsia="en-GB"/>
              </w:rPr>
            </w:pPr>
            <w:r w:rsidRPr="00061A5F">
              <w:rPr>
                <w:rFonts w:ascii="Times New Roman" w:eastAsia="Times New Roman" w:hAnsi="Times New Roman"/>
                <w:b w:val="0"/>
                <w:bCs w:val="0"/>
                <w:lang w:eastAsia="en-GB"/>
              </w:rPr>
              <w:t>included</w:t>
            </w:r>
          </w:p>
        </w:tc>
        <w:tc>
          <w:tcPr>
            <w:cnfStyle w:val="000100000000" w:firstRow="0" w:lastRow="0" w:firstColumn="0" w:lastColumn="1" w:oddVBand="0" w:evenVBand="0" w:oddHBand="0" w:evenHBand="0" w:firstRowFirstColumn="0" w:firstRowLastColumn="0" w:lastRowFirstColumn="0" w:lastRowLastColumn="0"/>
            <w:tcW w:w="2387" w:type="dxa"/>
            <w:shd w:val="clear" w:color="auto" w:fill="F2F2F2" w:themeFill="background1" w:themeFillShade="F2"/>
          </w:tcPr>
          <w:p w14:paraId="5CA6F923" w14:textId="08BA7B6B" w:rsidR="004136E9" w:rsidRPr="00061A5F" w:rsidRDefault="004136E9" w:rsidP="00370685">
            <w:pPr>
              <w:jc w:val="cente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included</w:t>
            </w:r>
          </w:p>
        </w:tc>
      </w:tr>
    </w:tbl>
    <w:p w14:paraId="77FA9C69" w14:textId="4B466745" w:rsidR="00AB55DF" w:rsidRPr="00061A5F" w:rsidRDefault="009A40F5" w:rsidP="004136E9">
      <w:pPr>
        <w:spacing w:line="276" w:lineRule="auto"/>
        <w:jc w:val="both"/>
        <w:rPr>
          <w:rFonts w:ascii="Times New Roman" w:eastAsia="Times New Roman" w:hAnsi="Times New Roman"/>
          <w:lang w:eastAsia="en-GB"/>
        </w:rPr>
      </w:pPr>
      <w:r w:rsidRPr="00061A5F">
        <w:rPr>
          <w:rFonts w:ascii="Times New Roman" w:eastAsia="Times New Roman" w:hAnsi="Times New Roman"/>
          <w:lang w:eastAsia="en-GB"/>
        </w:rPr>
        <w:lastRenderedPageBreak/>
        <w:t xml:space="preserve">***, **, * denotes that variables are statistically significant at the 1%, 5% and 10%, respectively </w:t>
      </w:r>
    </w:p>
    <w:p w14:paraId="66F4A126" w14:textId="77777777" w:rsidR="004136E9" w:rsidRPr="00061A5F" w:rsidRDefault="004136E9" w:rsidP="004136E9">
      <w:pPr>
        <w:spacing w:line="276" w:lineRule="auto"/>
        <w:jc w:val="both"/>
        <w:rPr>
          <w:rFonts w:ascii="Times New Roman" w:eastAsia="Times New Roman" w:hAnsi="Times New Roman"/>
          <w:lang w:eastAsia="en-GB"/>
        </w:rPr>
      </w:pPr>
    </w:p>
    <w:bookmarkEnd w:id="69"/>
    <w:p w14:paraId="45B4E9AD" w14:textId="7B85106D" w:rsidR="009408EE" w:rsidRPr="00061A5F" w:rsidRDefault="009408EE" w:rsidP="007F5D0E">
      <w:pPr>
        <w:autoSpaceDE w:val="0"/>
        <w:autoSpaceDN w:val="0"/>
        <w:adjustRightInd w:val="0"/>
        <w:spacing w:line="276" w:lineRule="auto"/>
        <w:jc w:val="both"/>
        <w:rPr>
          <w:rFonts w:ascii="Times New Roman" w:hAnsi="Times New Roman"/>
          <w:sz w:val="24"/>
          <w:szCs w:val="24"/>
        </w:rPr>
      </w:pPr>
      <w:r w:rsidRPr="00061A5F">
        <w:rPr>
          <w:rFonts w:ascii="Times New Roman" w:hAnsi="Times New Roman"/>
          <w:sz w:val="24"/>
          <w:szCs w:val="24"/>
        </w:rPr>
        <w:t xml:space="preserve">Results from the one-step </w:t>
      </w:r>
      <w:r w:rsidR="00B045A7" w:rsidRPr="00061A5F">
        <w:rPr>
          <w:rFonts w:ascii="Times New Roman" w:hAnsi="Times New Roman"/>
          <w:sz w:val="24"/>
          <w:szCs w:val="24"/>
        </w:rPr>
        <w:t xml:space="preserve">“system” </w:t>
      </w:r>
      <w:r w:rsidR="00BB219F" w:rsidRPr="00061A5F">
        <w:rPr>
          <w:rFonts w:ascii="Times New Roman" w:hAnsi="Times New Roman"/>
          <w:sz w:val="24"/>
          <w:szCs w:val="24"/>
        </w:rPr>
        <w:t>GMM (summarised in Table</w:t>
      </w:r>
      <w:r w:rsidR="00EB3B88" w:rsidRPr="00061A5F">
        <w:rPr>
          <w:rFonts w:ascii="Times New Roman" w:hAnsi="Times New Roman"/>
          <w:sz w:val="24"/>
          <w:szCs w:val="24"/>
        </w:rPr>
        <w:t>s</w:t>
      </w:r>
      <w:r w:rsidR="00BB219F" w:rsidRPr="00061A5F">
        <w:rPr>
          <w:rFonts w:ascii="Times New Roman" w:hAnsi="Times New Roman"/>
          <w:sz w:val="24"/>
          <w:szCs w:val="24"/>
        </w:rPr>
        <w:t xml:space="preserve"> 2a</w:t>
      </w:r>
      <w:r w:rsidR="00EB3B88" w:rsidRPr="00061A5F">
        <w:rPr>
          <w:rFonts w:ascii="Times New Roman" w:hAnsi="Times New Roman"/>
          <w:sz w:val="24"/>
          <w:szCs w:val="24"/>
        </w:rPr>
        <w:t xml:space="preserve"> and 2b</w:t>
      </w:r>
      <w:r w:rsidRPr="00061A5F">
        <w:rPr>
          <w:rFonts w:ascii="Times New Roman" w:hAnsi="Times New Roman"/>
          <w:sz w:val="24"/>
          <w:szCs w:val="24"/>
        </w:rPr>
        <w:t>) suggest that in all specifications the lagged dependent variable is highly significant and positive</w:t>
      </w:r>
      <w:r w:rsidR="00DA6B34" w:rsidRPr="00061A5F">
        <w:rPr>
          <w:rFonts w:ascii="Times New Roman" w:hAnsi="Times New Roman"/>
          <w:sz w:val="24"/>
          <w:szCs w:val="24"/>
        </w:rPr>
        <w:t>,</w:t>
      </w:r>
      <w:r w:rsidRPr="00061A5F">
        <w:rPr>
          <w:rFonts w:ascii="Times New Roman" w:hAnsi="Times New Roman"/>
          <w:sz w:val="24"/>
          <w:szCs w:val="24"/>
        </w:rPr>
        <w:t xml:space="preserve"> indicating that inflation is persistent in these countries. Moreover, </w:t>
      </w:r>
      <w:r w:rsidR="002F7755" w:rsidRPr="00061A5F">
        <w:rPr>
          <w:rFonts w:ascii="Times New Roman" w:hAnsi="Times New Roman"/>
          <w:sz w:val="24"/>
          <w:szCs w:val="24"/>
        </w:rPr>
        <w:t>i</w:t>
      </w:r>
      <w:r w:rsidR="00C426EF" w:rsidRPr="00061A5F">
        <w:rPr>
          <w:rFonts w:ascii="Times New Roman" w:hAnsi="Times New Roman"/>
          <w:sz w:val="24"/>
          <w:szCs w:val="24"/>
        </w:rPr>
        <w:t>n spite of concerns over instrument validity, given the small sample size, a standard diagnostic check supports the validity of our system GMM estimates (</w:t>
      </w:r>
      <w:proofErr w:type="spellStart"/>
      <w:r w:rsidR="00C426EF" w:rsidRPr="00061A5F">
        <w:rPr>
          <w:rFonts w:ascii="Times New Roman" w:hAnsi="Times New Roman"/>
          <w:sz w:val="24"/>
          <w:szCs w:val="24"/>
        </w:rPr>
        <w:t>Roodman</w:t>
      </w:r>
      <w:proofErr w:type="spellEnd"/>
      <w:r w:rsidR="00C426EF" w:rsidRPr="00061A5F">
        <w:rPr>
          <w:rFonts w:ascii="Times New Roman" w:hAnsi="Times New Roman"/>
          <w:sz w:val="24"/>
          <w:szCs w:val="24"/>
        </w:rPr>
        <w:t xml:space="preserve">, 2006): i.e. </w:t>
      </w:r>
      <w:r w:rsidR="00891196" w:rsidRPr="00061A5F">
        <w:rPr>
          <w:rFonts w:ascii="Times New Roman" w:hAnsi="Times New Roman"/>
          <w:sz w:val="24"/>
          <w:szCs w:val="24"/>
        </w:rPr>
        <w:t xml:space="preserve">in each of the three models, </w:t>
      </w:r>
      <w:r w:rsidRPr="00061A5F">
        <w:rPr>
          <w:rFonts w:ascii="Times New Roman" w:hAnsi="Times New Roman"/>
          <w:sz w:val="24"/>
          <w:szCs w:val="24"/>
        </w:rPr>
        <w:t>the size of the coefficient on the lagged dependent variable from the dynamic estimation lies between the values of the coefficients from, respectively, OLS and fixed e</w:t>
      </w:r>
      <w:r w:rsidR="00E56206" w:rsidRPr="00061A5F">
        <w:rPr>
          <w:rFonts w:ascii="Times New Roman" w:hAnsi="Times New Roman"/>
          <w:sz w:val="24"/>
          <w:szCs w:val="24"/>
        </w:rPr>
        <w:t>ffect estimation</w:t>
      </w:r>
      <w:r w:rsidRPr="00061A5F">
        <w:rPr>
          <w:rFonts w:ascii="Times New Roman" w:hAnsi="Times New Roman"/>
          <w:sz w:val="24"/>
          <w:szCs w:val="24"/>
        </w:rPr>
        <w:t xml:space="preserve">. </w:t>
      </w:r>
    </w:p>
    <w:p w14:paraId="487563E5" w14:textId="77777777" w:rsidR="009408EE" w:rsidRPr="00061A5F" w:rsidRDefault="009408EE" w:rsidP="007F5D0E">
      <w:pPr>
        <w:autoSpaceDE w:val="0"/>
        <w:autoSpaceDN w:val="0"/>
        <w:adjustRightInd w:val="0"/>
        <w:spacing w:line="276" w:lineRule="auto"/>
        <w:jc w:val="both"/>
        <w:rPr>
          <w:rFonts w:ascii="Times New Roman" w:hAnsi="Times New Roman"/>
          <w:sz w:val="24"/>
          <w:szCs w:val="24"/>
        </w:rPr>
      </w:pPr>
    </w:p>
    <w:p w14:paraId="5A861E0F" w14:textId="72A25355" w:rsidR="009408EE" w:rsidRPr="00061A5F" w:rsidRDefault="009408EE" w:rsidP="007F5D0E">
      <w:pPr>
        <w:autoSpaceDE w:val="0"/>
        <w:autoSpaceDN w:val="0"/>
        <w:adjustRightInd w:val="0"/>
        <w:spacing w:line="276" w:lineRule="auto"/>
        <w:jc w:val="both"/>
        <w:rPr>
          <w:rFonts w:ascii="Times New Roman" w:hAnsi="Times New Roman"/>
          <w:sz w:val="24"/>
          <w:szCs w:val="24"/>
        </w:rPr>
      </w:pPr>
      <w:r w:rsidRPr="00061A5F">
        <w:rPr>
          <w:rFonts w:ascii="Times New Roman" w:hAnsi="Times New Roman"/>
          <w:sz w:val="24"/>
          <w:szCs w:val="24"/>
        </w:rPr>
        <w:t xml:space="preserve">The </w:t>
      </w:r>
      <w:r w:rsidR="00EB3B88" w:rsidRPr="00061A5F">
        <w:rPr>
          <w:rFonts w:ascii="Times New Roman" w:hAnsi="Times New Roman"/>
          <w:sz w:val="24"/>
          <w:szCs w:val="24"/>
        </w:rPr>
        <w:t xml:space="preserve">marginal effects </w:t>
      </w:r>
      <w:r w:rsidRPr="00061A5F">
        <w:rPr>
          <w:rFonts w:ascii="Times New Roman" w:hAnsi="Times New Roman"/>
          <w:sz w:val="24"/>
          <w:szCs w:val="24"/>
        </w:rPr>
        <w:t>results suggest that the CBA has a significant and negative effect on inflation</w:t>
      </w:r>
      <w:r w:rsidR="00753582" w:rsidRPr="00061A5F">
        <w:rPr>
          <w:rFonts w:ascii="Times New Roman" w:hAnsi="Times New Roman"/>
          <w:sz w:val="24"/>
          <w:szCs w:val="24"/>
        </w:rPr>
        <w:t xml:space="preserve"> in all specifications</w:t>
      </w:r>
      <w:r w:rsidR="00E56206" w:rsidRPr="00061A5F">
        <w:rPr>
          <w:rFonts w:ascii="Times New Roman" w:hAnsi="Times New Roman"/>
          <w:sz w:val="24"/>
          <w:szCs w:val="24"/>
        </w:rPr>
        <w:t xml:space="preserve">. </w:t>
      </w:r>
      <w:r w:rsidRPr="00061A5F">
        <w:rPr>
          <w:rFonts w:ascii="Times New Roman" w:hAnsi="Times New Roman"/>
          <w:sz w:val="24"/>
          <w:szCs w:val="24"/>
        </w:rPr>
        <w:t>The effect is somewhat larger when interaction term</w:t>
      </w:r>
      <w:r w:rsidR="00E56206" w:rsidRPr="00061A5F">
        <w:rPr>
          <w:rFonts w:ascii="Times New Roman" w:hAnsi="Times New Roman"/>
          <w:sz w:val="24"/>
          <w:szCs w:val="24"/>
        </w:rPr>
        <w:t>s</w:t>
      </w:r>
      <w:r w:rsidR="002F25BA" w:rsidRPr="00061A5F">
        <w:rPr>
          <w:rFonts w:ascii="Times New Roman" w:hAnsi="Times New Roman"/>
          <w:sz w:val="24"/>
          <w:szCs w:val="24"/>
        </w:rPr>
        <w:t xml:space="preserve"> are</w:t>
      </w:r>
      <w:r w:rsidRPr="00061A5F">
        <w:rPr>
          <w:rFonts w:ascii="Times New Roman" w:hAnsi="Times New Roman"/>
          <w:sz w:val="24"/>
          <w:szCs w:val="24"/>
        </w:rPr>
        <w:t xml:space="preserve"> included. </w:t>
      </w:r>
      <w:r w:rsidR="001246AC" w:rsidRPr="00061A5F">
        <w:rPr>
          <w:rFonts w:ascii="Times New Roman" w:hAnsi="Times New Roman"/>
          <w:sz w:val="24"/>
          <w:szCs w:val="24"/>
        </w:rPr>
        <w:t xml:space="preserve">For example, in </w:t>
      </w:r>
      <w:r w:rsidR="00EB3B88" w:rsidRPr="00061A5F">
        <w:rPr>
          <w:rFonts w:ascii="Times New Roman" w:hAnsi="Times New Roman"/>
          <w:sz w:val="24"/>
          <w:szCs w:val="24"/>
        </w:rPr>
        <w:t>Equation</w:t>
      </w:r>
      <w:r w:rsidR="001246AC" w:rsidRPr="00061A5F">
        <w:rPr>
          <w:rFonts w:ascii="Times New Roman" w:hAnsi="Times New Roman"/>
          <w:sz w:val="24"/>
          <w:szCs w:val="24"/>
        </w:rPr>
        <w:t xml:space="preserve"> 1 t</w:t>
      </w:r>
      <w:r w:rsidRPr="00061A5F">
        <w:rPr>
          <w:rFonts w:ascii="Times New Roman" w:hAnsi="Times New Roman"/>
          <w:sz w:val="24"/>
          <w:szCs w:val="24"/>
        </w:rPr>
        <w:t>he coefficient on the CBA variable suggests that countries w</w:t>
      </w:r>
      <w:r w:rsidR="002F25BA" w:rsidRPr="00061A5F">
        <w:rPr>
          <w:rFonts w:ascii="Times New Roman" w:hAnsi="Times New Roman"/>
          <w:sz w:val="24"/>
          <w:szCs w:val="24"/>
        </w:rPr>
        <w:t xml:space="preserve">ith a CBA have, on average, a </w:t>
      </w:r>
      <w:r w:rsidR="00634706" w:rsidRPr="00061A5F">
        <w:rPr>
          <w:rFonts w:ascii="Times New Roman" w:hAnsi="Times New Roman"/>
          <w:sz w:val="24"/>
          <w:szCs w:val="24"/>
        </w:rPr>
        <w:t>9.79</w:t>
      </w:r>
      <w:r w:rsidR="00A30DCF" w:rsidRPr="00061A5F">
        <w:rPr>
          <w:rFonts w:ascii="Times New Roman" w:hAnsi="Times New Roman"/>
          <w:sz w:val="24"/>
          <w:szCs w:val="24"/>
        </w:rPr>
        <w:t xml:space="preserve"> </w:t>
      </w:r>
      <w:r w:rsidRPr="00061A5F">
        <w:rPr>
          <w:rFonts w:ascii="Times New Roman" w:hAnsi="Times New Roman"/>
          <w:sz w:val="24"/>
          <w:szCs w:val="24"/>
        </w:rPr>
        <w:t>percentage points lower inflation rate than countries without a CBA,</w:t>
      </w:r>
      <w:r w:rsidR="00A30DCF" w:rsidRPr="00061A5F">
        <w:rPr>
          <w:rStyle w:val="FootnoteReference"/>
          <w:rFonts w:ascii="Times New Roman" w:hAnsi="Times New Roman"/>
          <w:sz w:val="24"/>
          <w:szCs w:val="24"/>
        </w:rPr>
        <w:footnoteReference w:id="10"/>
      </w:r>
      <w:r w:rsidRPr="00061A5F">
        <w:rPr>
          <w:rFonts w:ascii="Times New Roman" w:hAnsi="Times New Roman"/>
          <w:sz w:val="24"/>
          <w:szCs w:val="24"/>
        </w:rPr>
        <w:t xml:space="preserve"> holding other factors constant. The money supply variable is significant and positive in all specifications. </w:t>
      </w:r>
      <w:r w:rsidR="002F25BA" w:rsidRPr="00061A5F">
        <w:rPr>
          <w:rFonts w:ascii="Times New Roman" w:hAnsi="Times New Roman"/>
          <w:sz w:val="24"/>
          <w:szCs w:val="24"/>
        </w:rPr>
        <w:t xml:space="preserve">The introduction of VAT also has significant and positive effect on inflation in all specifications indicating that it has a positive short-run effect on inflation. </w:t>
      </w:r>
      <w:r w:rsidR="00EB3B88" w:rsidRPr="00061A5F">
        <w:rPr>
          <w:rFonts w:ascii="Times New Roman" w:eastAsia="Calibri" w:hAnsi="Times New Roman"/>
          <w:color w:val="000000"/>
          <w:sz w:val="24"/>
          <w:szCs w:val="24"/>
        </w:rPr>
        <w:t xml:space="preserve">As noted above, </w:t>
      </w:r>
      <w:r w:rsidR="002255D3" w:rsidRPr="00061A5F">
        <w:rPr>
          <w:rFonts w:ascii="Times New Roman" w:eastAsia="Calibri" w:hAnsi="Times New Roman"/>
          <w:color w:val="000000"/>
          <w:sz w:val="24"/>
          <w:szCs w:val="24"/>
        </w:rPr>
        <w:t xml:space="preserve">the </w:t>
      </w:r>
      <w:r w:rsidR="00EB3B88" w:rsidRPr="00061A5F">
        <w:rPr>
          <w:rFonts w:ascii="Times New Roman" w:eastAsia="Calibri" w:hAnsi="Times New Roman"/>
          <w:color w:val="000000"/>
          <w:sz w:val="24"/>
          <w:szCs w:val="24"/>
        </w:rPr>
        <w:t xml:space="preserve">marginal effect of </w:t>
      </w:r>
      <w:r w:rsidR="002255D3" w:rsidRPr="00061A5F">
        <w:rPr>
          <w:rFonts w:ascii="Times New Roman" w:eastAsia="Calibri" w:hAnsi="Times New Roman"/>
          <w:color w:val="000000"/>
          <w:sz w:val="24"/>
          <w:szCs w:val="24"/>
        </w:rPr>
        <w:t xml:space="preserve">the </w:t>
      </w:r>
      <w:r w:rsidR="00EB3B88" w:rsidRPr="00061A5F">
        <w:rPr>
          <w:rFonts w:ascii="Times New Roman" w:eastAsia="Calibri" w:hAnsi="Times New Roman"/>
          <w:color w:val="000000"/>
          <w:sz w:val="24"/>
          <w:szCs w:val="24"/>
        </w:rPr>
        <w:t xml:space="preserve">interaction term cannot be observed separately. </w:t>
      </w:r>
      <w:r w:rsidR="00E56206" w:rsidRPr="00061A5F">
        <w:rPr>
          <w:rFonts w:ascii="Times New Roman" w:eastAsia="Calibri" w:hAnsi="Times New Roman"/>
          <w:color w:val="000000"/>
          <w:sz w:val="24"/>
          <w:szCs w:val="24"/>
        </w:rPr>
        <w:t xml:space="preserve">Therefore, the </w:t>
      </w:r>
      <w:r w:rsidR="002255D3" w:rsidRPr="00061A5F">
        <w:rPr>
          <w:rFonts w:ascii="Times New Roman" w:eastAsia="Calibri" w:hAnsi="Times New Roman"/>
          <w:color w:val="000000"/>
          <w:sz w:val="24"/>
          <w:szCs w:val="24"/>
        </w:rPr>
        <w:t xml:space="preserve">indirect or moderating </w:t>
      </w:r>
      <w:r w:rsidR="00E56206" w:rsidRPr="00061A5F">
        <w:rPr>
          <w:rFonts w:ascii="Times New Roman" w:eastAsia="Calibri" w:hAnsi="Times New Roman"/>
          <w:color w:val="000000"/>
          <w:sz w:val="24"/>
          <w:szCs w:val="24"/>
        </w:rPr>
        <w:t>effect</w:t>
      </w:r>
      <w:r w:rsidR="00094B84" w:rsidRPr="00061A5F">
        <w:rPr>
          <w:rFonts w:ascii="Times New Roman" w:eastAsia="Calibri" w:hAnsi="Times New Roman"/>
          <w:color w:val="000000"/>
          <w:sz w:val="24"/>
          <w:szCs w:val="24"/>
        </w:rPr>
        <w:t>s</w:t>
      </w:r>
      <w:r w:rsidR="00E56206" w:rsidRPr="00061A5F">
        <w:rPr>
          <w:rFonts w:ascii="Times New Roman" w:eastAsia="Calibri" w:hAnsi="Times New Roman"/>
          <w:color w:val="000000"/>
          <w:sz w:val="24"/>
          <w:szCs w:val="24"/>
        </w:rPr>
        <w:t xml:space="preserve"> of the interaction term</w:t>
      </w:r>
      <w:r w:rsidR="00094B84" w:rsidRPr="00061A5F">
        <w:rPr>
          <w:rFonts w:ascii="Times New Roman" w:eastAsia="Calibri" w:hAnsi="Times New Roman"/>
          <w:color w:val="000000"/>
          <w:sz w:val="24"/>
          <w:szCs w:val="24"/>
        </w:rPr>
        <w:t>s</w:t>
      </w:r>
      <w:r w:rsidR="00E56206" w:rsidRPr="00061A5F">
        <w:rPr>
          <w:rFonts w:ascii="Times New Roman" w:eastAsia="Calibri" w:hAnsi="Times New Roman"/>
          <w:color w:val="000000"/>
          <w:sz w:val="24"/>
          <w:szCs w:val="24"/>
        </w:rPr>
        <w:t xml:space="preserve"> </w:t>
      </w:r>
      <w:r w:rsidR="00094B84" w:rsidRPr="00061A5F">
        <w:rPr>
          <w:rFonts w:ascii="Times New Roman" w:eastAsia="Calibri" w:hAnsi="Times New Roman"/>
          <w:color w:val="000000"/>
          <w:sz w:val="24"/>
          <w:szCs w:val="24"/>
        </w:rPr>
        <w:t>are</w:t>
      </w:r>
      <w:r w:rsidR="00E56206" w:rsidRPr="00061A5F">
        <w:rPr>
          <w:rFonts w:ascii="Times New Roman" w:eastAsia="Calibri" w:hAnsi="Times New Roman"/>
          <w:color w:val="000000"/>
          <w:sz w:val="24"/>
          <w:szCs w:val="24"/>
        </w:rPr>
        <w:t xml:space="preserve"> presented in </w:t>
      </w:r>
      <w:r w:rsidR="00950444" w:rsidRPr="00061A5F">
        <w:rPr>
          <w:rFonts w:ascii="Times New Roman" w:eastAsia="Calibri" w:hAnsi="Times New Roman"/>
          <w:color w:val="000000"/>
          <w:sz w:val="24"/>
          <w:szCs w:val="24"/>
        </w:rPr>
        <w:t>F</w:t>
      </w:r>
      <w:r w:rsidR="00E56206" w:rsidRPr="00061A5F">
        <w:rPr>
          <w:rFonts w:ascii="Times New Roman" w:eastAsia="Calibri" w:hAnsi="Times New Roman"/>
          <w:color w:val="000000"/>
          <w:sz w:val="24"/>
          <w:szCs w:val="24"/>
        </w:rPr>
        <w:t>igure</w:t>
      </w:r>
      <w:r w:rsidR="00094B84" w:rsidRPr="00061A5F">
        <w:rPr>
          <w:rFonts w:ascii="Times New Roman" w:eastAsia="Calibri" w:hAnsi="Times New Roman"/>
          <w:color w:val="000000"/>
          <w:sz w:val="24"/>
          <w:szCs w:val="24"/>
        </w:rPr>
        <w:t>s</w:t>
      </w:r>
      <w:r w:rsidR="00950444" w:rsidRPr="00061A5F">
        <w:rPr>
          <w:rFonts w:ascii="Times New Roman" w:eastAsia="Calibri" w:hAnsi="Times New Roman"/>
          <w:color w:val="000000"/>
          <w:sz w:val="24"/>
          <w:szCs w:val="24"/>
        </w:rPr>
        <w:t xml:space="preserve"> </w:t>
      </w:r>
      <w:r w:rsidR="00AD63DD" w:rsidRPr="00061A5F">
        <w:rPr>
          <w:rFonts w:ascii="Times New Roman" w:eastAsia="Calibri" w:hAnsi="Times New Roman"/>
          <w:color w:val="000000"/>
          <w:sz w:val="24"/>
          <w:szCs w:val="24"/>
        </w:rPr>
        <w:t>4</w:t>
      </w:r>
      <w:r w:rsidR="00094B84" w:rsidRPr="00061A5F">
        <w:rPr>
          <w:rFonts w:ascii="Times New Roman" w:eastAsia="Calibri" w:hAnsi="Times New Roman"/>
          <w:color w:val="000000"/>
          <w:sz w:val="24"/>
          <w:szCs w:val="24"/>
        </w:rPr>
        <w:t xml:space="preserve"> and 5</w:t>
      </w:r>
      <w:r w:rsidR="00E56206" w:rsidRPr="00061A5F">
        <w:rPr>
          <w:rFonts w:ascii="Times New Roman" w:eastAsia="Calibri" w:hAnsi="Times New Roman"/>
          <w:color w:val="000000"/>
          <w:sz w:val="24"/>
          <w:szCs w:val="24"/>
        </w:rPr>
        <w:t xml:space="preserve">. </w:t>
      </w:r>
      <w:r w:rsidRPr="00061A5F">
        <w:rPr>
          <w:rFonts w:ascii="Times New Roman" w:hAnsi="Times New Roman"/>
          <w:sz w:val="24"/>
          <w:szCs w:val="24"/>
        </w:rPr>
        <w:t>The marginal effect of a CBA at different level</w:t>
      </w:r>
      <w:r w:rsidR="00A30DCF" w:rsidRPr="00061A5F">
        <w:rPr>
          <w:rFonts w:ascii="Times New Roman" w:hAnsi="Times New Roman"/>
          <w:sz w:val="24"/>
          <w:szCs w:val="24"/>
        </w:rPr>
        <w:t>s</w:t>
      </w:r>
      <w:r w:rsidRPr="00061A5F">
        <w:rPr>
          <w:rFonts w:ascii="Times New Roman" w:hAnsi="Times New Roman"/>
          <w:sz w:val="24"/>
          <w:szCs w:val="24"/>
        </w:rPr>
        <w:t xml:space="preserve"> of MSG indicate that the effect of CBA is significant when money supply growth </w:t>
      </w:r>
      <w:r w:rsidR="00753582" w:rsidRPr="00061A5F">
        <w:rPr>
          <w:rFonts w:ascii="Times New Roman" w:hAnsi="Times New Roman"/>
          <w:sz w:val="24"/>
          <w:szCs w:val="24"/>
        </w:rPr>
        <w:t>i</w:t>
      </w:r>
      <w:r w:rsidRPr="00061A5F">
        <w:rPr>
          <w:rFonts w:ascii="Times New Roman" w:hAnsi="Times New Roman"/>
          <w:sz w:val="24"/>
          <w:szCs w:val="24"/>
        </w:rPr>
        <w:t>s positive and it is more negative the higher the</w:t>
      </w:r>
      <w:r w:rsidR="00E56206" w:rsidRPr="00061A5F">
        <w:rPr>
          <w:rFonts w:ascii="Times New Roman" w:hAnsi="Times New Roman"/>
          <w:sz w:val="24"/>
          <w:szCs w:val="24"/>
        </w:rPr>
        <w:t xml:space="preserve"> money supply growth</w:t>
      </w:r>
      <w:r w:rsidR="002255D3" w:rsidRPr="00061A5F">
        <w:rPr>
          <w:rFonts w:ascii="Times New Roman" w:hAnsi="Times New Roman"/>
          <w:sz w:val="24"/>
          <w:szCs w:val="24"/>
        </w:rPr>
        <w:t xml:space="preserve"> (Figure 4)</w:t>
      </w:r>
      <w:r w:rsidRPr="00061A5F">
        <w:rPr>
          <w:rFonts w:ascii="Times New Roman" w:hAnsi="Times New Roman"/>
          <w:sz w:val="24"/>
          <w:szCs w:val="24"/>
        </w:rPr>
        <w:t>. This suggests that the CBA tends to repress the effect of money supply growth on inflation, which is an additional a</w:t>
      </w:r>
      <w:r w:rsidR="00753582" w:rsidRPr="00061A5F">
        <w:rPr>
          <w:rFonts w:ascii="Times New Roman" w:hAnsi="Times New Roman"/>
          <w:sz w:val="24"/>
          <w:szCs w:val="24"/>
        </w:rPr>
        <w:t>rgument for maintenance of a CBA</w:t>
      </w:r>
      <w:r w:rsidRPr="00061A5F">
        <w:rPr>
          <w:rFonts w:ascii="Times New Roman" w:hAnsi="Times New Roman"/>
          <w:sz w:val="24"/>
          <w:szCs w:val="24"/>
        </w:rPr>
        <w:t>.</w:t>
      </w:r>
      <w:r w:rsidR="00270DDE" w:rsidRPr="00061A5F">
        <w:rPr>
          <w:rFonts w:ascii="Times New Roman" w:eastAsia="Calibri" w:hAnsi="Times New Roman"/>
          <w:b/>
          <w:sz w:val="24"/>
          <w:szCs w:val="24"/>
        </w:rPr>
        <w:t xml:space="preserve"> </w:t>
      </w:r>
      <w:r w:rsidRPr="00061A5F">
        <w:rPr>
          <w:rFonts w:ascii="Times New Roman" w:hAnsi="Times New Roman"/>
          <w:sz w:val="24"/>
          <w:szCs w:val="24"/>
        </w:rPr>
        <w:t xml:space="preserve"> </w:t>
      </w:r>
    </w:p>
    <w:p w14:paraId="663C056E" w14:textId="77777777" w:rsidR="009408EE" w:rsidRPr="00061A5F" w:rsidRDefault="009408EE" w:rsidP="007F5D0E">
      <w:pPr>
        <w:autoSpaceDE w:val="0"/>
        <w:autoSpaceDN w:val="0"/>
        <w:adjustRightInd w:val="0"/>
        <w:spacing w:line="276" w:lineRule="auto"/>
        <w:jc w:val="both"/>
      </w:pPr>
      <w:bookmarkStart w:id="70" w:name="_Toc418095717"/>
    </w:p>
    <w:p w14:paraId="5861D05C" w14:textId="5863DED6" w:rsidR="00AB55DF" w:rsidRPr="00061A5F" w:rsidRDefault="00AB55DF" w:rsidP="007F5D0E">
      <w:pPr>
        <w:pStyle w:val="Figures"/>
        <w:spacing w:line="276" w:lineRule="auto"/>
        <w:rPr>
          <w:rFonts w:cs="Times New Roman"/>
          <w:b/>
        </w:rPr>
      </w:pPr>
      <w:r w:rsidRPr="00061A5F">
        <w:rPr>
          <w:rFonts w:cs="Times New Roman"/>
          <w:b/>
        </w:rPr>
        <w:t xml:space="preserve">Insert Figure </w:t>
      </w:r>
      <w:r w:rsidR="002D77A6" w:rsidRPr="00061A5F">
        <w:rPr>
          <w:rFonts w:cs="Times New Roman"/>
          <w:b/>
        </w:rPr>
        <w:t>4</w:t>
      </w:r>
      <w:r w:rsidRPr="00061A5F">
        <w:rPr>
          <w:rFonts w:cs="Times New Roman"/>
          <w:b/>
        </w:rPr>
        <w:t xml:space="preserve"> around here</w:t>
      </w:r>
    </w:p>
    <w:p w14:paraId="333B640C" w14:textId="77777777" w:rsidR="00AB55DF" w:rsidRPr="00061A5F" w:rsidRDefault="00AB55DF" w:rsidP="007F5D0E">
      <w:pPr>
        <w:pStyle w:val="Figures"/>
        <w:spacing w:line="276" w:lineRule="auto"/>
        <w:rPr>
          <w:rFonts w:cs="Times New Roman"/>
        </w:rPr>
      </w:pPr>
    </w:p>
    <w:bookmarkEnd w:id="70"/>
    <w:p w14:paraId="729AC431" w14:textId="1C1F16E6" w:rsidR="00270DDE" w:rsidRPr="00061A5F" w:rsidRDefault="00753582" w:rsidP="007F5D0E">
      <w:pPr>
        <w:autoSpaceDE w:val="0"/>
        <w:autoSpaceDN w:val="0"/>
        <w:adjustRightInd w:val="0"/>
        <w:spacing w:line="276" w:lineRule="auto"/>
        <w:jc w:val="both"/>
        <w:rPr>
          <w:rFonts w:ascii="Times New Roman" w:hAnsi="Times New Roman"/>
          <w:sz w:val="24"/>
          <w:szCs w:val="24"/>
        </w:rPr>
      </w:pPr>
      <w:r w:rsidRPr="00061A5F">
        <w:rPr>
          <w:rFonts w:ascii="Times New Roman" w:hAnsi="Times New Roman"/>
          <w:sz w:val="24"/>
          <w:szCs w:val="24"/>
        </w:rPr>
        <w:t>However, even though this effect is beneficial in “normal times”</w:t>
      </w:r>
      <w:r w:rsidR="000D4C39" w:rsidRPr="00061A5F">
        <w:rPr>
          <w:rFonts w:ascii="Times New Roman" w:hAnsi="Times New Roman"/>
          <w:sz w:val="24"/>
          <w:szCs w:val="24"/>
        </w:rPr>
        <w:t>,</w:t>
      </w:r>
      <w:r w:rsidRPr="00061A5F">
        <w:rPr>
          <w:rFonts w:ascii="Times New Roman" w:hAnsi="Times New Roman"/>
          <w:sz w:val="24"/>
          <w:szCs w:val="24"/>
        </w:rPr>
        <w:t xml:space="preserve"> in </w:t>
      </w:r>
      <w:r w:rsidR="00531432" w:rsidRPr="00061A5F">
        <w:rPr>
          <w:rFonts w:ascii="Times New Roman" w:hAnsi="Times New Roman"/>
          <w:sz w:val="24"/>
          <w:szCs w:val="24"/>
        </w:rPr>
        <w:t>a</w:t>
      </w:r>
      <w:r w:rsidRPr="00061A5F">
        <w:rPr>
          <w:rFonts w:ascii="Times New Roman" w:hAnsi="Times New Roman"/>
          <w:sz w:val="24"/>
          <w:szCs w:val="24"/>
        </w:rPr>
        <w:t xml:space="preserve"> crisis </w:t>
      </w:r>
      <w:r w:rsidR="00FA5FFB" w:rsidRPr="00061A5F">
        <w:rPr>
          <w:rFonts w:ascii="Times New Roman" w:hAnsi="Times New Roman"/>
          <w:sz w:val="24"/>
          <w:szCs w:val="24"/>
        </w:rPr>
        <w:t>that</w:t>
      </w:r>
      <w:r w:rsidRPr="00061A5F">
        <w:rPr>
          <w:rFonts w:ascii="Times New Roman" w:hAnsi="Times New Roman"/>
          <w:sz w:val="24"/>
          <w:szCs w:val="24"/>
        </w:rPr>
        <w:t xml:space="preserve"> </w:t>
      </w:r>
      <w:r w:rsidR="00531432" w:rsidRPr="00061A5F">
        <w:rPr>
          <w:rFonts w:ascii="Times New Roman" w:hAnsi="Times New Roman"/>
          <w:sz w:val="24"/>
          <w:szCs w:val="24"/>
        </w:rPr>
        <w:t>d</w:t>
      </w:r>
      <w:r w:rsidRPr="00061A5F">
        <w:rPr>
          <w:rFonts w:ascii="Times New Roman" w:hAnsi="Times New Roman"/>
          <w:sz w:val="24"/>
          <w:szCs w:val="24"/>
        </w:rPr>
        <w:t xml:space="preserve">epresses output the negative effect on inflation </w:t>
      </w:r>
      <w:r w:rsidR="000D4C39" w:rsidRPr="00061A5F">
        <w:rPr>
          <w:rFonts w:ascii="Times New Roman" w:hAnsi="Times New Roman"/>
          <w:sz w:val="24"/>
          <w:szCs w:val="24"/>
        </w:rPr>
        <w:t>may</w:t>
      </w:r>
      <w:r w:rsidRPr="00061A5F">
        <w:rPr>
          <w:rFonts w:ascii="Times New Roman" w:hAnsi="Times New Roman"/>
          <w:sz w:val="24"/>
          <w:szCs w:val="24"/>
        </w:rPr>
        <w:t xml:space="preserve"> not </w:t>
      </w:r>
      <w:r w:rsidR="000D4C39" w:rsidRPr="00061A5F">
        <w:rPr>
          <w:rFonts w:ascii="Times New Roman" w:hAnsi="Times New Roman"/>
          <w:sz w:val="24"/>
          <w:szCs w:val="24"/>
        </w:rPr>
        <w:t xml:space="preserve">be </w:t>
      </w:r>
      <w:r w:rsidRPr="00061A5F">
        <w:rPr>
          <w:rFonts w:ascii="Times New Roman" w:hAnsi="Times New Roman"/>
          <w:sz w:val="24"/>
          <w:szCs w:val="24"/>
        </w:rPr>
        <w:t xml:space="preserve">desirable. </w:t>
      </w:r>
      <w:bookmarkStart w:id="71" w:name="_Hlk21376410"/>
      <w:r w:rsidRPr="00061A5F">
        <w:rPr>
          <w:rFonts w:ascii="Times New Roman" w:hAnsi="Times New Roman"/>
          <w:sz w:val="24"/>
          <w:szCs w:val="24"/>
        </w:rPr>
        <w:t>T</w:t>
      </w:r>
      <w:bookmarkStart w:id="72" w:name="_Hlk18407280"/>
      <w:r w:rsidRPr="00061A5F">
        <w:rPr>
          <w:rFonts w:ascii="Times New Roman" w:hAnsi="Times New Roman"/>
          <w:sz w:val="24"/>
          <w:szCs w:val="24"/>
        </w:rPr>
        <w:t xml:space="preserve">he results indicate that the effect of </w:t>
      </w:r>
      <w:r w:rsidR="000D4C39" w:rsidRPr="00061A5F">
        <w:rPr>
          <w:rFonts w:ascii="Times New Roman" w:hAnsi="Times New Roman"/>
          <w:sz w:val="24"/>
          <w:szCs w:val="24"/>
        </w:rPr>
        <w:t xml:space="preserve">a </w:t>
      </w:r>
      <w:r w:rsidRPr="00061A5F">
        <w:rPr>
          <w:rFonts w:ascii="Times New Roman" w:hAnsi="Times New Roman"/>
          <w:sz w:val="24"/>
          <w:szCs w:val="24"/>
        </w:rPr>
        <w:t xml:space="preserve">CBA </w:t>
      </w:r>
      <w:r w:rsidR="004224AF" w:rsidRPr="00061A5F">
        <w:rPr>
          <w:rFonts w:ascii="Times New Roman" w:hAnsi="Times New Roman"/>
          <w:sz w:val="24"/>
          <w:szCs w:val="24"/>
        </w:rPr>
        <w:t>has been</w:t>
      </w:r>
      <w:r w:rsidRPr="00061A5F">
        <w:rPr>
          <w:rFonts w:ascii="Times New Roman" w:hAnsi="Times New Roman"/>
          <w:sz w:val="24"/>
          <w:szCs w:val="24"/>
        </w:rPr>
        <w:t xml:space="preserve"> even larger in the </w:t>
      </w:r>
      <w:r w:rsidR="004224AF" w:rsidRPr="00061A5F">
        <w:rPr>
          <w:rFonts w:ascii="Times New Roman" w:hAnsi="Times New Roman"/>
          <w:sz w:val="24"/>
          <w:szCs w:val="24"/>
        </w:rPr>
        <w:t xml:space="preserve">period during and after </w:t>
      </w:r>
      <w:r w:rsidR="000D4C39" w:rsidRPr="00061A5F">
        <w:rPr>
          <w:rFonts w:ascii="Times New Roman" w:hAnsi="Times New Roman"/>
          <w:sz w:val="24"/>
          <w:szCs w:val="24"/>
        </w:rPr>
        <w:t xml:space="preserve">the </w:t>
      </w:r>
      <w:r w:rsidR="00531432" w:rsidRPr="00061A5F">
        <w:rPr>
          <w:rFonts w:ascii="Times New Roman" w:hAnsi="Times New Roman"/>
          <w:sz w:val="24"/>
          <w:szCs w:val="24"/>
        </w:rPr>
        <w:t xml:space="preserve">GFC </w:t>
      </w:r>
      <w:r w:rsidR="002D77A6" w:rsidRPr="00061A5F">
        <w:rPr>
          <w:rFonts w:ascii="Times New Roman" w:hAnsi="Times New Roman"/>
          <w:sz w:val="24"/>
          <w:szCs w:val="24"/>
        </w:rPr>
        <w:t xml:space="preserve">(see Figure 5) </w:t>
      </w:r>
      <w:r w:rsidRPr="00061A5F">
        <w:rPr>
          <w:rFonts w:ascii="Times New Roman" w:hAnsi="Times New Roman"/>
          <w:sz w:val="24"/>
          <w:szCs w:val="24"/>
        </w:rPr>
        <w:t>and</w:t>
      </w:r>
      <w:r w:rsidR="002D77A6" w:rsidRPr="00061A5F">
        <w:rPr>
          <w:rFonts w:ascii="Times New Roman" w:hAnsi="Times New Roman"/>
          <w:sz w:val="24"/>
          <w:szCs w:val="24"/>
        </w:rPr>
        <w:t xml:space="preserve"> this difference </w:t>
      </w:r>
      <w:r w:rsidR="00CC754F" w:rsidRPr="00061A5F">
        <w:rPr>
          <w:rFonts w:ascii="Times New Roman" w:hAnsi="Times New Roman"/>
          <w:sz w:val="24"/>
          <w:szCs w:val="24"/>
        </w:rPr>
        <w:t xml:space="preserve">(which is estimated to be 14%) </w:t>
      </w:r>
      <w:r w:rsidR="002D77A6" w:rsidRPr="00061A5F">
        <w:rPr>
          <w:rFonts w:ascii="Times New Roman" w:hAnsi="Times New Roman"/>
          <w:sz w:val="24"/>
          <w:szCs w:val="24"/>
        </w:rPr>
        <w:t>in the effect before and after crisis is estimated to be significant</w:t>
      </w:r>
      <w:r w:rsidR="002255D3" w:rsidRPr="00061A5F">
        <w:rPr>
          <w:rFonts w:ascii="Times New Roman" w:hAnsi="Times New Roman"/>
          <w:sz w:val="24"/>
          <w:szCs w:val="24"/>
        </w:rPr>
        <w:t xml:space="preserve"> (p-value</w:t>
      </w:r>
      <w:r w:rsidR="00CC754F" w:rsidRPr="00061A5F">
        <w:rPr>
          <w:rFonts w:ascii="Times New Roman" w:hAnsi="Times New Roman"/>
          <w:sz w:val="24"/>
          <w:szCs w:val="24"/>
        </w:rPr>
        <w:t>=0.008</w:t>
      </w:r>
      <w:r w:rsidR="002255D3" w:rsidRPr="00061A5F">
        <w:rPr>
          <w:rFonts w:ascii="Times New Roman" w:hAnsi="Times New Roman"/>
          <w:sz w:val="24"/>
          <w:szCs w:val="24"/>
        </w:rPr>
        <w:t>)</w:t>
      </w:r>
      <w:r w:rsidR="002D77A6" w:rsidRPr="00061A5F">
        <w:rPr>
          <w:rFonts w:ascii="Times New Roman" w:hAnsi="Times New Roman"/>
          <w:sz w:val="24"/>
          <w:szCs w:val="24"/>
        </w:rPr>
        <w:t>.</w:t>
      </w:r>
      <w:r w:rsidRPr="00061A5F">
        <w:rPr>
          <w:rFonts w:ascii="Times New Roman" w:hAnsi="Times New Roman"/>
          <w:sz w:val="24"/>
          <w:szCs w:val="24"/>
        </w:rPr>
        <w:t xml:space="preserve"> </w:t>
      </w:r>
      <w:r w:rsidR="002D77A6" w:rsidRPr="00061A5F">
        <w:rPr>
          <w:rFonts w:ascii="Times New Roman" w:hAnsi="Times New Roman"/>
          <w:sz w:val="24"/>
          <w:szCs w:val="24"/>
        </w:rPr>
        <w:t>T</w:t>
      </w:r>
      <w:r w:rsidRPr="00061A5F">
        <w:rPr>
          <w:rFonts w:ascii="Times New Roman" w:hAnsi="Times New Roman"/>
          <w:sz w:val="24"/>
          <w:szCs w:val="24"/>
        </w:rPr>
        <w:t>herefore</w:t>
      </w:r>
      <w:r w:rsidR="00FA5FFB" w:rsidRPr="00061A5F">
        <w:rPr>
          <w:rFonts w:ascii="Times New Roman" w:hAnsi="Times New Roman"/>
          <w:sz w:val="24"/>
          <w:szCs w:val="24"/>
        </w:rPr>
        <w:t>,</w:t>
      </w:r>
      <w:r w:rsidRPr="00061A5F">
        <w:rPr>
          <w:rFonts w:ascii="Times New Roman" w:hAnsi="Times New Roman"/>
          <w:sz w:val="24"/>
          <w:szCs w:val="24"/>
        </w:rPr>
        <w:t xml:space="preserve"> the desirability of the regime in these circumstances i</w:t>
      </w:r>
      <w:r w:rsidR="00950444" w:rsidRPr="00061A5F">
        <w:rPr>
          <w:rFonts w:ascii="Times New Roman" w:hAnsi="Times New Roman"/>
          <w:sz w:val="24"/>
          <w:szCs w:val="24"/>
        </w:rPr>
        <w:t>s</w:t>
      </w:r>
      <w:r w:rsidRPr="00061A5F">
        <w:rPr>
          <w:rFonts w:ascii="Times New Roman" w:hAnsi="Times New Roman"/>
          <w:sz w:val="24"/>
          <w:szCs w:val="24"/>
        </w:rPr>
        <w:t xml:space="preserve"> questionable</w:t>
      </w:r>
      <w:r w:rsidR="000D4C39" w:rsidRPr="00061A5F">
        <w:rPr>
          <w:rFonts w:ascii="Times New Roman" w:hAnsi="Times New Roman"/>
          <w:sz w:val="24"/>
          <w:szCs w:val="24"/>
        </w:rPr>
        <w:t>.</w:t>
      </w:r>
      <w:r w:rsidR="001B61D9" w:rsidRPr="00061A5F">
        <w:rPr>
          <w:rStyle w:val="FootnoteReference"/>
          <w:rFonts w:ascii="Times New Roman" w:hAnsi="Times New Roman"/>
          <w:sz w:val="24"/>
          <w:szCs w:val="24"/>
        </w:rPr>
        <w:footnoteReference w:id="11"/>
      </w:r>
      <w:r w:rsidRPr="00061A5F">
        <w:rPr>
          <w:rFonts w:ascii="Times New Roman" w:hAnsi="Times New Roman"/>
          <w:sz w:val="24"/>
          <w:szCs w:val="24"/>
        </w:rPr>
        <w:t xml:space="preserve"> </w:t>
      </w:r>
      <w:bookmarkEnd w:id="72"/>
    </w:p>
    <w:bookmarkEnd w:id="71"/>
    <w:p w14:paraId="70069C20" w14:textId="77777777" w:rsidR="00270DDE" w:rsidRPr="00061A5F" w:rsidRDefault="00270DDE" w:rsidP="007F5D0E">
      <w:pPr>
        <w:autoSpaceDE w:val="0"/>
        <w:autoSpaceDN w:val="0"/>
        <w:adjustRightInd w:val="0"/>
        <w:spacing w:line="276" w:lineRule="auto"/>
        <w:jc w:val="both"/>
        <w:rPr>
          <w:rFonts w:ascii="Times New Roman" w:hAnsi="Times New Roman"/>
          <w:sz w:val="24"/>
          <w:szCs w:val="24"/>
        </w:rPr>
      </w:pPr>
    </w:p>
    <w:p w14:paraId="5B5527FB" w14:textId="5CE84238" w:rsidR="002D77A6" w:rsidRPr="00061A5F" w:rsidRDefault="00270DDE" w:rsidP="007F5D0E">
      <w:pPr>
        <w:pStyle w:val="Figures"/>
        <w:spacing w:line="276" w:lineRule="auto"/>
        <w:rPr>
          <w:rFonts w:cs="Times New Roman"/>
          <w:b/>
        </w:rPr>
      </w:pPr>
      <w:r w:rsidRPr="00061A5F">
        <w:rPr>
          <w:rFonts w:cs="Times New Roman"/>
          <w:b/>
        </w:rPr>
        <w:t xml:space="preserve">Insert Figure </w:t>
      </w:r>
      <w:r w:rsidR="002D77A6" w:rsidRPr="00061A5F">
        <w:rPr>
          <w:rFonts w:cs="Times New Roman"/>
          <w:b/>
        </w:rPr>
        <w:t>5</w:t>
      </w:r>
      <w:r w:rsidRPr="00061A5F">
        <w:rPr>
          <w:rFonts w:cs="Times New Roman"/>
          <w:b/>
        </w:rPr>
        <w:t xml:space="preserve"> around here</w:t>
      </w:r>
    </w:p>
    <w:p w14:paraId="7F633DAB" w14:textId="1A6FFF24" w:rsidR="00270DDE" w:rsidRPr="00061A5F" w:rsidRDefault="00270DDE" w:rsidP="007F5D0E">
      <w:pPr>
        <w:autoSpaceDE w:val="0"/>
        <w:autoSpaceDN w:val="0"/>
        <w:adjustRightInd w:val="0"/>
        <w:spacing w:line="276" w:lineRule="auto"/>
        <w:jc w:val="both"/>
        <w:rPr>
          <w:rFonts w:ascii="Times New Roman" w:hAnsi="Times New Roman"/>
          <w:sz w:val="24"/>
          <w:szCs w:val="24"/>
        </w:rPr>
      </w:pPr>
    </w:p>
    <w:p w14:paraId="59A3E2E9" w14:textId="46C83DA6" w:rsidR="00E2105D" w:rsidRPr="00061A5F" w:rsidRDefault="00E2105D" w:rsidP="007F5D0E">
      <w:pPr>
        <w:spacing w:line="276" w:lineRule="auto"/>
        <w:jc w:val="both"/>
        <w:rPr>
          <w:rFonts w:ascii="Times New Roman" w:hAnsi="Times New Roman"/>
          <w:sz w:val="24"/>
          <w:szCs w:val="24"/>
        </w:rPr>
      </w:pPr>
      <w:bookmarkStart w:id="77" w:name="_Toc306954957"/>
      <w:bookmarkStart w:id="78" w:name="_Toc400712944"/>
      <w:bookmarkStart w:id="79" w:name="_Toc400718977"/>
      <w:bookmarkStart w:id="80" w:name="_Toc400719014"/>
      <w:bookmarkStart w:id="81" w:name="_Toc400730336"/>
      <w:bookmarkStart w:id="82" w:name="_Toc401221393"/>
      <w:bookmarkStart w:id="83" w:name="_Toc401221484"/>
      <w:bookmarkStart w:id="84" w:name="_Toc401221533"/>
      <w:r w:rsidRPr="00061A5F">
        <w:rPr>
          <w:rFonts w:ascii="Times New Roman" w:hAnsi="Times New Roman"/>
          <w:sz w:val="24"/>
          <w:szCs w:val="24"/>
        </w:rPr>
        <w:lastRenderedPageBreak/>
        <w:t xml:space="preserve">Next, any differences between CBAs with more strict </w:t>
      </w:r>
      <w:r w:rsidR="005E0DDF" w:rsidRPr="00061A5F">
        <w:rPr>
          <w:rFonts w:ascii="Times New Roman" w:hAnsi="Times New Roman"/>
          <w:sz w:val="24"/>
          <w:szCs w:val="24"/>
        </w:rPr>
        <w:t xml:space="preserve">rules </w:t>
      </w:r>
      <w:r w:rsidRPr="00061A5F">
        <w:rPr>
          <w:rFonts w:ascii="Times New Roman" w:hAnsi="Times New Roman"/>
          <w:sz w:val="24"/>
          <w:szCs w:val="24"/>
        </w:rPr>
        <w:t>versus those with less strict rules will be investigated</w:t>
      </w:r>
      <w:r w:rsidR="001B61D9" w:rsidRPr="00061A5F">
        <w:rPr>
          <w:rFonts w:ascii="Times New Roman" w:hAnsi="Times New Roman"/>
          <w:sz w:val="24"/>
          <w:szCs w:val="24"/>
        </w:rPr>
        <w:t xml:space="preserve">, in order to check whether there is a difference in the effect of </w:t>
      </w:r>
      <w:r w:rsidR="00ED362F" w:rsidRPr="00061A5F">
        <w:rPr>
          <w:rFonts w:ascii="Times New Roman" w:hAnsi="Times New Roman"/>
          <w:sz w:val="24"/>
          <w:szCs w:val="24"/>
        </w:rPr>
        <w:t xml:space="preserve">a </w:t>
      </w:r>
      <w:r w:rsidR="001B61D9" w:rsidRPr="00061A5F">
        <w:rPr>
          <w:rFonts w:ascii="Times New Roman" w:hAnsi="Times New Roman"/>
          <w:sz w:val="24"/>
          <w:szCs w:val="24"/>
        </w:rPr>
        <w:t xml:space="preserve">CBA on inflation conditional on the level of strictness of </w:t>
      </w:r>
      <w:r w:rsidR="00ED362F" w:rsidRPr="00061A5F">
        <w:rPr>
          <w:rFonts w:ascii="Times New Roman" w:hAnsi="Times New Roman"/>
          <w:sz w:val="24"/>
          <w:szCs w:val="24"/>
        </w:rPr>
        <w:t xml:space="preserve">the </w:t>
      </w:r>
      <w:r w:rsidR="001B61D9" w:rsidRPr="00061A5F">
        <w:rPr>
          <w:rFonts w:ascii="Times New Roman" w:hAnsi="Times New Roman"/>
          <w:sz w:val="24"/>
          <w:szCs w:val="24"/>
        </w:rPr>
        <w:t>CBA</w:t>
      </w:r>
      <w:r w:rsidRPr="00061A5F">
        <w:rPr>
          <w:rFonts w:ascii="Times New Roman" w:hAnsi="Times New Roman"/>
          <w:sz w:val="24"/>
          <w:szCs w:val="24"/>
        </w:rPr>
        <w:t>.</w:t>
      </w:r>
    </w:p>
    <w:p w14:paraId="1C3C0B08" w14:textId="77777777" w:rsidR="00E2105D" w:rsidRPr="00061A5F" w:rsidRDefault="00E2105D" w:rsidP="007F5D0E">
      <w:pPr>
        <w:jc w:val="both"/>
      </w:pPr>
    </w:p>
    <w:p w14:paraId="6D32A323" w14:textId="2718B750" w:rsidR="009408EE" w:rsidRPr="00061A5F" w:rsidRDefault="005639AC" w:rsidP="007F5D0E">
      <w:pPr>
        <w:pStyle w:val="Heading3"/>
        <w:spacing w:before="0" w:line="276" w:lineRule="auto"/>
        <w:jc w:val="both"/>
      </w:pPr>
      <w:bookmarkStart w:id="85" w:name="_Toc421105249"/>
      <w:r w:rsidRPr="00061A5F">
        <w:t>5</w:t>
      </w:r>
      <w:r w:rsidR="006E4FEA" w:rsidRPr="00061A5F">
        <w:t>.</w:t>
      </w:r>
      <w:r w:rsidRPr="00061A5F">
        <w:t>2</w:t>
      </w:r>
      <w:r w:rsidR="009408EE" w:rsidRPr="00061A5F">
        <w:t xml:space="preserve"> Examining differences between </w:t>
      </w:r>
      <w:r w:rsidR="00F3754B" w:rsidRPr="00061A5F">
        <w:t xml:space="preserve">“weak” and “strong” </w:t>
      </w:r>
      <w:r w:rsidR="009408EE" w:rsidRPr="00061A5F">
        <w:t>CBAs</w:t>
      </w:r>
      <w:bookmarkEnd w:id="77"/>
      <w:bookmarkEnd w:id="78"/>
      <w:bookmarkEnd w:id="79"/>
      <w:bookmarkEnd w:id="80"/>
      <w:bookmarkEnd w:id="81"/>
      <w:bookmarkEnd w:id="82"/>
      <w:bookmarkEnd w:id="83"/>
      <w:bookmarkEnd w:id="84"/>
      <w:bookmarkEnd w:id="85"/>
    </w:p>
    <w:p w14:paraId="4AA9582C" w14:textId="77777777" w:rsidR="009408EE" w:rsidRPr="00061A5F" w:rsidRDefault="009408EE" w:rsidP="007F5D0E">
      <w:pPr>
        <w:spacing w:line="276" w:lineRule="auto"/>
        <w:jc w:val="both"/>
        <w:rPr>
          <w:rFonts w:ascii="Times New Roman" w:hAnsi="Times New Roman"/>
          <w:sz w:val="24"/>
          <w:szCs w:val="24"/>
        </w:rPr>
      </w:pPr>
    </w:p>
    <w:p w14:paraId="4E57CDEC" w14:textId="5E1F5BB3" w:rsidR="00DF1E3B" w:rsidRPr="00061A5F" w:rsidRDefault="00512F3C" w:rsidP="007F5D0E">
      <w:pPr>
        <w:autoSpaceDE w:val="0"/>
        <w:autoSpaceDN w:val="0"/>
        <w:adjustRightInd w:val="0"/>
        <w:spacing w:line="276" w:lineRule="auto"/>
        <w:jc w:val="both"/>
        <w:rPr>
          <w:rFonts w:ascii="Times New Roman" w:hAnsi="Times New Roman"/>
          <w:sz w:val="24"/>
          <w:szCs w:val="24"/>
        </w:rPr>
      </w:pPr>
      <w:r w:rsidRPr="00061A5F">
        <w:rPr>
          <w:rFonts w:ascii="Times New Roman" w:hAnsi="Times New Roman"/>
          <w:sz w:val="24"/>
          <w:szCs w:val="24"/>
        </w:rPr>
        <w:t>C</w:t>
      </w:r>
      <w:r w:rsidR="009408EE" w:rsidRPr="00061A5F">
        <w:rPr>
          <w:rFonts w:ascii="Times New Roman" w:hAnsi="Times New Roman"/>
          <w:sz w:val="24"/>
          <w:szCs w:val="24"/>
        </w:rPr>
        <w:t xml:space="preserve">urrency boards in transition countries </w:t>
      </w:r>
      <w:r w:rsidR="00F90FF6" w:rsidRPr="00061A5F">
        <w:rPr>
          <w:rFonts w:ascii="Times New Roman" w:hAnsi="Times New Roman"/>
          <w:sz w:val="24"/>
          <w:szCs w:val="24"/>
        </w:rPr>
        <w:t>differ</w:t>
      </w:r>
      <w:r w:rsidR="00622536" w:rsidRPr="00061A5F">
        <w:rPr>
          <w:rFonts w:ascii="Times New Roman" w:hAnsi="Times New Roman"/>
          <w:sz w:val="24"/>
          <w:szCs w:val="24"/>
        </w:rPr>
        <w:t xml:space="preserve">; </w:t>
      </w:r>
      <w:r w:rsidR="009408EE" w:rsidRPr="00061A5F">
        <w:rPr>
          <w:rFonts w:ascii="Times New Roman" w:hAnsi="Times New Roman"/>
          <w:sz w:val="24"/>
          <w:szCs w:val="24"/>
        </w:rPr>
        <w:t>some of them are stricter while others are more flexible and</w:t>
      </w:r>
      <w:r w:rsidR="00622536" w:rsidRPr="00061A5F">
        <w:rPr>
          <w:rFonts w:ascii="Times New Roman" w:hAnsi="Times New Roman"/>
          <w:sz w:val="24"/>
          <w:szCs w:val="24"/>
        </w:rPr>
        <w:t>,</w:t>
      </w:r>
      <w:r w:rsidR="009408EE" w:rsidRPr="00061A5F">
        <w:rPr>
          <w:rFonts w:ascii="Times New Roman" w:hAnsi="Times New Roman"/>
          <w:sz w:val="24"/>
          <w:szCs w:val="24"/>
        </w:rPr>
        <w:t xml:space="preserve"> therefore</w:t>
      </w:r>
      <w:r w:rsidR="00622536" w:rsidRPr="00061A5F">
        <w:rPr>
          <w:rFonts w:ascii="Times New Roman" w:hAnsi="Times New Roman"/>
          <w:sz w:val="24"/>
          <w:szCs w:val="24"/>
        </w:rPr>
        <w:t>,</w:t>
      </w:r>
      <w:r w:rsidR="009408EE" w:rsidRPr="00061A5F">
        <w:rPr>
          <w:rFonts w:ascii="Times New Roman" w:hAnsi="Times New Roman"/>
          <w:sz w:val="24"/>
          <w:szCs w:val="24"/>
        </w:rPr>
        <w:t xml:space="preserve"> </w:t>
      </w:r>
      <w:r w:rsidR="00950444" w:rsidRPr="00061A5F">
        <w:rPr>
          <w:rFonts w:ascii="Times New Roman" w:hAnsi="Times New Roman"/>
          <w:sz w:val="24"/>
          <w:szCs w:val="24"/>
        </w:rPr>
        <w:t>w</w:t>
      </w:r>
      <w:r w:rsidR="009408EE" w:rsidRPr="00061A5F">
        <w:rPr>
          <w:rFonts w:ascii="Times New Roman" w:hAnsi="Times New Roman"/>
          <w:sz w:val="24"/>
          <w:szCs w:val="24"/>
        </w:rPr>
        <w:t xml:space="preserve">ould be expected to have different effects on inflation. In order to distinguish the effect of CBAs </w:t>
      </w:r>
      <w:r w:rsidR="00F3754B" w:rsidRPr="00061A5F">
        <w:rPr>
          <w:rFonts w:ascii="Times New Roman" w:hAnsi="Times New Roman"/>
          <w:sz w:val="24"/>
          <w:szCs w:val="24"/>
        </w:rPr>
        <w:t>that</w:t>
      </w:r>
      <w:r w:rsidR="009408EE" w:rsidRPr="00061A5F">
        <w:rPr>
          <w:rFonts w:ascii="Times New Roman" w:hAnsi="Times New Roman"/>
          <w:sz w:val="24"/>
          <w:szCs w:val="24"/>
        </w:rPr>
        <w:t xml:space="preserve"> are stricter from the more flexible ones, the CBA variable is divided into </w:t>
      </w:r>
      <w:r w:rsidR="00622536" w:rsidRPr="00061A5F">
        <w:rPr>
          <w:rFonts w:ascii="Times New Roman" w:hAnsi="Times New Roman"/>
          <w:sz w:val="24"/>
          <w:szCs w:val="24"/>
        </w:rPr>
        <w:t>“</w:t>
      </w:r>
      <w:proofErr w:type="spellStart"/>
      <w:r w:rsidR="009408EE" w:rsidRPr="00061A5F">
        <w:rPr>
          <w:rFonts w:ascii="Times New Roman" w:hAnsi="Times New Roman"/>
          <w:sz w:val="24"/>
          <w:szCs w:val="24"/>
        </w:rPr>
        <w:t>strongCBA</w:t>
      </w:r>
      <w:proofErr w:type="spellEnd"/>
      <w:r w:rsidR="00622536" w:rsidRPr="00061A5F">
        <w:rPr>
          <w:rFonts w:ascii="Times New Roman" w:hAnsi="Times New Roman"/>
          <w:sz w:val="24"/>
          <w:szCs w:val="24"/>
        </w:rPr>
        <w:t>”</w:t>
      </w:r>
      <w:r w:rsidR="009408EE" w:rsidRPr="00061A5F">
        <w:rPr>
          <w:rFonts w:ascii="Times New Roman" w:hAnsi="Times New Roman"/>
          <w:sz w:val="24"/>
          <w:szCs w:val="24"/>
        </w:rPr>
        <w:t xml:space="preserve"> and </w:t>
      </w:r>
      <w:r w:rsidR="00622536" w:rsidRPr="00061A5F">
        <w:rPr>
          <w:rFonts w:ascii="Times New Roman" w:hAnsi="Times New Roman"/>
          <w:sz w:val="24"/>
          <w:szCs w:val="24"/>
        </w:rPr>
        <w:t>“</w:t>
      </w:r>
      <w:proofErr w:type="spellStart"/>
      <w:r w:rsidR="009408EE" w:rsidRPr="00061A5F">
        <w:rPr>
          <w:rFonts w:ascii="Times New Roman" w:hAnsi="Times New Roman"/>
          <w:sz w:val="24"/>
          <w:szCs w:val="24"/>
        </w:rPr>
        <w:t>weakCBA</w:t>
      </w:r>
      <w:proofErr w:type="spellEnd"/>
      <w:r w:rsidR="00622536" w:rsidRPr="00061A5F">
        <w:rPr>
          <w:rFonts w:ascii="Times New Roman" w:hAnsi="Times New Roman"/>
          <w:sz w:val="24"/>
          <w:szCs w:val="24"/>
        </w:rPr>
        <w:t>”</w:t>
      </w:r>
      <w:r w:rsidR="009408EE" w:rsidRPr="00061A5F">
        <w:rPr>
          <w:rFonts w:ascii="Times New Roman" w:hAnsi="Times New Roman"/>
          <w:sz w:val="24"/>
          <w:szCs w:val="24"/>
        </w:rPr>
        <w:t>. Bosnia and Herzegovina’s and Estoni</w:t>
      </w:r>
      <w:r w:rsidR="00F76602" w:rsidRPr="00061A5F">
        <w:rPr>
          <w:rFonts w:ascii="Times New Roman" w:hAnsi="Times New Roman"/>
          <w:sz w:val="24"/>
          <w:szCs w:val="24"/>
        </w:rPr>
        <w:t>a’s</w:t>
      </w:r>
      <w:r w:rsidR="009408EE" w:rsidRPr="00061A5F">
        <w:rPr>
          <w:rFonts w:ascii="Times New Roman" w:hAnsi="Times New Roman"/>
          <w:sz w:val="24"/>
          <w:szCs w:val="24"/>
        </w:rPr>
        <w:t xml:space="preserve"> CBAs are classified as </w:t>
      </w:r>
      <w:r w:rsidR="00F76602" w:rsidRPr="00061A5F">
        <w:rPr>
          <w:rFonts w:ascii="Times New Roman" w:hAnsi="Times New Roman"/>
          <w:sz w:val="24"/>
          <w:szCs w:val="24"/>
        </w:rPr>
        <w:t>“</w:t>
      </w:r>
      <w:r w:rsidR="009408EE" w:rsidRPr="00061A5F">
        <w:rPr>
          <w:rFonts w:ascii="Times New Roman" w:hAnsi="Times New Roman"/>
          <w:sz w:val="24"/>
          <w:szCs w:val="24"/>
        </w:rPr>
        <w:t>strong</w:t>
      </w:r>
      <w:r w:rsidR="00F76602" w:rsidRPr="00061A5F">
        <w:rPr>
          <w:rFonts w:ascii="Times New Roman" w:hAnsi="Times New Roman"/>
          <w:sz w:val="24"/>
          <w:szCs w:val="24"/>
        </w:rPr>
        <w:t>”</w:t>
      </w:r>
      <w:r w:rsidR="009408EE" w:rsidRPr="00061A5F">
        <w:rPr>
          <w:rFonts w:ascii="Times New Roman" w:hAnsi="Times New Roman"/>
          <w:sz w:val="24"/>
          <w:szCs w:val="24"/>
        </w:rPr>
        <w:t xml:space="preserve">, since they are </w:t>
      </w:r>
      <w:proofErr w:type="gramStart"/>
      <w:r w:rsidR="009408EE" w:rsidRPr="00061A5F">
        <w:rPr>
          <w:rFonts w:ascii="Times New Roman" w:hAnsi="Times New Roman"/>
          <w:sz w:val="24"/>
          <w:szCs w:val="24"/>
        </w:rPr>
        <w:t>more strict</w:t>
      </w:r>
      <w:proofErr w:type="gramEnd"/>
      <w:r w:rsidR="009408EE" w:rsidRPr="00061A5F">
        <w:rPr>
          <w:rFonts w:ascii="Times New Roman" w:hAnsi="Times New Roman"/>
          <w:sz w:val="24"/>
          <w:szCs w:val="24"/>
        </w:rPr>
        <w:t xml:space="preserve"> (and have a higher pre-commitment index), while </w:t>
      </w:r>
      <w:r w:rsidR="00F90FF6" w:rsidRPr="00061A5F">
        <w:rPr>
          <w:rFonts w:ascii="Times New Roman" w:hAnsi="Times New Roman"/>
          <w:sz w:val="24"/>
          <w:szCs w:val="24"/>
        </w:rPr>
        <w:t xml:space="preserve">the </w:t>
      </w:r>
      <w:r w:rsidR="009408EE" w:rsidRPr="00061A5F">
        <w:rPr>
          <w:rFonts w:ascii="Times New Roman" w:hAnsi="Times New Roman"/>
          <w:sz w:val="24"/>
          <w:szCs w:val="24"/>
        </w:rPr>
        <w:t xml:space="preserve">Bulgarian and Lithuanian CBAs are classified as </w:t>
      </w:r>
      <w:r w:rsidR="00F76602" w:rsidRPr="00061A5F">
        <w:rPr>
          <w:rFonts w:ascii="Times New Roman" w:hAnsi="Times New Roman"/>
          <w:sz w:val="24"/>
          <w:szCs w:val="24"/>
        </w:rPr>
        <w:t>“weak”</w:t>
      </w:r>
      <w:r w:rsidR="00622536" w:rsidRPr="00061A5F">
        <w:rPr>
          <w:rFonts w:ascii="Times New Roman" w:hAnsi="Times New Roman"/>
          <w:sz w:val="24"/>
          <w:szCs w:val="24"/>
        </w:rPr>
        <w:t>,</w:t>
      </w:r>
      <w:r w:rsidR="00F76602" w:rsidRPr="00061A5F">
        <w:rPr>
          <w:rFonts w:ascii="Times New Roman" w:hAnsi="Times New Roman"/>
          <w:sz w:val="24"/>
          <w:szCs w:val="24"/>
        </w:rPr>
        <w:t xml:space="preserve"> </w:t>
      </w:r>
      <w:r w:rsidR="009408EE" w:rsidRPr="00061A5F">
        <w:rPr>
          <w:rFonts w:ascii="Times New Roman" w:hAnsi="Times New Roman"/>
          <w:sz w:val="24"/>
          <w:szCs w:val="24"/>
        </w:rPr>
        <w:t>since they deviate significantly from the orthodox rules (and have a lower pre-commitm</w:t>
      </w:r>
      <w:r w:rsidRPr="00061A5F">
        <w:rPr>
          <w:rFonts w:ascii="Times New Roman" w:hAnsi="Times New Roman"/>
          <w:sz w:val="24"/>
          <w:szCs w:val="24"/>
        </w:rPr>
        <w:t>ent index)</w:t>
      </w:r>
      <w:r w:rsidR="009408EE" w:rsidRPr="00061A5F">
        <w:rPr>
          <w:rFonts w:ascii="Times New Roman" w:hAnsi="Times New Roman"/>
          <w:sz w:val="24"/>
          <w:szCs w:val="24"/>
        </w:rPr>
        <w:t xml:space="preserve">. </w:t>
      </w:r>
      <w:r w:rsidR="00F90FF6" w:rsidRPr="00061A5F">
        <w:rPr>
          <w:rFonts w:ascii="Times New Roman" w:hAnsi="Times New Roman"/>
          <w:sz w:val="24"/>
          <w:szCs w:val="24"/>
        </w:rPr>
        <w:t>Otherwise t</w:t>
      </w:r>
      <w:r w:rsidR="009408EE" w:rsidRPr="00061A5F">
        <w:rPr>
          <w:rFonts w:ascii="Times New Roman" w:hAnsi="Times New Roman"/>
          <w:sz w:val="24"/>
          <w:szCs w:val="24"/>
        </w:rPr>
        <w:t>he same specifications</w:t>
      </w:r>
      <w:r w:rsidRPr="00061A5F">
        <w:rPr>
          <w:rFonts w:ascii="Times New Roman" w:hAnsi="Times New Roman"/>
          <w:sz w:val="24"/>
          <w:szCs w:val="24"/>
        </w:rPr>
        <w:t xml:space="preserve"> are estimated</w:t>
      </w:r>
      <w:r w:rsidR="009408EE" w:rsidRPr="00061A5F">
        <w:rPr>
          <w:rFonts w:ascii="Times New Roman" w:hAnsi="Times New Roman"/>
          <w:sz w:val="24"/>
          <w:szCs w:val="24"/>
        </w:rPr>
        <w:t>. Diagnostic tests do not significantly differ from those reported above.</w:t>
      </w:r>
      <w:r w:rsidR="00753582" w:rsidRPr="00061A5F">
        <w:rPr>
          <w:rFonts w:ascii="Times New Roman" w:hAnsi="Times New Roman"/>
          <w:sz w:val="24"/>
          <w:szCs w:val="24"/>
        </w:rPr>
        <w:t xml:space="preserve"> The Hansen test is again weak (indicated by p-value of 1</w:t>
      </w:r>
      <w:r w:rsidR="00F3754B" w:rsidRPr="00061A5F">
        <w:rPr>
          <w:rFonts w:ascii="Times New Roman" w:hAnsi="Times New Roman"/>
          <w:sz w:val="24"/>
          <w:szCs w:val="24"/>
        </w:rPr>
        <w:t>.0</w:t>
      </w:r>
      <w:r w:rsidR="00753582" w:rsidRPr="00061A5F">
        <w:rPr>
          <w:rFonts w:ascii="Times New Roman" w:hAnsi="Times New Roman"/>
          <w:sz w:val="24"/>
          <w:szCs w:val="24"/>
        </w:rPr>
        <w:t xml:space="preserve">) in all specifications, while </w:t>
      </w:r>
      <w:r w:rsidR="00F76602" w:rsidRPr="00061A5F">
        <w:rPr>
          <w:rFonts w:ascii="Times New Roman" w:hAnsi="Times New Roman"/>
          <w:sz w:val="24"/>
          <w:szCs w:val="24"/>
        </w:rPr>
        <w:t xml:space="preserve">the </w:t>
      </w:r>
      <w:proofErr w:type="spellStart"/>
      <w:r w:rsidR="00753582" w:rsidRPr="00061A5F">
        <w:rPr>
          <w:rFonts w:ascii="Times New Roman" w:hAnsi="Times New Roman"/>
          <w:sz w:val="24"/>
          <w:szCs w:val="24"/>
        </w:rPr>
        <w:t>Sargan</w:t>
      </w:r>
      <w:proofErr w:type="spellEnd"/>
      <w:r w:rsidR="00753582" w:rsidRPr="00061A5F">
        <w:rPr>
          <w:rFonts w:ascii="Times New Roman" w:hAnsi="Times New Roman"/>
          <w:sz w:val="24"/>
          <w:szCs w:val="24"/>
        </w:rPr>
        <w:t xml:space="preserve"> test </w:t>
      </w:r>
      <w:r w:rsidR="00622536" w:rsidRPr="00061A5F">
        <w:rPr>
          <w:rFonts w:ascii="Times New Roman" w:hAnsi="Times New Roman"/>
          <w:sz w:val="24"/>
          <w:szCs w:val="24"/>
        </w:rPr>
        <w:t>does not reject the validity of the over-identifying instruments</w:t>
      </w:r>
      <w:r w:rsidR="00753582" w:rsidRPr="00061A5F">
        <w:rPr>
          <w:rFonts w:ascii="Times New Roman" w:hAnsi="Times New Roman"/>
          <w:sz w:val="24"/>
          <w:szCs w:val="24"/>
        </w:rPr>
        <w:t xml:space="preserve"> (Table 3</w:t>
      </w:r>
      <w:r w:rsidR="001E746D" w:rsidRPr="00061A5F">
        <w:rPr>
          <w:rFonts w:ascii="Times New Roman" w:hAnsi="Times New Roman"/>
          <w:sz w:val="24"/>
          <w:szCs w:val="24"/>
        </w:rPr>
        <w:t>a</w:t>
      </w:r>
      <w:r w:rsidR="00753582" w:rsidRPr="00061A5F">
        <w:rPr>
          <w:rFonts w:ascii="Times New Roman" w:hAnsi="Times New Roman"/>
          <w:sz w:val="24"/>
          <w:szCs w:val="24"/>
        </w:rPr>
        <w:t>).</w:t>
      </w:r>
      <w:bookmarkStart w:id="86" w:name="_Toc418088433"/>
    </w:p>
    <w:p w14:paraId="42F223DF" w14:textId="77777777" w:rsidR="00F53F54" w:rsidRPr="00061A5F" w:rsidRDefault="00F53F54" w:rsidP="007F5D0E">
      <w:pPr>
        <w:autoSpaceDE w:val="0"/>
        <w:autoSpaceDN w:val="0"/>
        <w:adjustRightInd w:val="0"/>
        <w:spacing w:line="276" w:lineRule="auto"/>
        <w:jc w:val="both"/>
        <w:rPr>
          <w:rFonts w:ascii="Times New Roman" w:hAnsi="Times New Roman"/>
          <w:sz w:val="24"/>
          <w:szCs w:val="24"/>
        </w:rPr>
      </w:pPr>
    </w:p>
    <w:p w14:paraId="0F844B60" w14:textId="26439155" w:rsidR="00F53F54" w:rsidRPr="00061A5F" w:rsidRDefault="00F53F54" w:rsidP="007F5D0E">
      <w:pPr>
        <w:autoSpaceDE w:val="0"/>
        <w:autoSpaceDN w:val="0"/>
        <w:adjustRightInd w:val="0"/>
        <w:spacing w:line="276" w:lineRule="auto"/>
        <w:jc w:val="both"/>
        <w:rPr>
          <w:rFonts w:ascii="Times New Roman" w:hAnsi="Times New Roman"/>
          <w:sz w:val="24"/>
          <w:szCs w:val="24"/>
        </w:rPr>
      </w:pPr>
      <w:r w:rsidRPr="00061A5F">
        <w:rPr>
          <w:rFonts w:ascii="Times New Roman" w:hAnsi="Times New Roman"/>
          <w:sz w:val="24"/>
          <w:szCs w:val="24"/>
        </w:rPr>
        <w:t xml:space="preserve">Table </w:t>
      </w:r>
      <w:r w:rsidR="001E746D" w:rsidRPr="00061A5F">
        <w:rPr>
          <w:rFonts w:ascii="Times New Roman" w:hAnsi="Times New Roman"/>
          <w:sz w:val="24"/>
          <w:szCs w:val="24"/>
        </w:rPr>
        <w:t>3</w:t>
      </w:r>
      <w:r w:rsidRPr="00061A5F">
        <w:rPr>
          <w:rFonts w:ascii="Times New Roman" w:hAnsi="Times New Roman"/>
          <w:sz w:val="24"/>
          <w:szCs w:val="24"/>
        </w:rPr>
        <w:t>a</w:t>
      </w:r>
      <w:r w:rsidR="00657613" w:rsidRPr="00061A5F">
        <w:rPr>
          <w:rFonts w:ascii="Times New Roman" w:hAnsi="Times New Roman"/>
          <w:sz w:val="24"/>
          <w:szCs w:val="24"/>
        </w:rPr>
        <w:t>.</w:t>
      </w:r>
      <w:r w:rsidR="0000350D" w:rsidRPr="00061A5F">
        <w:rPr>
          <w:rFonts w:ascii="Times New Roman" w:hAnsi="Times New Roman"/>
          <w:sz w:val="24"/>
          <w:szCs w:val="24"/>
        </w:rPr>
        <w:t xml:space="preserve"> </w:t>
      </w:r>
      <w:r w:rsidRPr="00061A5F">
        <w:rPr>
          <w:rFonts w:ascii="Times New Roman" w:hAnsi="Times New Roman"/>
          <w:sz w:val="24"/>
          <w:szCs w:val="24"/>
        </w:rPr>
        <w:t>Strong and weak CBA specifications estimated by ‘system’ GMM</w:t>
      </w:r>
    </w:p>
    <w:tbl>
      <w:tblPr>
        <w:tblStyle w:val="PlainTable1"/>
        <w:tblW w:w="9000" w:type="dxa"/>
        <w:tblLook w:val="04A0" w:firstRow="1" w:lastRow="0" w:firstColumn="1" w:lastColumn="0" w:noHBand="0" w:noVBand="1"/>
      </w:tblPr>
      <w:tblGrid>
        <w:gridCol w:w="3823"/>
        <w:gridCol w:w="2551"/>
        <w:gridCol w:w="2626"/>
      </w:tblGrid>
      <w:tr w:rsidR="00ED362F" w:rsidRPr="00061A5F" w14:paraId="0910FBD3" w14:textId="77777777" w:rsidTr="00CD34D9">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23" w:type="dxa"/>
            <w:hideMark/>
          </w:tcPr>
          <w:p w14:paraId="744B448F" w14:textId="77777777" w:rsidR="00ED362F" w:rsidRPr="00061A5F" w:rsidRDefault="00ED362F" w:rsidP="00F53F54">
            <w:pPr>
              <w:rPr>
                <w:rFonts w:ascii="Times New Roman" w:eastAsia="Times New Roman" w:hAnsi="Times New Roman"/>
                <w:b w:val="0"/>
                <w:bCs w:val="0"/>
                <w:lang w:eastAsia="en-GB"/>
              </w:rPr>
            </w:pPr>
            <w:r w:rsidRPr="00061A5F">
              <w:rPr>
                <w:rFonts w:ascii="Times New Roman" w:eastAsia="Times New Roman" w:hAnsi="Times New Roman"/>
                <w:lang w:eastAsia="en-GB"/>
              </w:rPr>
              <w:t>Variables</w:t>
            </w:r>
          </w:p>
        </w:tc>
        <w:tc>
          <w:tcPr>
            <w:tcW w:w="2551" w:type="dxa"/>
            <w:noWrap/>
            <w:hideMark/>
          </w:tcPr>
          <w:p w14:paraId="069213FE" w14:textId="1205F87E" w:rsidR="00ED362F" w:rsidRPr="00061A5F" w:rsidRDefault="00ED362F" w:rsidP="00F53F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lang w:eastAsia="en-GB"/>
              </w:rPr>
            </w:pPr>
            <w:r w:rsidRPr="00061A5F">
              <w:rPr>
                <w:rFonts w:ascii="Times New Roman" w:eastAsia="Times New Roman" w:hAnsi="Times New Roman"/>
                <w:lang w:eastAsia="en-GB"/>
              </w:rPr>
              <w:t>Modified Equation 1⸶</w:t>
            </w:r>
          </w:p>
        </w:tc>
        <w:tc>
          <w:tcPr>
            <w:tcW w:w="2626" w:type="dxa"/>
            <w:noWrap/>
            <w:hideMark/>
          </w:tcPr>
          <w:p w14:paraId="35EABAE7" w14:textId="091C5214" w:rsidR="00ED362F" w:rsidRPr="00061A5F" w:rsidRDefault="00ED362F" w:rsidP="00F53F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lang w:eastAsia="en-GB"/>
              </w:rPr>
            </w:pPr>
            <w:r w:rsidRPr="00061A5F">
              <w:rPr>
                <w:rFonts w:ascii="Times New Roman" w:eastAsia="Times New Roman" w:hAnsi="Times New Roman"/>
                <w:lang w:eastAsia="en-GB"/>
              </w:rPr>
              <w:t>Modified Equation 2</w:t>
            </w:r>
          </w:p>
        </w:tc>
      </w:tr>
      <w:tr w:rsidR="00ED362F" w:rsidRPr="00061A5F" w14:paraId="7D2522C4" w14:textId="77777777" w:rsidTr="00CD34D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23" w:type="dxa"/>
            <w:hideMark/>
          </w:tcPr>
          <w:p w14:paraId="6B998133" w14:textId="77777777" w:rsidR="00ED362F" w:rsidRPr="00061A5F" w:rsidRDefault="00ED362F" w:rsidP="00F53F54">
            <w:pPr>
              <w:rPr>
                <w:rFonts w:ascii="Times New Roman" w:eastAsia="Times New Roman" w:hAnsi="Times New Roman"/>
                <w:color w:val="000000"/>
                <w:lang w:eastAsia="en-GB"/>
              </w:rPr>
            </w:pPr>
            <w:r w:rsidRPr="00061A5F">
              <w:rPr>
                <w:rFonts w:ascii="Times New Roman" w:eastAsia="Times New Roman" w:hAnsi="Times New Roman"/>
                <w:color w:val="000000"/>
                <w:lang w:eastAsia="en-GB"/>
              </w:rPr>
              <w:t>L</w:t>
            </w:r>
            <w:proofErr w:type="gramStart"/>
            <w:r w:rsidRPr="00061A5F">
              <w:rPr>
                <w:rFonts w:ascii="Times New Roman" w:eastAsia="Times New Roman" w:hAnsi="Times New Roman"/>
                <w:color w:val="000000"/>
                <w:lang w:eastAsia="en-GB"/>
              </w:rPr>
              <w:t>1.LNINF</w:t>
            </w:r>
            <w:proofErr w:type="gramEnd"/>
          </w:p>
        </w:tc>
        <w:tc>
          <w:tcPr>
            <w:tcW w:w="2551" w:type="dxa"/>
            <w:noWrap/>
            <w:hideMark/>
          </w:tcPr>
          <w:p w14:paraId="7AFE8087"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0.411***</w:t>
            </w:r>
          </w:p>
        </w:tc>
        <w:tc>
          <w:tcPr>
            <w:tcW w:w="2626" w:type="dxa"/>
            <w:noWrap/>
            <w:hideMark/>
          </w:tcPr>
          <w:p w14:paraId="5A90B964"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0.417***</w:t>
            </w:r>
          </w:p>
        </w:tc>
      </w:tr>
      <w:tr w:rsidR="00ED362F" w:rsidRPr="00061A5F" w14:paraId="083583A0" w14:textId="77777777" w:rsidTr="00CD34D9">
        <w:trPr>
          <w:trHeight w:val="260"/>
        </w:trPr>
        <w:tc>
          <w:tcPr>
            <w:cnfStyle w:val="001000000000" w:firstRow="0" w:lastRow="0" w:firstColumn="1" w:lastColumn="0" w:oddVBand="0" w:evenVBand="0" w:oddHBand="0" w:evenHBand="0" w:firstRowFirstColumn="0" w:firstRowLastColumn="0" w:lastRowFirstColumn="0" w:lastRowLastColumn="0"/>
            <w:tcW w:w="3823" w:type="dxa"/>
            <w:hideMark/>
          </w:tcPr>
          <w:p w14:paraId="14B3B98F" w14:textId="77777777" w:rsidR="00ED362F" w:rsidRPr="00061A5F" w:rsidRDefault="00ED362F" w:rsidP="00F53F54">
            <w:pP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Inflation (lagged)</w:t>
            </w:r>
          </w:p>
        </w:tc>
        <w:tc>
          <w:tcPr>
            <w:tcW w:w="2551" w:type="dxa"/>
            <w:noWrap/>
            <w:hideMark/>
          </w:tcPr>
          <w:p w14:paraId="4DE25C45"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(0.0551)</w:t>
            </w:r>
          </w:p>
        </w:tc>
        <w:tc>
          <w:tcPr>
            <w:tcW w:w="2626" w:type="dxa"/>
            <w:noWrap/>
            <w:hideMark/>
          </w:tcPr>
          <w:p w14:paraId="4C2024ED"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(0.0529)</w:t>
            </w:r>
          </w:p>
        </w:tc>
      </w:tr>
      <w:tr w:rsidR="00ED362F" w:rsidRPr="00061A5F" w14:paraId="55E85E30" w14:textId="77777777" w:rsidTr="00CD34D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23" w:type="dxa"/>
            <w:noWrap/>
            <w:hideMark/>
          </w:tcPr>
          <w:p w14:paraId="08073758" w14:textId="77777777" w:rsidR="00ED362F" w:rsidRPr="00061A5F" w:rsidRDefault="00ED362F" w:rsidP="00F53F54">
            <w:pPr>
              <w:rPr>
                <w:rFonts w:ascii="Times New Roman" w:eastAsia="Times New Roman" w:hAnsi="Times New Roman"/>
                <w:lang w:eastAsia="en-GB"/>
              </w:rPr>
            </w:pPr>
            <w:proofErr w:type="spellStart"/>
            <w:r w:rsidRPr="00061A5F">
              <w:rPr>
                <w:rFonts w:ascii="Times New Roman" w:eastAsia="Times New Roman" w:hAnsi="Times New Roman"/>
                <w:lang w:eastAsia="en-GB"/>
              </w:rPr>
              <w:t>StrongCBA</w:t>
            </w:r>
            <w:proofErr w:type="spellEnd"/>
          </w:p>
        </w:tc>
        <w:tc>
          <w:tcPr>
            <w:tcW w:w="2551" w:type="dxa"/>
            <w:noWrap/>
            <w:hideMark/>
          </w:tcPr>
          <w:p w14:paraId="17E2D083"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-0.115**</w:t>
            </w:r>
          </w:p>
        </w:tc>
        <w:tc>
          <w:tcPr>
            <w:tcW w:w="2626" w:type="dxa"/>
            <w:noWrap/>
            <w:hideMark/>
          </w:tcPr>
          <w:p w14:paraId="27146EB8"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0.0163</w:t>
            </w:r>
          </w:p>
        </w:tc>
      </w:tr>
      <w:tr w:rsidR="00ED362F" w:rsidRPr="00061A5F" w14:paraId="17F226A2" w14:textId="77777777" w:rsidTr="00CD34D9">
        <w:trPr>
          <w:trHeight w:val="260"/>
        </w:trPr>
        <w:tc>
          <w:tcPr>
            <w:cnfStyle w:val="001000000000" w:firstRow="0" w:lastRow="0" w:firstColumn="1" w:lastColumn="0" w:oddVBand="0" w:evenVBand="0" w:oddHBand="0" w:evenHBand="0" w:firstRowFirstColumn="0" w:firstRowLastColumn="0" w:lastRowFirstColumn="0" w:lastRowLastColumn="0"/>
            <w:tcW w:w="3823" w:type="dxa"/>
            <w:noWrap/>
            <w:hideMark/>
          </w:tcPr>
          <w:p w14:paraId="4E722D01" w14:textId="2FD005FA" w:rsidR="00ED362F" w:rsidRPr="00061A5F" w:rsidRDefault="004F1DA2" w:rsidP="00F53F54">
            <w:pP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w:t>
            </w:r>
            <w:r w:rsidR="00ED362F" w:rsidRPr="00061A5F">
              <w:rPr>
                <w:rFonts w:ascii="Times New Roman" w:eastAsia="Times New Roman" w:hAnsi="Times New Roman"/>
                <w:b w:val="0"/>
                <w:bCs w:val="0"/>
                <w:lang w:eastAsia="en-GB"/>
              </w:rPr>
              <w:t>Strong</w:t>
            </w:r>
            <w:r w:rsidRPr="00061A5F">
              <w:rPr>
                <w:rFonts w:ascii="Times New Roman" w:eastAsia="Times New Roman" w:hAnsi="Times New Roman"/>
                <w:b w:val="0"/>
                <w:bCs w:val="0"/>
                <w:lang w:eastAsia="en-GB"/>
              </w:rPr>
              <w:t>”</w:t>
            </w:r>
            <w:r w:rsidR="00ED362F" w:rsidRPr="00061A5F">
              <w:rPr>
                <w:rFonts w:ascii="Times New Roman" w:eastAsia="Times New Roman" w:hAnsi="Times New Roman"/>
                <w:b w:val="0"/>
                <w:bCs w:val="0"/>
                <w:lang w:eastAsia="en-GB"/>
              </w:rPr>
              <w:t xml:space="preserve"> currency board arrangement</w:t>
            </w:r>
          </w:p>
        </w:tc>
        <w:tc>
          <w:tcPr>
            <w:tcW w:w="2551" w:type="dxa"/>
            <w:noWrap/>
            <w:hideMark/>
          </w:tcPr>
          <w:p w14:paraId="0D3569D7"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(0.0549)</w:t>
            </w:r>
          </w:p>
        </w:tc>
        <w:tc>
          <w:tcPr>
            <w:tcW w:w="2626" w:type="dxa"/>
            <w:noWrap/>
            <w:hideMark/>
          </w:tcPr>
          <w:p w14:paraId="4A6ECE6E"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(0.0426)</w:t>
            </w:r>
          </w:p>
        </w:tc>
      </w:tr>
      <w:tr w:rsidR="00ED362F" w:rsidRPr="00061A5F" w14:paraId="2F7F053F" w14:textId="77777777" w:rsidTr="00CD34D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23" w:type="dxa"/>
            <w:noWrap/>
            <w:hideMark/>
          </w:tcPr>
          <w:p w14:paraId="3FC0D211" w14:textId="77777777" w:rsidR="00ED362F" w:rsidRPr="00061A5F" w:rsidRDefault="00ED362F" w:rsidP="00F53F54">
            <w:pPr>
              <w:rPr>
                <w:rFonts w:ascii="Times New Roman" w:eastAsia="Times New Roman" w:hAnsi="Times New Roman"/>
                <w:lang w:eastAsia="en-GB"/>
              </w:rPr>
            </w:pPr>
            <w:proofErr w:type="spellStart"/>
            <w:r w:rsidRPr="00061A5F">
              <w:rPr>
                <w:rFonts w:ascii="Times New Roman" w:eastAsia="Times New Roman" w:hAnsi="Times New Roman"/>
                <w:lang w:eastAsia="en-GB"/>
              </w:rPr>
              <w:t>WeakCBA</w:t>
            </w:r>
            <w:proofErr w:type="spellEnd"/>
          </w:p>
        </w:tc>
        <w:tc>
          <w:tcPr>
            <w:tcW w:w="2551" w:type="dxa"/>
            <w:noWrap/>
            <w:hideMark/>
          </w:tcPr>
          <w:p w14:paraId="6347BF60"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-0.0351</w:t>
            </w:r>
          </w:p>
        </w:tc>
        <w:tc>
          <w:tcPr>
            <w:tcW w:w="2626" w:type="dxa"/>
            <w:noWrap/>
            <w:hideMark/>
          </w:tcPr>
          <w:p w14:paraId="6B6F7F99"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-0.0268</w:t>
            </w:r>
          </w:p>
        </w:tc>
      </w:tr>
      <w:tr w:rsidR="00ED362F" w:rsidRPr="00061A5F" w14:paraId="110CB2DE" w14:textId="77777777" w:rsidTr="00CD34D9">
        <w:trPr>
          <w:trHeight w:val="260"/>
        </w:trPr>
        <w:tc>
          <w:tcPr>
            <w:cnfStyle w:val="001000000000" w:firstRow="0" w:lastRow="0" w:firstColumn="1" w:lastColumn="0" w:oddVBand="0" w:evenVBand="0" w:oddHBand="0" w:evenHBand="0" w:firstRowFirstColumn="0" w:firstRowLastColumn="0" w:lastRowFirstColumn="0" w:lastRowLastColumn="0"/>
            <w:tcW w:w="3823" w:type="dxa"/>
            <w:noWrap/>
            <w:hideMark/>
          </w:tcPr>
          <w:p w14:paraId="36F914AF" w14:textId="57634E35" w:rsidR="00ED362F" w:rsidRPr="00061A5F" w:rsidRDefault="004F1DA2" w:rsidP="00F53F54">
            <w:pPr>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w:t>
            </w:r>
            <w:r w:rsidR="00ED362F" w:rsidRPr="00061A5F">
              <w:rPr>
                <w:rFonts w:ascii="Times New Roman" w:eastAsia="Times New Roman" w:hAnsi="Times New Roman"/>
                <w:b w:val="0"/>
                <w:bCs w:val="0"/>
                <w:lang w:eastAsia="en-GB"/>
              </w:rPr>
              <w:t>Weak</w:t>
            </w:r>
            <w:r w:rsidRPr="00061A5F">
              <w:rPr>
                <w:rFonts w:ascii="Times New Roman" w:eastAsia="Times New Roman" w:hAnsi="Times New Roman"/>
                <w:b w:val="0"/>
                <w:bCs w:val="0"/>
                <w:lang w:eastAsia="en-GB"/>
              </w:rPr>
              <w:t>”</w:t>
            </w:r>
            <w:r w:rsidR="00ED362F" w:rsidRPr="00061A5F">
              <w:rPr>
                <w:rFonts w:ascii="Times New Roman" w:eastAsia="Times New Roman" w:hAnsi="Times New Roman"/>
                <w:b w:val="0"/>
                <w:bCs w:val="0"/>
                <w:lang w:eastAsia="en-GB"/>
              </w:rPr>
              <w:t xml:space="preserve"> currency board arrangement</w:t>
            </w:r>
          </w:p>
        </w:tc>
        <w:tc>
          <w:tcPr>
            <w:tcW w:w="2551" w:type="dxa"/>
            <w:noWrap/>
            <w:hideMark/>
          </w:tcPr>
          <w:p w14:paraId="0C9B4C67"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(0.0385)</w:t>
            </w:r>
          </w:p>
        </w:tc>
        <w:tc>
          <w:tcPr>
            <w:tcW w:w="2626" w:type="dxa"/>
            <w:noWrap/>
            <w:hideMark/>
          </w:tcPr>
          <w:p w14:paraId="62FCA32C"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(0.0280)</w:t>
            </w:r>
          </w:p>
        </w:tc>
      </w:tr>
      <w:tr w:rsidR="00ED362F" w:rsidRPr="00061A5F" w14:paraId="2A0039CF" w14:textId="77777777" w:rsidTr="00CD34D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23" w:type="dxa"/>
            <w:noWrap/>
            <w:hideMark/>
          </w:tcPr>
          <w:p w14:paraId="2F36A6FF" w14:textId="77777777" w:rsidR="00ED362F" w:rsidRPr="00061A5F" w:rsidRDefault="00ED362F" w:rsidP="00F53F54">
            <w:pPr>
              <w:rPr>
                <w:rFonts w:ascii="Times New Roman" w:eastAsia="Times New Roman" w:hAnsi="Times New Roman"/>
                <w:lang w:eastAsia="en-GB"/>
              </w:rPr>
            </w:pPr>
            <w:r w:rsidRPr="00061A5F">
              <w:rPr>
                <w:rFonts w:ascii="Times New Roman" w:eastAsia="Times New Roman" w:hAnsi="Times New Roman"/>
                <w:lang w:eastAsia="en-GB"/>
              </w:rPr>
              <w:t>1.StrongCBA*MSG</w:t>
            </w:r>
          </w:p>
        </w:tc>
        <w:tc>
          <w:tcPr>
            <w:tcW w:w="2551" w:type="dxa"/>
            <w:noWrap/>
            <w:hideMark/>
          </w:tcPr>
          <w:p w14:paraId="5EB14EE4" w14:textId="77777777" w:rsidR="00ED362F" w:rsidRPr="00061A5F" w:rsidRDefault="00ED362F" w:rsidP="00F53F5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p>
        </w:tc>
        <w:tc>
          <w:tcPr>
            <w:tcW w:w="2626" w:type="dxa"/>
            <w:noWrap/>
            <w:hideMark/>
          </w:tcPr>
          <w:p w14:paraId="67A7C367"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-0.00554***</w:t>
            </w:r>
          </w:p>
        </w:tc>
      </w:tr>
      <w:tr w:rsidR="00ED362F" w:rsidRPr="00061A5F" w14:paraId="763D6933" w14:textId="77777777" w:rsidTr="00CD34D9">
        <w:trPr>
          <w:trHeight w:val="260"/>
        </w:trPr>
        <w:tc>
          <w:tcPr>
            <w:cnfStyle w:val="001000000000" w:firstRow="0" w:lastRow="0" w:firstColumn="1" w:lastColumn="0" w:oddVBand="0" w:evenVBand="0" w:oddHBand="0" w:evenHBand="0" w:firstRowFirstColumn="0" w:firstRowLastColumn="0" w:lastRowFirstColumn="0" w:lastRowLastColumn="0"/>
            <w:tcW w:w="3823" w:type="dxa"/>
            <w:noWrap/>
            <w:hideMark/>
          </w:tcPr>
          <w:p w14:paraId="65B6898C" w14:textId="44203668" w:rsidR="00ED362F" w:rsidRPr="00061A5F" w:rsidRDefault="00ED362F" w:rsidP="00F53F54">
            <w:pPr>
              <w:rPr>
                <w:rFonts w:ascii="Times New Roman" w:eastAsia="Times New Roman" w:hAnsi="Times New Roman"/>
                <w:b w:val="0"/>
                <w:bCs w:val="0"/>
                <w:lang w:eastAsia="en-GB"/>
              </w:rPr>
            </w:pPr>
            <w:proofErr w:type="spellStart"/>
            <w:r w:rsidRPr="00061A5F">
              <w:rPr>
                <w:rFonts w:ascii="Times New Roman" w:eastAsia="Times New Roman" w:hAnsi="Times New Roman"/>
                <w:b w:val="0"/>
                <w:bCs w:val="0"/>
                <w:lang w:eastAsia="en-GB"/>
              </w:rPr>
              <w:t>StrongCBA</w:t>
            </w:r>
            <w:proofErr w:type="spellEnd"/>
            <w:r w:rsidRPr="00061A5F">
              <w:rPr>
                <w:rFonts w:ascii="Times New Roman" w:eastAsia="Times New Roman" w:hAnsi="Times New Roman"/>
                <w:b w:val="0"/>
                <w:bCs w:val="0"/>
                <w:lang w:eastAsia="en-GB"/>
              </w:rPr>
              <w:t>=1</w:t>
            </w:r>
            <w:r w:rsidR="00FA5904" w:rsidRPr="00061A5F">
              <w:rPr>
                <w:rFonts w:ascii="Times New Roman" w:eastAsia="Times New Roman" w:hAnsi="Times New Roman"/>
                <w:b w:val="0"/>
                <w:bCs w:val="0"/>
                <w:lang w:eastAsia="en-GB"/>
              </w:rPr>
              <w:t>, money supply growth</w:t>
            </w:r>
          </w:p>
        </w:tc>
        <w:tc>
          <w:tcPr>
            <w:tcW w:w="2551" w:type="dxa"/>
            <w:noWrap/>
            <w:hideMark/>
          </w:tcPr>
          <w:p w14:paraId="26C7A76A" w14:textId="77777777" w:rsidR="00ED362F" w:rsidRPr="00061A5F" w:rsidRDefault="00ED362F" w:rsidP="00F53F5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p>
        </w:tc>
        <w:tc>
          <w:tcPr>
            <w:tcW w:w="2626" w:type="dxa"/>
            <w:noWrap/>
            <w:hideMark/>
          </w:tcPr>
          <w:p w14:paraId="24E81369"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(0.00134)</w:t>
            </w:r>
          </w:p>
        </w:tc>
      </w:tr>
      <w:tr w:rsidR="00ED362F" w:rsidRPr="00061A5F" w14:paraId="487D5B68" w14:textId="77777777" w:rsidTr="00CD34D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23" w:type="dxa"/>
            <w:noWrap/>
            <w:hideMark/>
          </w:tcPr>
          <w:p w14:paraId="2CF9C35D" w14:textId="77777777" w:rsidR="00ED362F" w:rsidRPr="00061A5F" w:rsidRDefault="00ED362F" w:rsidP="00F53F54">
            <w:pPr>
              <w:rPr>
                <w:rFonts w:ascii="Times New Roman" w:eastAsia="Times New Roman" w:hAnsi="Times New Roman"/>
                <w:lang w:eastAsia="en-GB"/>
              </w:rPr>
            </w:pPr>
            <w:r w:rsidRPr="00061A5F">
              <w:rPr>
                <w:rFonts w:ascii="Times New Roman" w:eastAsia="Times New Roman" w:hAnsi="Times New Roman"/>
                <w:lang w:eastAsia="en-GB"/>
              </w:rPr>
              <w:t>1.WeakCBA*MSG</w:t>
            </w:r>
          </w:p>
        </w:tc>
        <w:tc>
          <w:tcPr>
            <w:tcW w:w="2551" w:type="dxa"/>
            <w:noWrap/>
            <w:hideMark/>
          </w:tcPr>
          <w:p w14:paraId="04C887C0" w14:textId="77777777" w:rsidR="00ED362F" w:rsidRPr="00061A5F" w:rsidRDefault="00ED362F" w:rsidP="00F53F5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p>
        </w:tc>
        <w:tc>
          <w:tcPr>
            <w:tcW w:w="2626" w:type="dxa"/>
            <w:noWrap/>
            <w:hideMark/>
          </w:tcPr>
          <w:p w14:paraId="29FF76CD"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0.000471</w:t>
            </w:r>
          </w:p>
        </w:tc>
      </w:tr>
      <w:tr w:rsidR="00ED362F" w:rsidRPr="00061A5F" w14:paraId="56E4C42B" w14:textId="77777777" w:rsidTr="00CD34D9">
        <w:trPr>
          <w:trHeight w:val="260"/>
        </w:trPr>
        <w:tc>
          <w:tcPr>
            <w:cnfStyle w:val="001000000000" w:firstRow="0" w:lastRow="0" w:firstColumn="1" w:lastColumn="0" w:oddVBand="0" w:evenVBand="0" w:oddHBand="0" w:evenHBand="0" w:firstRowFirstColumn="0" w:firstRowLastColumn="0" w:lastRowFirstColumn="0" w:lastRowLastColumn="0"/>
            <w:tcW w:w="3823" w:type="dxa"/>
            <w:noWrap/>
            <w:hideMark/>
          </w:tcPr>
          <w:p w14:paraId="0C2882D2" w14:textId="43DE3234" w:rsidR="00ED362F" w:rsidRPr="00061A5F" w:rsidRDefault="00ED362F" w:rsidP="00F53F54">
            <w:pPr>
              <w:rPr>
                <w:rFonts w:ascii="Times New Roman" w:eastAsia="Times New Roman" w:hAnsi="Times New Roman"/>
                <w:b w:val="0"/>
                <w:bCs w:val="0"/>
                <w:lang w:eastAsia="en-GB"/>
              </w:rPr>
            </w:pPr>
            <w:proofErr w:type="spellStart"/>
            <w:r w:rsidRPr="00061A5F">
              <w:rPr>
                <w:rFonts w:ascii="Times New Roman" w:eastAsia="Times New Roman" w:hAnsi="Times New Roman"/>
                <w:b w:val="0"/>
                <w:bCs w:val="0"/>
                <w:lang w:eastAsia="en-GB"/>
              </w:rPr>
              <w:t>WeakCBA</w:t>
            </w:r>
            <w:proofErr w:type="spellEnd"/>
            <w:r w:rsidRPr="00061A5F">
              <w:rPr>
                <w:rFonts w:ascii="Times New Roman" w:eastAsia="Times New Roman" w:hAnsi="Times New Roman"/>
                <w:b w:val="0"/>
                <w:bCs w:val="0"/>
                <w:lang w:eastAsia="en-GB"/>
              </w:rPr>
              <w:t>=1</w:t>
            </w:r>
            <w:r w:rsidR="00FA5904" w:rsidRPr="00061A5F">
              <w:rPr>
                <w:rFonts w:ascii="Times New Roman" w:eastAsia="Times New Roman" w:hAnsi="Times New Roman"/>
                <w:b w:val="0"/>
                <w:bCs w:val="0"/>
                <w:lang w:eastAsia="en-GB"/>
              </w:rPr>
              <w:t>, money supply growth</w:t>
            </w:r>
          </w:p>
        </w:tc>
        <w:tc>
          <w:tcPr>
            <w:tcW w:w="2551" w:type="dxa"/>
            <w:noWrap/>
            <w:hideMark/>
          </w:tcPr>
          <w:p w14:paraId="092F6432" w14:textId="77777777" w:rsidR="00ED362F" w:rsidRPr="00061A5F" w:rsidRDefault="00ED362F" w:rsidP="00F53F5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p>
        </w:tc>
        <w:tc>
          <w:tcPr>
            <w:tcW w:w="2626" w:type="dxa"/>
            <w:noWrap/>
            <w:hideMark/>
          </w:tcPr>
          <w:p w14:paraId="3FA27810"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(0.00288)</w:t>
            </w:r>
          </w:p>
        </w:tc>
      </w:tr>
      <w:tr w:rsidR="00ED362F" w:rsidRPr="00061A5F" w14:paraId="503C4AEF" w14:textId="77777777" w:rsidTr="00CD34D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23" w:type="dxa"/>
            <w:noWrap/>
            <w:hideMark/>
          </w:tcPr>
          <w:p w14:paraId="214694F7" w14:textId="77777777" w:rsidR="00ED362F" w:rsidRPr="00061A5F" w:rsidRDefault="00ED362F" w:rsidP="00F53F54">
            <w:pPr>
              <w:rPr>
                <w:rFonts w:ascii="Times New Roman" w:eastAsia="Times New Roman" w:hAnsi="Times New Roman"/>
                <w:lang w:eastAsia="en-GB"/>
              </w:rPr>
            </w:pPr>
            <w:r w:rsidRPr="00061A5F">
              <w:rPr>
                <w:rFonts w:ascii="Times New Roman" w:eastAsia="Times New Roman" w:hAnsi="Times New Roman"/>
                <w:lang w:eastAsia="en-GB"/>
              </w:rPr>
              <w:t>1.StrongCBA*</w:t>
            </w:r>
            <w:proofErr w:type="gramStart"/>
            <w:r w:rsidRPr="00061A5F">
              <w:rPr>
                <w:rFonts w:ascii="Times New Roman" w:eastAsia="Times New Roman" w:hAnsi="Times New Roman"/>
                <w:lang w:eastAsia="en-GB"/>
              </w:rPr>
              <w:t>1.Crisis</w:t>
            </w:r>
            <w:proofErr w:type="gramEnd"/>
          </w:p>
        </w:tc>
        <w:tc>
          <w:tcPr>
            <w:tcW w:w="2551" w:type="dxa"/>
            <w:noWrap/>
            <w:hideMark/>
          </w:tcPr>
          <w:p w14:paraId="2BCD9E6D" w14:textId="77777777" w:rsidR="00ED362F" w:rsidRPr="00061A5F" w:rsidRDefault="00ED362F" w:rsidP="00F53F5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p>
        </w:tc>
        <w:tc>
          <w:tcPr>
            <w:tcW w:w="2626" w:type="dxa"/>
            <w:noWrap/>
            <w:hideMark/>
          </w:tcPr>
          <w:p w14:paraId="58F1D319"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-0.121</w:t>
            </w:r>
          </w:p>
        </w:tc>
      </w:tr>
      <w:tr w:rsidR="00ED362F" w:rsidRPr="00061A5F" w14:paraId="5537BD9B" w14:textId="77777777" w:rsidTr="00CD34D9">
        <w:trPr>
          <w:trHeight w:val="260"/>
        </w:trPr>
        <w:tc>
          <w:tcPr>
            <w:cnfStyle w:val="001000000000" w:firstRow="0" w:lastRow="0" w:firstColumn="1" w:lastColumn="0" w:oddVBand="0" w:evenVBand="0" w:oddHBand="0" w:evenHBand="0" w:firstRowFirstColumn="0" w:firstRowLastColumn="0" w:lastRowFirstColumn="0" w:lastRowLastColumn="0"/>
            <w:tcW w:w="3823" w:type="dxa"/>
            <w:noWrap/>
            <w:hideMark/>
          </w:tcPr>
          <w:p w14:paraId="34139F65" w14:textId="77777777" w:rsidR="00ED362F" w:rsidRPr="00061A5F" w:rsidRDefault="00ED362F" w:rsidP="00F53F54">
            <w:pPr>
              <w:rPr>
                <w:rFonts w:ascii="Times New Roman" w:eastAsia="Times New Roman" w:hAnsi="Times New Roman"/>
                <w:b w:val="0"/>
                <w:bCs w:val="0"/>
                <w:lang w:eastAsia="en-GB"/>
              </w:rPr>
            </w:pPr>
            <w:proofErr w:type="spellStart"/>
            <w:r w:rsidRPr="00061A5F">
              <w:rPr>
                <w:rFonts w:ascii="Times New Roman" w:eastAsia="Times New Roman" w:hAnsi="Times New Roman"/>
                <w:b w:val="0"/>
                <w:bCs w:val="0"/>
                <w:lang w:eastAsia="en-GB"/>
              </w:rPr>
              <w:t>StrongCBA</w:t>
            </w:r>
            <w:proofErr w:type="spellEnd"/>
            <w:r w:rsidRPr="00061A5F">
              <w:rPr>
                <w:rFonts w:ascii="Times New Roman" w:eastAsia="Times New Roman" w:hAnsi="Times New Roman"/>
                <w:b w:val="0"/>
                <w:bCs w:val="0"/>
                <w:lang w:eastAsia="en-GB"/>
              </w:rPr>
              <w:t>=1 and Crisis=1</w:t>
            </w:r>
          </w:p>
        </w:tc>
        <w:tc>
          <w:tcPr>
            <w:tcW w:w="2551" w:type="dxa"/>
            <w:noWrap/>
            <w:hideMark/>
          </w:tcPr>
          <w:p w14:paraId="6FD6C718" w14:textId="77777777" w:rsidR="00ED362F" w:rsidRPr="00061A5F" w:rsidRDefault="00ED362F" w:rsidP="00F53F5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p>
        </w:tc>
        <w:tc>
          <w:tcPr>
            <w:tcW w:w="2626" w:type="dxa"/>
            <w:noWrap/>
            <w:hideMark/>
          </w:tcPr>
          <w:p w14:paraId="41181DB0"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(0.0944)</w:t>
            </w:r>
          </w:p>
        </w:tc>
      </w:tr>
      <w:tr w:rsidR="00ED362F" w:rsidRPr="00061A5F" w14:paraId="1BB762B1" w14:textId="77777777" w:rsidTr="00CD34D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23" w:type="dxa"/>
            <w:noWrap/>
            <w:hideMark/>
          </w:tcPr>
          <w:p w14:paraId="5671C6E3" w14:textId="77777777" w:rsidR="00ED362F" w:rsidRPr="00061A5F" w:rsidRDefault="00ED362F" w:rsidP="00F53F54">
            <w:pPr>
              <w:rPr>
                <w:rFonts w:ascii="Times New Roman" w:eastAsia="Times New Roman" w:hAnsi="Times New Roman"/>
                <w:lang w:eastAsia="en-GB"/>
              </w:rPr>
            </w:pPr>
            <w:r w:rsidRPr="00061A5F">
              <w:rPr>
                <w:rFonts w:ascii="Times New Roman" w:eastAsia="Times New Roman" w:hAnsi="Times New Roman"/>
                <w:lang w:eastAsia="en-GB"/>
              </w:rPr>
              <w:t>1.WeakCBA*</w:t>
            </w:r>
            <w:proofErr w:type="gramStart"/>
            <w:r w:rsidRPr="00061A5F">
              <w:rPr>
                <w:rFonts w:ascii="Times New Roman" w:eastAsia="Times New Roman" w:hAnsi="Times New Roman"/>
                <w:lang w:eastAsia="en-GB"/>
              </w:rPr>
              <w:t>1.Crisis</w:t>
            </w:r>
            <w:proofErr w:type="gramEnd"/>
          </w:p>
        </w:tc>
        <w:tc>
          <w:tcPr>
            <w:tcW w:w="2551" w:type="dxa"/>
            <w:noWrap/>
            <w:hideMark/>
          </w:tcPr>
          <w:p w14:paraId="65E7DBAA" w14:textId="77777777" w:rsidR="00ED362F" w:rsidRPr="00061A5F" w:rsidRDefault="00ED362F" w:rsidP="00F53F5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p>
        </w:tc>
        <w:tc>
          <w:tcPr>
            <w:tcW w:w="2626" w:type="dxa"/>
            <w:noWrap/>
            <w:hideMark/>
          </w:tcPr>
          <w:p w14:paraId="3D3E57B4"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-0.0432</w:t>
            </w:r>
          </w:p>
        </w:tc>
      </w:tr>
      <w:tr w:rsidR="00ED362F" w:rsidRPr="00061A5F" w14:paraId="14B61609" w14:textId="77777777" w:rsidTr="00CD34D9">
        <w:trPr>
          <w:trHeight w:val="260"/>
        </w:trPr>
        <w:tc>
          <w:tcPr>
            <w:cnfStyle w:val="001000000000" w:firstRow="0" w:lastRow="0" w:firstColumn="1" w:lastColumn="0" w:oddVBand="0" w:evenVBand="0" w:oddHBand="0" w:evenHBand="0" w:firstRowFirstColumn="0" w:firstRowLastColumn="0" w:lastRowFirstColumn="0" w:lastRowLastColumn="0"/>
            <w:tcW w:w="3823" w:type="dxa"/>
            <w:noWrap/>
            <w:hideMark/>
          </w:tcPr>
          <w:p w14:paraId="6551F305" w14:textId="77777777" w:rsidR="00ED362F" w:rsidRPr="00061A5F" w:rsidRDefault="00ED362F" w:rsidP="00F53F54">
            <w:pPr>
              <w:rPr>
                <w:rFonts w:ascii="Times New Roman" w:eastAsia="Times New Roman" w:hAnsi="Times New Roman"/>
                <w:b w:val="0"/>
                <w:bCs w:val="0"/>
                <w:lang w:eastAsia="en-GB"/>
              </w:rPr>
            </w:pPr>
            <w:proofErr w:type="spellStart"/>
            <w:r w:rsidRPr="00061A5F">
              <w:rPr>
                <w:rFonts w:ascii="Times New Roman" w:eastAsia="Times New Roman" w:hAnsi="Times New Roman"/>
                <w:b w:val="0"/>
                <w:bCs w:val="0"/>
                <w:lang w:eastAsia="en-GB"/>
              </w:rPr>
              <w:t>WeakCBA</w:t>
            </w:r>
            <w:proofErr w:type="spellEnd"/>
            <w:r w:rsidRPr="00061A5F">
              <w:rPr>
                <w:rFonts w:ascii="Times New Roman" w:eastAsia="Times New Roman" w:hAnsi="Times New Roman"/>
                <w:b w:val="0"/>
                <w:bCs w:val="0"/>
                <w:lang w:eastAsia="en-GB"/>
              </w:rPr>
              <w:t>=1 and Crisis=1</w:t>
            </w:r>
          </w:p>
        </w:tc>
        <w:tc>
          <w:tcPr>
            <w:tcW w:w="2551" w:type="dxa"/>
            <w:noWrap/>
            <w:hideMark/>
          </w:tcPr>
          <w:p w14:paraId="13E4F50A" w14:textId="77777777" w:rsidR="00ED362F" w:rsidRPr="00061A5F" w:rsidRDefault="00ED362F" w:rsidP="00F53F5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p>
        </w:tc>
        <w:tc>
          <w:tcPr>
            <w:tcW w:w="2626" w:type="dxa"/>
            <w:noWrap/>
            <w:hideMark/>
          </w:tcPr>
          <w:p w14:paraId="7E8D7B09"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(0.0503)</w:t>
            </w:r>
          </w:p>
        </w:tc>
      </w:tr>
      <w:tr w:rsidR="00ED362F" w:rsidRPr="00061A5F" w14:paraId="63A5F717" w14:textId="77777777" w:rsidTr="00CD34D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23" w:type="dxa"/>
            <w:hideMark/>
          </w:tcPr>
          <w:p w14:paraId="28782439" w14:textId="77777777" w:rsidR="00ED362F" w:rsidRPr="00061A5F" w:rsidRDefault="00ED362F" w:rsidP="00F53F54">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GDPG</w:t>
            </w:r>
          </w:p>
        </w:tc>
        <w:tc>
          <w:tcPr>
            <w:tcW w:w="2551" w:type="dxa"/>
            <w:noWrap/>
            <w:hideMark/>
          </w:tcPr>
          <w:p w14:paraId="24126717"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-0.00440</w:t>
            </w:r>
          </w:p>
        </w:tc>
        <w:tc>
          <w:tcPr>
            <w:tcW w:w="2626" w:type="dxa"/>
            <w:noWrap/>
            <w:hideMark/>
          </w:tcPr>
          <w:p w14:paraId="19B22E46"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-0.00438</w:t>
            </w:r>
          </w:p>
        </w:tc>
      </w:tr>
      <w:tr w:rsidR="00ED362F" w:rsidRPr="00061A5F" w14:paraId="51C3F778" w14:textId="77777777" w:rsidTr="00CD34D9">
        <w:trPr>
          <w:trHeight w:val="260"/>
        </w:trPr>
        <w:tc>
          <w:tcPr>
            <w:cnfStyle w:val="001000000000" w:firstRow="0" w:lastRow="0" w:firstColumn="1" w:lastColumn="0" w:oddVBand="0" w:evenVBand="0" w:oddHBand="0" w:evenHBand="0" w:firstRowFirstColumn="0" w:firstRowLastColumn="0" w:lastRowFirstColumn="0" w:lastRowLastColumn="0"/>
            <w:tcW w:w="3823" w:type="dxa"/>
            <w:hideMark/>
          </w:tcPr>
          <w:p w14:paraId="71050804" w14:textId="77777777" w:rsidR="00ED362F" w:rsidRPr="00061A5F" w:rsidRDefault="00ED362F" w:rsidP="00F53F54">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GPD growth</w:t>
            </w:r>
          </w:p>
        </w:tc>
        <w:tc>
          <w:tcPr>
            <w:tcW w:w="2551" w:type="dxa"/>
            <w:noWrap/>
            <w:hideMark/>
          </w:tcPr>
          <w:p w14:paraId="69117969"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(0.00345)</w:t>
            </w:r>
          </w:p>
        </w:tc>
        <w:tc>
          <w:tcPr>
            <w:tcW w:w="2626" w:type="dxa"/>
            <w:noWrap/>
            <w:hideMark/>
          </w:tcPr>
          <w:p w14:paraId="6365C1AD"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(0.00351)</w:t>
            </w:r>
          </w:p>
        </w:tc>
      </w:tr>
      <w:tr w:rsidR="00ED362F" w:rsidRPr="00061A5F" w14:paraId="05FFFE3F" w14:textId="77777777" w:rsidTr="00CD34D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23" w:type="dxa"/>
            <w:hideMark/>
          </w:tcPr>
          <w:p w14:paraId="65F98677" w14:textId="77777777" w:rsidR="00ED362F" w:rsidRPr="00061A5F" w:rsidRDefault="00ED362F" w:rsidP="00F53F54">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MSG</w:t>
            </w:r>
          </w:p>
        </w:tc>
        <w:tc>
          <w:tcPr>
            <w:tcW w:w="2551" w:type="dxa"/>
            <w:noWrap/>
            <w:hideMark/>
          </w:tcPr>
          <w:p w14:paraId="30A87533"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0.00515***</w:t>
            </w:r>
          </w:p>
        </w:tc>
        <w:tc>
          <w:tcPr>
            <w:tcW w:w="2626" w:type="dxa"/>
            <w:noWrap/>
            <w:hideMark/>
          </w:tcPr>
          <w:p w14:paraId="55BB1ACD"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0.00514***</w:t>
            </w:r>
          </w:p>
        </w:tc>
      </w:tr>
      <w:tr w:rsidR="00ED362F" w:rsidRPr="00061A5F" w14:paraId="44926784" w14:textId="77777777" w:rsidTr="00CD34D9">
        <w:trPr>
          <w:trHeight w:val="260"/>
        </w:trPr>
        <w:tc>
          <w:tcPr>
            <w:cnfStyle w:val="001000000000" w:firstRow="0" w:lastRow="0" w:firstColumn="1" w:lastColumn="0" w:oddVBand="0" w:evenVBand="0" w:oddHBand="0" w:evenHBand="0" w:firstRowFirstColumn="0" w:firstRowLastColumn="0" w:lastRowFirstColumn="0" w:lastRowLastColumn="0"/>
            <w:tcW w:w="3823" w:type="dxa"/>
            <w:hideMark/>
          </w:tcPr>
          <w:p w14:paraId="48C96D36" w14:textId="77777777" w:rsidR="00ED362F" w:rsidRPr="00061A5F" w:rsidRDefault="00ED362F" w:rsidP="00F53F54">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Money supply growth</w:t>
            </w:r>
          </w:p>
        </w:tc>
        <w:tc>
          <w:tcPr>
            <w:tcW w:w="2551" w:type="dxa"/>
            <w:noWrap/>
            <w:hideMark/>
          </w:tcPr>
          <w:p w14:paraId="726F7E8A"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(0.00132)</w:t>
            </w:r>
          </w:p>
        </w:tc>
        <w:tc>
          <w:tcPr>
            <w:tcW w:w="2626" w:type="dxa"/>
            <w:noWrap/>
            <w:hideMark/>
          </w:tcPr>
          <w:p w14:paraId="212FDF33"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(0.00125)</w:t>
            </w:r>
          </w:p>
        </w:tc>
      </w:tr>
      <w:tr w:rsidR="00ED362F" w:rsidRPr="00061A5F" w14:paraId="2A12964F" w14:textId="77777777" w:rsidTr="00CD34D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23" w:type="dxa"/>
            <w:hideMark/>
          </w:tcPr>
          <w:p w14:paraId="3F9A1170" w14:textId="77777777" w:rsidR="00ED362F" w:rsidRPr="00061A5F" w:rsidRDefault="00ED362F" w:rsidP="00F53F54">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FB</w:t>
            </w:r>
          </w:p>
        </w:tc>
        <w:tc>
          <w:tcPr>
            <w:tcW w:w="2551" w:type="dxa"/>
            <w:noWrap/>
            <w:hideMark/>
          </w:tcPr>
          <w:p w14:paraId="149BD167"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0.00653</w:t>
            </w:r>
          </w:p>
        </w:tc>
        <w:tc>
          <w:tcPr>
            <w:tcW w:w="2626" w:type="dxa"/>
            <w:noWrap/>
            <w:hideMark/>
          </w:tcPr>
          <w:p w14:paraId="49FA8023"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0.00495</w:t>
            </w:r>
          </w:p>
        </w:tc>
      </w:tr>
      <w:tr w:rsidR="00ED362F" w:rsidRPr="00061A5F" w14:paraId="3B23A146" w14:textId="77777777" w:rsidTr="00CD34D9">
        <w:trPr>
          <w:trHeight w:val="260"/>
        </w:trPr>
        <w:tc>
          <w:tcPr>
            <w:cnfStyle w:val="001000000000" w:firstRow="0" w:lastRow="0" w:firstColumn="1" w:lastColumn="0" w:oddVBand="0" w:evenVBand="0" w:oddHBand="0" w:evenHBand="0" w:firstRowFirstColumn="0" w:firstRowLastColumn="0" w:lastRowFirstColumn="0" w:lastRowLastColumn="0"/>
            <w:tcW w:w="3823" w:type="dxa"/>
            <w:hideMark/>
          </w:tcPr>
          <w:p w14:paraId="261D1524" w14:textId="77777777" w:rsidR="00ED362F" w:rsidRPr="00061A5F" w:rsidRDefault="00ED362F" w:rsidP="00F53F54">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Fiscal balance</w:t>
            </w:r>
          </w:p>
        </w:tc>
        <w:tc>
          <w:tcPr>
            <w:tcW w:w="2551" w:type="dxa"/>
            <w:noWrap/>
            <w:hideMark/>
          </w:tcPr>
          <w:p w14:paraId="44C0C1A5"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(0.00463)</w:t>
            </w:r>
          </w:p>
        </w:tc>
        <w:tc>
          <w:tcPr>
            <w:tcW w:w="2626" w:type="dxa"/>
            <w:noWrap/>
            <w:hideMark/>
          </w:tcPr>
          <w:p w14:paraId="56CABF8E"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(0.00370)</w:t>
            </w:r>
          </w:p>
        </w:tc>
      </w:tr>
      <w:tr w:rsidR="00ED362F" w:rsidRPr="00061A5F" w14:paraId="435E38E5" w14:textId="77777777" w:rsidTr="00CD34D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23" w:type="dxa"/>
            <w:hideMark/>
          </w:tcPr>
          <w:p w14:paraId="60EEC97A" w14:textId="77777777" w:rsidR="00ED362F" w:rsidRPr="00061A5F" w:rsidRDefault="00ED362F" w:rsidP="00F53F54">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OPEN</w:t>
            </w:r>
          </w:p>
        </w:tc>
        <w:tc>
          <w:tcPr>
            <w:tcW w:w="2551" w:type="dxa"/>
            <w:noWrap/>
            <w:hideMark/>
          </w:tcPr>
          <w:p w14:paraId="43B43F5C"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0.000944</w:t>
            </w:r>
          </w:p>
        </w:tc>
        <w:tc>
          <w:tcPr>
            <w:tcW w:w="2626" w:type="dxa"/>
            <w:noWrap/>
            <w:hideMark/>
          </w:tcPr>
          <w:p w14:paraId="269F2BC0"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0.000978</w:t>
            </w:r>
          </w:p>
        </w:tc>
      </w:tr>
      <w:tr w:rsidR="00ED362F" w:rsidRPr="00061A5F" w14:paraId="54D8EDFB" w14:textId="77777777" w:rsidTr="00CD34D9">
        <w:trPr>
          <w:trHeight w:val="260"/>
        </w:trPr>
        <w:tc>
          <w:tcPr>
            <w:cnfStyle w:val="001000000000" w:firstRow="0" w:lastRow="0" w:firstColumn="1" w:lastColumn="0" w:oddVBand="0" w:evenVBand="0" w:oddHBand="0" w:evenHBand="0" w:firstRowFirstColumn="0" w:firstRowLastColumn="0" w:lastRowFirstColumn="0" w:lastRowLastColumn="0"/>
            <w:tcW w:w="3823" w:type="dxa"/>
            <w:hideMark/>
          </w:tcPr>
          <w:p w14:paraId="10B9825C" w14:textId="77777777" w:rsidR="00ED362F" w:rsidRPr="00061A5F" w:rsidRDefault="00ED362F" w:rsidP="00F53F54">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 xml:space="preserve">Openness </w:t>
            </w:r>
          </w:p>
        </w:tc>
        <w:tc>
          <w:tcPr>
            <w:tcW w:w="2551" w:type="dxa"/>
            <w:noWrap/>
            <w:hideMark/>
          </w:tcPr>
          <w:p w14:paraId="37CABCBE"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(0.000708)</w:t>
            </w:r>
          </w:p>
        </w:tc>
        <w:tc>
          <w:tcPr>
            <w:tcW w:w="2626" w:type="dxa"/>
            <w:noWrap/>
            <w:hideMark/>
          </w:tcPr>
          <w:p w14:paraId="5A1438EE"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(0.000685)</w:t>
            </w:r>
          </w:p>
        </w:tc>
      </w:tr>
      <w:tr w:rsidR="00ED362F" w:rsidRPr="00061A5F" w14:paraId="33842236" w14:textId="77777777" w:rsidTr="00CD34D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23" w:type="dxa"/>
            <w:hideMark/>
          </w:tcPr>
          <w:p w14:paraId="212EA920" w14:textId="77777777" w:rsidR="00ED362F" w:rsidRPr="00061A5F" w:rsidRDefault="00ED362F" w:rsidP="00F53F54">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TOT</w:t>
            </w:r>
          </w:p>
        </w:tc>
        <w:tc>
          <w:tcPr>
            <w:tcW w:w="2551" w:type="dxa"/>
            <w:noWrap/>
            <w:hideMark/>
          </w:tcPr>
          <w:p w14:paraId="161AFC88"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-0.000492</w:t>
            </w:r>
          </w:p>
        </w:tc>
        <w:tc>
          <w:tcPr>
            <w:tcW w:w="2626" w:type="dxa"/>
            <w:noWrap/>
            <w:hideMark/>
          </w:tcPr>
          <w:p w14:paraId="2A69AFA5"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-0.000439</w:t>
            </w:r>
          </w:p>
        </w:tc>
      </w:tr>
      <w:tr w:rsidR="00ED362F" w:rsidRPr="00061A5F" w14:paraId="7EC0CADD" w14:textId="77777777" w:rsidTr="00CD34D9">
        <w:trPr>
          <w:trHeight w:val="260"/>
        </w:trPr>
        <w:tc>
          <w:tcPr>
            <w:cnfStyle w:val="001000000000" w:firstRow="0" w:lastRow="0" w:firstColumn="1" w:lastColumn="0" w:oddVBand="0" w:evenVBand="0" w:oddHBand="0" w:evenHBand="0" w:firstRowFirstColumn="0" w:firstRowLastColumn="0" w:lastRowFirstColumn="0" w:lastRowLastColumn="0"/>
            <w:tcW w:w="3823" w:type="dxa"/>
            <w:hideMark/>
          </w:tcPr>
          <w:p w14:paraId="6F214037" w14:textId="77777777" w:rsidR="00ED362F" w:rsidRPr="00061A5F" w:rsidRDefault="00ED362F" w:rsidP="00F53F54">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Terms of trade</w:t>
            </w:r>
          </w:p>
        </w:tc>
        <w:tc>
          <w:tcPr>
            <w:tcW w:w="2551" w:type="dxa"/>
            <w:noWrap/>
            <w:hideMark/>
          </w:tcPr>
          <w:p w14:paraId="69A96C93"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(0.000685)</w:t>
            </w:r>
          </w:p>
        </w:tc>
        <w:tc>
          <w:tcPr>
            <w:tcW w:w="2626" w:type="dxa"/>
            <w:noWrap/>
            <w:hideMark/>
          </w:tcPr>
          <w:p w14:paraId="437F1E78"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(0.000645)</w:t>
            </w:r>
          </w:p>
        </w:tc>
      </w:tr>
      <w:tr w:rsidR="00ED362F" w:rsidRPr="00061A5F" w14:paraId="162AD57F" w14:textId="77777777" w:rsidTr="00CD34D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23" w:type="dxa"/>
            <w:hideMark/>
          </w:tcPr>
          <w:p w14:paraId="4533885B" w14:textId="77777777" w:rsidR="00ED362F" w:rsidRPr="00061A5F" w:rsidRDefault="00ED362F" w:rsidP="00F53F54">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EBRDI</w:t>
            </w:r>
          </w:p>
        </w:tc>
        <w:tc>
          <w:tcPr>
            <w:tcW w:w="2551" w:type="dxa"/>
            <w:noWrap/>
            <w:hideMark/>
          </w:tcPr>
          <w:p w14:paraId="6502DF80"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-0.0468</w:t>
            </w:r>
          </w:p>
        </w:tc>
        <w:tc>
          <w:tcPr>
            <w:tcW w:w="2626" w:type="dxa"/>
            <w:noWrap/>
            <w:hideMark/>
          </w:tcPr>
          <w:p w14:paraId="09E44B56"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-0.0465</w:t>
            </w:r>
          </w:p>
        </w:tc>
      </w:tr>
      <w:tr w:rsidR="00ED362F" w:rsidRPr="00061A5F" w14:paraId="79D427A0" w14:textId="77777777" w:rsidTr="00CD34D9">
        <w:trPr>
          <w:trHeight w:val="260"/>
        </w:trPr>
        <w:tc>
          <w:tcPr>
            <w:cnfStyle w:val="001000000000" w:firstRow="0" w:lastRow="0" w:firstColumn="1" w:lastColumn="0" w:oddVBand="0" w:evenVBand="0" w:oddHBand="0" w:evenHBand="0" w:firstRowFirstColumn="0" w:firstRowLastColumn="0" w:lastRowFirstColumn="0" w:lastRowLastColumn="0"/>
            <w:tcW w:w="3823" w:type="dxa"/>
            <w:hideMark/>
          </w:tcPr>
          <w:p w14:paraId="044D25E8" w14:textId="77777777" w:rsidR="00ED362F" w:rsidRPr="00061A5F" w:rsidRDefault="00ED362F" w:rsidP="00F53F54">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EBRD indicator</w:t>
            </w:r>
          </w:p>
        </w:tc>
        <w:tc>
          <w:tcPr>
            <w:tcW w:w="2551" w:type="dxa"/>
            <w:noWrap/>
            <w:hideMark/>
          </w:tcPr>
          <w:p w14:paraId="1EB3F4AC"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(0.0578)</w:t>
            </w:r>
          </w:p>
        </w:tc>
        <w:tc>
          <w:tcPr>
            <w:tcW w:w="2626" w:type="dxa"/>
            <w:noWrap/>
            <w:hideMark/>
          </w:tcPr>
          <w:p w14:paraId="34674BD0"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(0.0451)</w:t>
            </w:r>
          </w:p>
        </w:tc>
      </w:tr>
      <w:tr w:rsidR="00ED362F" w:rsidRPr="00061A5F" w14:paraId="1B5130B2" w14:textId="77777777" w:rsidTr="00CD34D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23" w:type="dxa"/>
            <w:hideMark/>
          </w:tcPr>
          <w:p w14:paraId="5B0126C0" w14:textId="77777777" w:rsidR="00ED362F" w:rsidRPr="00061A5F" w:rsidRDefault="00ED362F" w:rsidP="00F53F54">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CCBI</w:t>
            </w:r>
          </w:p>
        </w:tc>
        <w:tc>
          <w:tcPr>
            <w:tcW w:w="2551" w:type="dxa"/>
            <w:noWrap/>
            <w:hideMark/>
          </w:tcPr>
          <w:p w14:paraId="563876E1"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-0.199</w:t>
            </w:r>
          </w:p>
        </w:tc>
        <w:tc>
          <w:tcPr>
            <w:tcW w:w="2626" w:type="dxa"/>
            <w:noWrap/>
            <w:hideMark/>
          </w:tcPr>
          <w:p w14:paraId="51CF5DE0"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-0.228</w:t>
            </w:r>
          </w:p>
        </w:tc>
      </w:tr>
      <w:tr w:rsidR="00ED362F" w:rsidRPr="00061A5F" w14:paraId="737D6751" w14:textId="77777777" w:rsidTr="00CD34D9">
        <w:trPr>
          <w:trHeight w:val="260"/>
        </w:trPr>
        <w:tc>
          <w:tcPr>
            <w:cnfStyle w:val="001000000000" w:firstRow="0" w:lastRow="0" w:firstColumn="1" w:lastColumn="0" w:oddVBand="0" w:evenVBand="0" w:oddHBand="0" w:evenHBand="0" w:firstRowFirstColumn="0" w:firstRowLastColumn="0" w:lastRowFirstColumn="0" w:lastRowLastColumn="0"/>
            <w:tcW w:w="3823" w:type="dxa"/>
            <w:hideMark/>
          </w:tcPr>
          <w:p w14:paraId="14C5D9BC" w14:textId="77777777" w:rsidR="00ED362F" w:rsidRPr="00061A5F" w:rsidRDefault="00ED362F" w:rsidP="00F53F54">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Central bank independence</w:t>
            </w:r>
          </w:p>
        </w:tc>
        <w:tc>
          <w:tcPr>
            <w:tcW w:w="2551" w:type="dxa"/>
            <w:noWrap/>
            <w:hideMark/>
          </w:tcPr>
          <w:p w14:paraId="053EB633"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(0.295)</w:t>
            </w:r>
          </w:p>
        </w:tc>
        <w:tc>
          <w:tcPr>
            <w:tcW w:w="2626" w:type="dxa"/>
            <w:noWrap/>
            <w:hideMark/>
          </w:tcPr>
          <w:p w14:paraId="2C7A8642"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(0.211)</w:t>
            </w:r>
          </w:p>
        </w:tc>
      </w:tr>
      <w:tr w:rsidR="00ED362F" w:rsidRPr="00061A5F" w14:paraId="4B553396" w14:textId="77777777" w:rsidTr="00CD34D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23" w:type="dxa"/>
            <w:hideMark/>
          </w:tcPr>
          <w:p w14:paraId="2CF18A5C" w14:textId="77777777" w:rsidR="00ED362F" w:rsidRPr="00061A5F" w:rsidRDefault="00ED362F" w:rsidP="00F53F54">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VAT</w:t>
            </w:r>
          </w:p>
        </w:tc>
        <w:tc>
          <w:tcPr>
            <w:tcW w:w="2551" w:type="dxa"/>
            <w:noWrap/>
            <w:hideMark/>
          </w:tcPr>
          <w:p w14:paraId="4955AFAE"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0.203***</w:t>
            </w:r>
          </w:p>
        </w:tc>
        <w:tc>
          <w:tcPr>
            <w:tcW w:w="2626" w:type="dxa"/>
            <w:noWrap/>
            <w:hideMark/>
          </w:tcPr>
          <w:p w14:paraId="2994C4F8"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0.260***</w:t>
            </w:r>
          </w:p>
        </w:tc>
      </w:tr>
      <w:tr w:rsidR="00ED362F" w:rsidRPr="00061A5F" w14:paraId="7C9B18C4" w14:textId="77777777" w:rsidTr="00CD34D9">
        <w:trPr>
          <w:trHeight w:val="260"/>
        </w:trPr>
        <w:tc>
          <w:tcPr>
            <w:cnfStyle w:val="001000000000" w:firstRow="0" w:lastRow="0" w:firstColumn="1" w:lastColumn="0" w:oddVBand="0" w:evenVBand="0" w:oddHBand="0" w:evenHBand="0" w:firstRowFirstColumn="0" w:firstRowLastColumn="0" w:lastRowFirstColumn="0" w:lastRowLastColumn="0"/>
            <w:tcW w:w="3823" w:type="dxa"/>
            <w:hideMark/>
          </w:tcPr>
          <w:p w14:paraId="1EA8E500" w14:textId="77777777" w:rsidR="00ED362F" w:rsidRPr="00061A5F" w:rsidRDefault="00ED362F" w:rsidP="00F53F54">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lastRenderedPageBreak/>
              <w:t>Value added tax</w:t>
            </w:r>
          </w:p>
        </w:tc>
        <w:tc>
          <w:tcPr>
            <w:tcW w:w="2551" w:type="dxa"/>
            <w:noWrap/>
            <w:hideMark/>
          </w:tcPr>
          <w:p w14:paraId="5065ECDE"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(0.0564)</w:t>
            </w:r>
          </w:p>
        </w:tc>
        <w:tc>
          <w:tcPr>
            <w:tcW w:w="2626" w:type="dxa"/>
            <w:noWrap/>
            <w:hideMark/>
          </w:tcPr>
          <w:p w14:paraId="4757566B"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(0.0469)</w:t>
            </w:r>
          </w:p>
        </w:tc>
      </w:tr>
      <w:tr w:rsidR="00ED362F" w:rsidRPr="00061A5F" w14:paraId="1C60F128" w14:textId="77777777" w:rsidTr="00CD34D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23" w:type="dxa"/>
            <w:hideMark/>
          </w:tcPr>
          <w:p w14:paraId="6512057F" w14:textId="77777777" w:rsidR="00ED362F" w:rsidRPr="00061A5F" w:rsidRDefault="00ED362F" w:rsidP="00F53F54">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EU</w:t>
            </w:r>
          </w:p>
        </w:tc>
        <w:tc>
          <w:tcPr>
            <w:tcW w:w="2551" w:type="dxa"/>
            <w:noWrap/>
            <w:hideMark/>
          </w:tcPr>
          <w:p w14:paraId="7F69C15C"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0.0209</w:t>
            </w:r>
          </w:p>
        </w:tc>
        <w:tc>
          <w:tcPr>
            <w:tcW w:w="2626" w:type="dxa"/>
            <w:noWrap/>
            <w:hideMark/>
          </w:tcPr>
          <w:p w14:paraId="084A1053"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0.0198</w:t>
            </w:r>
          </w:p>
        </w:tc>
      </w:tr>
      <w:tr w:rsidR="00ED362F" w:rsidRPr="00061A5F" w14:paraId="79471D24" w14:textId="77777777" w:rsidTr="00CD34D9">
        <w:trPr>
          <w:trHeight w:val="260"/>
        </w:trPr>
        <w:tc>
          <w:tcPr>
            <w:cnfStyle w:val="001000000000" w:firstRow="0" w:lastRow="0" w:firstColumn="1" w:lastColumn="0" w:oddVBand="0" w:evenVBand="0" w:oddHBand="0" w:evenHBand="0" w:firstRowFirstColumn="0" w:firstRowLastColumn="0" w:lastRowFirstColumn="0" w:lastRowLastColumn="0"/>
            <w:tcW w:w="3823" w:type="dxa"/>
            <w:hideMark/>
          </w:tcPr>
          <w:p w14:paraId="4E105D6D" w14:textId="77777777" w:rsidR="00ED362F" w:rsidRPr="00061A5F" w:rsidRDefault="00ED362F" w:rsidP="00F53F54">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European Union</w:t>
            </w:r>
          </w:p>
        </w:tc>
        <w:tc>
          <w:tcPr>
            <w:tcW w:w="2551" w:type="dxa"/>
            <w:noWrap/>
            <w:hideMark/>
          </w:tcPr>
          <w:p w14:paraId="64DD0CE4"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(0.0402)</w:t>
            </w:r>
          </w:p>
        </w:tc>
        <w:tc>
          <w:tcPr>
            <w:tcW w:w="2626" w:type="dxa"/>
            <w:noWrap/>
            <w:hideMark/>
          </w:tcPr>
          <w:p w14:paraId="4F6538F6"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(0.0342)</w:t>
            </w:r>
          </w:p>
        </w:tc>
      </w:tr>
      <w:tr w:rsidR="00ED362F" w:rsidRPr="00061A5F" w14:paraId="38A291AB" w14:textId="77777777" w:rsidTr="00CD34D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23" w:type="dxa"/>
            <w:hideMark/>
          </w:tcPr>
          <w:p w14:paraId="3835DDDF" w14:textId="77777777" w:rsidR="00ED362F" w:rsidRPr="00061A5F" w:rsidRDefault="00ED362F" w:rsidP="00F53F54">
            <w:pPr>
              <w:jc w:val="both"/>
              <w:rPr>
                <w:rFonts w:ascii="Times New Roman" w:eastAsia="Times New Roman" w:hAnsi="Times New Roman"/>
                <w:color w:val="000000"/>
                <w:lang w:eastAsia="en-GB"/>
              </w:rPr>
            </w:pPr>
            <w:r w:rsidRPr="00061A5F">
              <w:rPr>
                <w:rFonts w:ascii="Times New Roman" w:eastAsia="Times New Roman" w:hAnsi="Times New Roman"/>
                <w:color w:val="000000"/>
                <w:lang w:eastAsia="en-GB"/>
              </w:rPr>
              <w:t>CRISIS</w:t>
            </w:r>
          </w:p>
        </w:tc>
        <w:tc>
          <w:tcPr>
            <w:tcW w:w="2551" w:type="dxa"/>
            <w:noWrap/>
            <w:hideMark/>
          </w:tcPr>
          <w:p w14:paraId="058D8E28" w14:textId="77777777" w:rsidR="00ED362F" w:rsidRPr="00061A5F" w:rsidRDefault="00ED362F" w:rsidP="00F53F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lang w:eastAsia="en-GB"/>
              </w:rPr>
            </w:pPr>
          </w:p>
        </w:tc>
        <w:tc>
          <w:tcPr>
            <w:tcW w:w="2626" w:type="dxa"/>
            <w:noWrap/>
            <w:hideMark/>
          </w:tcPr>
          <w:p w14:paraId="0472869B" w14:textId="77777777" w:rsidR="00ED362F" w:rsidRPr="00061A5F" w:rsidRDefault="00ED362F" w:rsidP="00F53F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1.635***</w:t>
            </w:r>
          </w:p>
        </w:tc>
      </w:tr>
      <w:tr w:rsidR="00ED362F" w:rsidRPr="00061A5F" w14:paraId="73FE81B7" w14:textId="77777777" w:rsidTr="00CD34D9">
        <w:trPr>
          <w:trHeight w:val="260"/>
        </w:trPr>
        <w:tc>
          <w:tcPr>
            <w:cnfStyle w:val="001000000000" w:firstRow="0" w:lastRow="0" w:firstColumn="1" w:lastColumn="0" w:oddVBand="0" w:evenVBand="0" w:oddHBand="0" w:evenHBand="0" w:firstRowFirstColumn="0" w:firstRowLastColumn="0" w:lastRowFirstColumn="0" w:lastRowLastColumn="0"/>
            <w:tcW w:w="3823" w:type="dxa"/>
            <w:hideMark/>
          </w:tcPr>
          <w:p w14:paraId="4FBB3126" w14:textId="77777777" w:rsidR="00ED362F" w:rsidRPr="00061A5F" w:rsidRDefault="00ED362F" w:rsidP="00F53F54">
            <w:pPr>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 xml:space="preserve">Global financial crisis </w:t>
            </w:r>
          </w:p>
        </w:tc>
        <w:tc>
          <w:tcPr>
            <w:tcW w:w="2551" w:type="dxa"/>
            <w:noWrap/>
            <w:hideMark/>
          </w:tcPr>
          <w:p w14:paraId="5B596B73" w14:textId="77777777" w:rsidR="00ED362F" w:rsidRPr="00061A5F" w:rsidRDefault="00ED362F" w:rsidP="00F53F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p>
        </w:tc>
        <w:tc>
          <w:tcPr>
            <w:tcW w:w="2626" w:type="dxa"/>
            <w:noWrap/>
            <w:hideMark/>
          </w:tcPr>
          <w:p w14:paraId="0091C9FC" w14:textId="77777777" w:rsidR="00ED362F" w:rsidRPr="00061A5F" w:rsidRDefault="00ED362F" w:rsidP="00F53F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(0.248)</w:t>
            </w:r>
          </w:p>
        </w:tc>
      </w:tr>
      <w:tr w:rsidR="00ED362F" w:rsidRPr="00061A5F" w14:paraId="1D9F6804" w14:textId="77777777" w:rsidTr="00CD34D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23" w:type="dxa"/>
          </w:tcPr>
          <w:p w14:paraId="44C61D72" w14:textId="39AB58C9" w:rsidR="00ED362F" w:rsidRPr="00061A5F" w:rsidRDefault="00ED362F" w:rsidP="00782541">
            <w:pPr>
              <w:jc w:val="both"/>
              <w:rPr>
                <w:rFonts w:ascii="Times New Roman" w:eastAsia="Times New Roman" w:hAnsi="Times New Roman"/>
                <w:lang w:eastAsia="en-GB"/>
              </w:rPr>
            </w:pPr>
            <w:r w:rsidRPr="00061A5F">
              <w:rPr>
                <w:rFonts w:ascii="Times New Roman" w:eastAsia="Times New Roman" w:hAnsi="Times New Roman"/>
                <w:lang w:eastAsia="en-GB"/>
              </w:rPr>
              <w:t>Constant</w:t>
            </w:r>
          </w:p>
        </w:tc>
        <w:tc>
          <w:tcPr>
            <w:tcW w:w="2551" w:type="dxa"/>
            <w:noWrap/>
          </w:tcPr>
          <w:p w14:paraId="7F6478F1" w14:textId="1AEABD9C" w:rsidR="00ED362F" w:rsidRPr="00061A5F" w:rsidRDefault="00ED362F" w:rsidP="0035639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t>0</w:t>
            </w:r>
          </w:p>
        </w:tc>
        <w:tc>
          <w:tcPr>
            <w:tcW w:w="2626" w:type="dxa"/>
            <w:noWrap/>
          </w:tcPr>
          <w:p w14:paraId="02089095" w14:textId="447332AF" w:rsidR="00ED362F" w:rsidRPr="00061A5F" w:rsidRDefault="00ED362F" w:rsidP="007825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t>0</w:t>
            </w:r>
          </w:p>
        </w:tc>
      </w:tr>
      <w:tr w:rsidR="00ED362F" w:rsidRPr="00061A5F" w14:paraId="3EF3FE63" w14:textId="77777777" w:rsidTr="00CD34D9">
        <w:trPr>
          <w:trHeight w:val="232"/>
        </w:trPr>
        <w:tc>
          <w:tcPr>
            <w:cnfStyle w:val="001000000000" w:firstRow="0" w:lastRow="0" w:firstColumn="1" w:lastColumn="0" w:oddVBand="0" w:evenVBand="0" w:oddHBand="0" w:evenHBand="0" w:firstRowFirstColumn="0" w:firstRowLastColumn="0" w:lastRowFirstColumn="0" w:lastRowLastColumn="0"/>
            <w:tcW w:w="3823" w:type="dxa"/>
          </w:tcPr>
          <w:p w14:paraId="7E50E55F" w14:textId="77777777" w:rsidR="00ED362F" w:rsidRPr="00061A5F" w:rsidRDefault="00ED362F" w:rsidP="00F94A91">
            <w:pPr>
              <w:spacing w:line="276" w:lineRule="auto"/>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Number of observations</w:t>
            </w:r>
          </w:p>
        </w:tc>
        <w:tc>
          <w:tcPr>
            <w:tcW w:w="2551" w:type="dxa"/>
          </w:tcPr>
          <w:p w14:paraId="007C71B0" w14:textId="77777777" w:rsidR="00ED362F" w:rsidRPr="00061A5F" w:rsidRDefault="00ED362F" w:rsidP="0035639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285</w:t>
            </w:r>
          </w:p>
        </w:tc>
        <w:tc>
          <w:tcPr>
            <w:tcW w:w="2626" w:type="dxa"/>
          </w:tcPr>
          <w:p w14:paraId="57A3B8C3" w14:textId="77777777" w:rsidR="00ED362F" w:rsidRPr="00061A5F" w:rsidRDefault="00ED362F" w:rsidP="0035639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285</w:t>
            </w:r>
          </w:p>
        </w:tc>
      </w:tr>
      <w:tr w:rsidR="00ED362F" w:rsidRPr="00061A5F" w14:paraId="56D6BC7C" w14:textId="77777777" w:rsidTr="00CD34D9">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823" w:type="dxa"/>
          </w:tcPr>
          <w:p w14:paraId="3172E4DF" w14:textId="77777777" w:rsidR="00ED362F" w:rsidRPr="00061A5F" w:rsidRDefault="00ED362F" w:rsidP="00F94A91">
            <w:pPr>
              <w:spacing w:line="276" w:lineRule="auto"/>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Number of groups</w:t>
            </w:r>
          </w:p>
        </w:tc>
        <w:tc>
          <w:tcPr>
            <w:tcW w:w="2551" w:type="dxa"/>
          </w:tcPr>
          <w:p w14:paraId="1FC30EBD" w14:textId="77777777" w:rsidR="00ED362F" w:rsidRPr="00061A5F" w:rsidRDefault="00ED362F" w:rsidP="0035639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25</w:t>
            </w:r>
          </w:p>
        </w:tc>
        <w:tc>
          <w:tcPr>
            <w:tcW w:w="2626" w:type="dxa"/>
          </w:tcPr>
          <w:p w14:paraId="74E02ACC" w14:textId="77777777" w:rsidR="00ED362F" w:rsidRPr="00061A5F" w:rsidRDefault="00ED362F" w:rsidP="0035639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25</w:t>
            </w:r>
          </w:p>
        </w:tc>
      </w:tr>
      <w:tr w:rsidR="00ED362F" w:rsidRPr="00061A5F" w14:paraId="3C22FE57" w14:textId="77777777" w:rsidTr="00CD34D9">
        <w:trPr>
          <w:trHeight w:val="232"/>
        </w:trPr>
        <w:tc>
          <w:tcPr>
            <w:cnfStyle w:val="001000000000" w:firstRow="0" w:lastRow="0" w:firstColumn="1" w:lastColumn="0" w:oddVBand="0" w:evenVBand="0" w:oddHBand="0" w:evenHBand="0" w:firstRowFirstColumn="0" w:firstRowLastColumn="0" w:lastRowFirstColumn="0" w:lastRowLastColumn="0"/>
            <w:tcW w:w="3823" w:type="dxa"/>
          </w:tcPr>
          <w:p w14:paraId="0709BBF0" w14:textId="77777777" w:rsidR="00ED362F" w:rsidRPr="00061A5F" w:rsidRDefault="00ED362F" w:rsidP="00F94A91">
            <w:pPr>
              <w:spacing w:line="276" w:lineRule="auto"/>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Number of instruments</w:t>
            </w:r>
          </w:p>
        </w:tc>
        <w:tc>
          <w:tcPr>
            <w:tcW w:w="2551" w:type="dxa"/>
          </w:tcPr>
          <w:p w14:paraId="1B7BA654" w14:textId="77777777" w:rsidR="00ED362F" w:rsidRPr="00061A5F" w:rsidRDefault="00ED362F" w:rsidP="0035639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94</w:t>
            </w:r>
          </w:p>
        </w:tc>
        <w:tc>
          <w:tcPr>
            <w:tcW w:w="2626" w:type="dxa"/>
          </w:tcPr>
          <w:p w14:paraId="6EA49CDF" w14:textId="77777777" w:rsidR="00ED362F" w:rsidRPr="00061A5F" w:rsidRDefault="00ED362F" w:rsidP="0035639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138</w:t>
            </w:r>
          </w:p>
        </w:tc>
      </w:tr>
      <w:tr w:rsidR="00ED362F" w:rsidRPr="00061A5F" w14:paraId="2F48E95B" w14:textId="77777777" w:rsidTr="00CD34D9">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823" w:type="dxa"/>
          </w:tcPr>
          <w:p w14:paraId="258415AA" w14:textId="77777777" w:rsidR="00ED362F" w:rsidRPr="00061A5F" w:rsidRDefault="00ED362F" w:rsidP="00F94A91">
            <w:pPr>
              <w:spacing w:line="276" w:lineRule="auto"/>
              <w:jc w:val="both"/>
              <w:rPr>
                <w:rFonts w:ascii="Times New Roman" w:eastAsia="Times New Roman" w:hAnsi="Times New Roman"/>
                <w:b w:val="0"/>
                <w:bCs w:val="0"/>
                <w:lang w:eastAsia="en-GB"/>
              </w:rPr>
            </w:pPr>
            <w:proofErr w:type="spellStart"/>
            <w:r w:rsidRPr="00061A5F">
              <w:rPr>
                <w:rFonts w:ascii="Times New Roman" w:eastAsia="Times New Roman" w:hAnsi="Times New Roman"/>
                <w:b w:val="0"/>
                <w:bCs w:val="0"/>
                <w:lang w:eastAsia="en-GB"/>
              </w:rPr>
              <w:t>Sargan</w:t>
            </w:r>
            <w:proofErr w:type="spellEnd"/>
            <w:r w:rsidRPr="00061A5F">
              <w:rPr>
                <w:rFonts w:ascii="Times New Roman" w:eastAsia="Times New Roman" w:hAnsi="Times New Roman"/>
                <w:b w:val="0"/>
                <w:bCs w:val="0"/>
                <w:lang w:eastAsia="en-GB"/>
              </w:rPr>
              <w:t xml:space="preserve"> (Prob&gt;chi2)</w:t>
            </w:r>
          </w:p>
        </w:tc>
        <w:tc>
          <w:tcPr>
            <w:tcW w:w="2551" w:type="dxa"/>
          </w:tcPr>
          <w:p w14:paraId="573FEE3A" w14:textId="77777777" w:rsidR="00ED362F" w:rsidRPr="00061A5F" w:rsidRDefault="00ED362F" w:rsidP="0035639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0.030</w:t>
            </w:r>
          </w:p>
        </w:tc>
        <w:tc>
          <w:tcPr>
            <w:tcW w:w="2626" w:type="dxa"/>
          </w:tcPr>
          <w:p w14:paraId="6C66654B" w14:textId="77777777" w:rsidR="00ED362F" w:rsidRPr="00061A5F" w:rsidRDefault="00ED362F" w:rsidP="0035639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0.169</w:t>
            </w:r>
          </w:p>
        </w:tc>
      </w:tr>
      <w:tr w:rsidR="00ED362F" w:rsidRPr="00061A5F" w14:paraId="439E3B33" w14:textId="77777777" w:rsidTr="00CD34D9">
        <w:trPr>
          <w:trHeight w:val="232"/>
        </w:trPr>
        <w:tc>
          <w:tcPr>
            <w:cnfStyle w:val="001000000000" w:firstRow="0" w:lastRow="0" w:firstColumn="1" w:lastColumn="0" w:oddVBand="0" w:evenVBand="0" w:oddHBand="0" w:evenHBand="0" w:firstRowFirstColumn="0" w:firstRowLastColumn="0" w:lastRowFirstColumn="0" w:lastRowLastColumn="0"/>
            <w:tcW w:w="3823" w:type="dxa"/>
          </w:tcPr>
          <w:p w14:paraId="1B2D0C52" w14:textId="77777777" w:rsidR="00ED362F" w:rsidRPr="00061A5F" w:rsidRDefault="00ED362F" w:rsidP="00F94A91">
            <w:pPr>
              <w:spacing w:line="276" w:lineRule="auto"/>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m1+m2 (Prob &gt; chi2)</w:t>
            </w:r>
          </w:p>
        </w:tc>
        <w:tc>
          <w:tcPr>
            <w:tcW w:w="2551" w:type="dxa"/>
          </w:tcPr>
          <w:p w14:paraId="2A3E6B79" w14:textId="77777777" w:rsidR="00ED362F" w:rsidRPr="00061A5F" w:rsidRDefault="00ED362F" w:rsidP="0035639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0.018/0.838</w:t>
            </w:r>
          </w:p>
        </w:tc>
        <w:tc>
          <w:tcPr>
            <w:tcW w:w="2626" w:type="dxa"/>
          </w:tcPr>
          <w:p w14:paraId="23425AB3" w14:textId="77777777" w:rsidR="00ED362F" w:rsidRPr="00061A5F" w:rsidRDefault="00ED362F" w:rsidP="0035639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n-GB"/>
              </w:rPr>
            </w:pPr>
            <w:r w:rsidRPr="00061A5F">
              <w:rPr>
                <w:rFonts w:ascii="Times New Roman" w:eastAsia="Times New Roman" w:hAnsi="Times New Roman"/>
                <w:lang w:eastAsia="en-GB"/>
              </w:rPr>
              <w:t>0.20/0.796</w:t>
            </w:r>
          </w:p>
        </w:tc>
      </w:tr>
    </w:tbl>
    <w:p w14:paraId="48E06A74" w14:textId="2E756166" w:rsidR="00F53F54" w:rsidRPr="00061A5F" w:rsidRDefault="00782541" w:rsidP="007F5D0E">
      <w:pPr>
        <w:autoSpaceDE w:val="0"/>
        <w:autoSpaceDN w:val="0"/>
        <w:adjustRightInd w:val="0"/>
        <w:spacing w:line="276" w:lineRule="auto"/>
        <w:jc w:val="both"/>
        <w:rPr>
          <w:rFonts w:ascii="Times New Roman" w:eastAsia="Times New Roman" w:hAnsi="Times New Roman"/>
          <w:lang w:eastAsia="en-GB"/>
        </w:rPr>
      </w:pPr>
      <w:r w:rsidRPr="00061A5F">
        <w:rPr>
          <w:rFonts w:ascii="Times New Roman" w:eastAsia="Times New Roman" w:hAnsi="Times New Roman"/>
          <w:lang w:eastAsia="en-GB"/>
        </w:rPr>
        <w:t>***, **, * donates that variables are statistically significant at the 1%, 5% and 10%, respectively.</w:t>
      </w:r>
    </w:p>
    <w:p w14:paraId="68266510" w14:textId="1127D854" w:rsidR="00782541" w:rsidRPr="00061A5F" w:rsidRDefault="0000350D" w:rsidP="007F5D0E">
      <w:pPr>
        <w:autoSpaceDE w:val="0"/>
        <w:autoSpaceDN w:val="0"/>
        <w:adjustRightInd w:val="0"/>
        <w:spacing w:line="276" w:lineRule="auto"/>
        <w:jc w:val="both"/>
        <w:rPr>
          <w:rFonts w:ascii="Times New Roman" w:hAnsi="Times New Roman"/>
          <w:sz w:val="24"/>
          <w:szCs w:val="24"/>
        </w:rPr>
      </w:pPr>
      <w:r w:rsidRPr="00061A5F">
        <w:rPr>
          <w:rFonts w:ascii="Times New Roman" w:hAnsi="Times New Roman"/>
          <w:sz w:val="24"/>
          <w:szCs w:val="24"/>
        </w:rPr>
        <w:t xml:space="preserve">⸶ </w:t>
      </w:r>
      <w:r w:rsidRPr="00061A5F">
        <w:rPr>
          <w:rFonts w:ascii="Times New Roman" w:hAnsi="Times New Roman"/>
        </w:rPr>
        <w:t xml:space="preserve">The estimated equations are the same as Equations 1, 2 and 3, just a CBA variable is divided to </w:t>
      </w:r>
      <w:proofErr w:type="spellStart"/>
      <w:r w:rsidRPr="00061A5F">
        <w:rPr>
          <w:rFonts w:ascii="Times New Roman" w:hAnsi="Times New Roman"/>
        </w:rPr>
        <w:t>StrongCBA</w:t>
      </w:r>
      <w:proofErr w:type="spellEnd"/>
      <w:r w:rsidRPr="00061A5F">
        <w:rPr>
          <w:rFonts w:ascii="Times New Roman" w:hAnsi="Times New Roman"/>
        </w:rPr>
        <w:t xml:space="preserve"> and </w:t>
      </w:r>
      <w:proofErr w:type="spellStart"/>
      <w:r w:rsidRPr="00061A5F">
        <w:rPr>
          <w:rFonts w:ascii="Times New Roman" w:hAnsi="Times New Roman"/>
        </w:rPr>
        <w:t>WeakCBA</w:t>
      </w:r>
      <w:proofErr w:type="spellEnd"/>
    </w:p>
    <w:p w14:paraId="3DD2B6F7" w14:textId="77777777" w:rsidR="0000350D" w:rsidRPr="00061A5F" w:rsidRDefault="0000350D" w:rsidP="007F5D0E">
      <w:pPr>
        <w:autoSpaceDE w:val="0"/>
        <w:autoSpaceDN w:val="0"/>
        <w:adjustRightInd w:val="0"/>
        <w:spacing w:line="276" w:lineRule="auto"/>
        <w:jc w:val="both"/>
        <w:rPr>
          <w:rFonts w:ascii="Times New Roman" w:hAnsi="Times New Roman"/>
          <w:sz w:val="24"/>
          <w:szCs w:val="24"/>
        </w:rPr>
      </w:pPr>
    </w:p>
    <w:p w14:paraId="09ABD2CC" w14:textId="092B3C61" w:rsidR="009A40F5" w:rsidRPr="00061A5F" w:rsidRDefault="009A40F5" w:rsidP="007F5D0E">
      <w:pPr>
        <w:pStyle w:val="Tables"/>
        <w:jc w:val="both"/>
      </w:pPr>
      <w:r w:rsidRPr="00061A5F">
        <w:t>Table 3</w:t>
      </w:r>
      <w:r w:rsidR="00F53F54" w:rsidRPr="00061A5F">
        <w:t>b</w:t>
      </w:r>
      <w:r w:rsidR="00657613" w:rsidRPr="00061A5F">
        <w:t>.</w:t>
      </w:r>
      <w:r w:rsidRPr="00061A5F">
        <w:t xml:space="preserve"> </w:t>
      </w:r>
      <w:r w:rsidR="00F53F54" w:rsidRPr="00061A5F">
        <w:t xml:space="preserve">Marginal effects after estimation of equations </w:t>
      </w:r>
      <w:proofErr w:type="spellStart"/>
      <w:r w:rsidR="00F53F54" w:rsidRPr="00061A5F">
        <w:t>wit</w:t>
      </w:r>
      <w:proofErr w:type="spellEnd"/>
      <w:r w:rsidR="00F53F54" w:rsidRPr="00061A5F">
        <w:t xml:space="preserve"> s</w:t>
      </w:r>
      <w:r w:rsidRPr="00061A5F">
        <w:t>trong and weak CBA specifications estimated by ‘system’ GMM</w:t>
      </w:r>
    </w:p>
    <w:tbl>
      <w:tblPr>
        <w:tblStyle w:val="PlainTable1"/>
        <w:tblpPr w:leftFromText="180" w:rightFromText="180" w:vertAnchor="text" w:horzAnchor="margin" w:tblpY="55"/>
        <w:tblW w:w="9025" w:type="dxa"/>
        <w:tblLook w:val="01E0" w:firstRow="1" w:lastRow="1" w:firstColumn="1" w:lastColumn="1" w:noHBand="0" w:noVBand="0"/>
      </w:tblPr>
      <w:tblGrid>
        <w:gridCol w:w="3823"/>
        <w:gridCol w:w="2551"/>
        <w:gridCol w:w="2651"/>
      </w:tblGrid>
      <w:tr w:rsidR="00ED362F" w:rsidRPr="00061A5F" w14:paraId="534F99CA" w14:textId="77777777" w:rsidTr="00CD34D9">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45D910D" w14:textId="77777777" w:rsidR="00ED362F" w:rsidRPr="00061A5F" w:rsidRDefault="00ED362F" w:rsidP="007F5D0E">
            <w:pPr>
              <w:spacing w:line="276" w:lineRule="auto"/>
              <w:jc w:val="both"/>
              <w:rPr>
                <w:rFonts w:ascii="Times New Roman" w:eastAsia="Times New Roman" w:hAnsi="Times New Roman"/>
                <w:lang w:eastAsia="en-GB"/>
              </w:rPr>
            </w:pPr>
            <w:r w:rsidRPr="00061A5F">
              <w:rPr>
                <w:rFonts w:ascii="Times New Roman" w:eastAsia="Times New Roman" w:hAnsi="Times New Roman"/>
                <w:bCs w:val="0"/>
                <w:lang w:eastAsia="en-GB"/>
              </w:rPr>
              <w:t>Variables</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249278F7" w14:textId="161DBCD2" w:rsidR="00ED362F" w:rsidRPr="00061A5F" w:rsidRDefault="00ED362F" w:rsidP="00F53F54">
            <w:pPr>
              <w:spacing w:line="276" w:lineRule="auto"/>
              <w:jc w:val="center"/>
              <w:rPr>
                <w:rFonts w:ascii="Times New Roman" w:eastAsia="Times New Roman" w:hAnsi="Times New Roman"/>
                <w:lang w:eastAsia="en-GB"/>
              </w:rPr>
            </w:pPr>
            <w:r w:rsidRPr="00061A5F">
              <w:rPr>
                <w:rFonts w:ascii="Times New Roman" w:eastAsia="Times New Roman" w:hAnsi="Times New Roman"/>
                <w:lang w:eastAsia="en-GB"/>
              </w:rPr>
              <w:t>Modified Equation 1</w:t>
            </w:r>
          </w:p>
        </w:tc>
        <w:tc>
          <w:tcPr>
            <w:cnfStyle w:val="000100000000" w:firstRow="0" w:lastRow="0" w:firstColumn="0" w:lastColumn="1" w:oddVBand="0" w:evenVBand="0" w:oddHBand="0" w:evenHBand="0" w:firstRowFirstColumn="0" w:firstRowLastColumn="0" w:lastRowFirstColumn="0" w:lastRowLastColumn="0"/>
            <w:tcW w:w="2651" w:type="dxa"/>
          </w:tcPr>
          <w:p w14:paraId="40D1FFD0" w14:textId="4F4714B4" w:rsidR="00ED362F" w:rsidRPr="00061A5F" w:rsidRDefault="00ED362F" w:rsidP="00F53F54">
            <w:pPr>
              <w:spacing w:line="276" w:lineRule="auto"/>
              <w:jc w:val="center"/>
              <w:rPr>
                <w:rFonts w:ascii="Times New Roman" w:eastAsia="Times New Roman" w:hAnsi="Times New Roman"/>
                <w:bCs w:val="0"/>
                <w:lang w:eastAsia="en-GB"/>
              </w:rPr>
            </w:pPr>
            <w:r w:rsidRPr="00061A5F">
              <w:rPr>
                <w:rFonts w:ascii="Times New Roman" w:eastAsia="Times New Roman" w:hAnsi="Times New Roman"/>
                <w:bCs w:val="0"/>
                <w:lang w:eastAsia="en-GB"/>
              </w:rPr>
              <w:t>Modified Equation 2</w:t>
            </w:r>
          </w:p>
        </w:tc>
      </w:tr>
      <w:tr w:rsidR="00ED362F" w:rsidRPr="00061A5F" w14:paraId="74E3899A" w14:textId="77777777" w:rsidTr="00CD34D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823" w:type="dxa"/>
          </w:tcPr>
          <w:p w14:paraId="2FCBC24F" w14:textId="77777777" w:rsidR="00ED362F" w:rsidRPr="00061A5F" w:rsidRDefault="00ED362F" w:rsidP="007F5D0E">
            <w:pPr>
              <w:spacing w:line="276" w:lineRule="auto"/>
              <w:jc w:val="both"/>
              <w:rPr>
                <w:rFonts w:ascii="Times New Roman" w:eastAsia="Times New Roman" w:hAnsi="Times New Roman"/>
                <w:lang w:eastAsia="en-GB"/>
              </w:rPr>
            </w:pPr>
            <w:r w:rsidRPr="00061A5F">
              <w:rPr>
                <w:rFonts w:ascii="Times New Roman" w:eastAsia="Times New Roman" w:hAnsi="Times New Roman"/>
                <w:lang w:eastAsia="en-GB"/>
              </w:rPr>
              <w:t>L</w:t>
            </w:r>
            <w:proofErr w:type="gramStart"/>
            <w:r w:rsidRPr="00061A5F">
              <w:rPr>
                <w:rFonts w:ascii="Times New Roman" w:eastAsia="Times New Roman" w:hAnsi="Times New Roman"/>
                <w:lang w:eastAsia="en-GB"/>
              </w:rPr>
              <w:t>1.LNINF</w:t>
            </w:r>
            <w:proofErr w:type="gramEnd"/>
          </w:p>
        </w:tc>
        <w:tc>
          <w:tcPr>
            <w:cnfStyle w:val="000010000000" w:firstRow="0" w:lastRow="0" w:firstColumn="0" w:lastColumn="0" w:oddVBand="1" w:evenVBand="0" w:oddHBand="0" w:evenHBand="0" w:firstRowFirstColumn="0" w:firstRowLastColumn="0" w:lastRowFirstColumn="0" w:lastRowLastColumn="0"/>
            <w:tcW w:w="2551" w:type="dxa"/>
            <w:vAlign w:val="bottom"/>
          </w:tcPr>
          <w:p w14:paraId="36EA2811" w14:textId="2261B77E" w:rsidR="00ED362F" w:rsidRPr="00061A5F" w:rsidRDefault="00ED362F" w:rsidP="00F53F54">
            <w:pPr>
              <w:jc w:val="center"/>
              <w:rPr>
                <w:rFonts w:ascii="Times New Roman" w:hAnsi="Times New Roman"/>
              </w:rPr>
            </w:pPr>
            <w:r w:rsidRPr="00061A5F">
              <w:rPr>
                <w:rFonts w:ascii="Times New Roman" w:hAnsi="Times New Roman"/>
              </w:rPr>
              <w:t>0.411***</w:t>
            </w: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0CFA2ED6" w14:textId="52A66BBB" w:rsidR="00ED362F" w:rsidRPr="00061A5F" w:rsidRDefault="00ED362F" w:rsidP="00F53F54">
            <w:pPr>
              <w:jc w:val="center"/>
              <w:rPr>
                <w:rFonts w:ascii="Times New Roman" w:hAnsi="Times New Roman"/>
                <w:b w:val="0"/>
              </w:rPr>
            </w:pPr>
            <w:r w:rsidRPr="00061A5F">
              <w:rPr>
                <w:rFonts w:ascii="Times New Roman" w:hAnsi="Times New Roman"/>
                <w:b w:val="0"/>
              </w:rPr>
              <w:t>0.417***</w:t>
            </w:r>
          </w:p>
        </w:tc>
      </w:tr>
      <w:tr w:rsidR="00ED362F" w:rsidRPr="00061A5F" w14:paraId="6DCCF65D" w14:textId="77777777" w:rsidTr="00CD34D9">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822CC2F" w14:textId="5A7B5881" w:rsidR="00ED362F" w:rsidRPr="00061A5F" w:rsidRDefault="004F1DA2" w:rsidP="007F5D0E">
            <w:pPr>
              <w:spacing w:line="276" w:lineRule="auto"/>
              <w:jc w:val="both"/>
              <w:rPr>
                <w:rFonts w:ascii="Times New Roman" w:eastAsia="Times New Roman" w:hAnsi="Times New Roman"/>
                <w:b w:val="0"/>
                <w:bCs w:val="0"/>
                <w:lang w:eastAsia="en-GB"/>
              </w:rPr>
            </w:pPr>
            <w:r w:rsidRPr="00061A5F">
              <w:rPr>
                <w:rFonts w:ascii="Times New Roman" w:eastAsia="Times New Roman" w:hAnsi="Times New Roman"/>
                <w:b w:val="0"/>
                <w:bCs w:val="0"/>
                <w:lang w:eastAsia="en-GB"/>
              </w:rPr>
              <w:t>Inflation (lagged)</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bottom"/>
          </w:tcPr>
          <w:p w14:paraId="4A000F00" w14:textId="77777777" w:rsidR="00ED362F" w:rsidRPr="00061A5F" w:rsidRDefault="00ED362F" w:rsidP="00F53F54">
            <w:pPr>
              <w:jc w:val="center"/>
              <w:rPr>
                <w:rFonts w:ascii="Times New Roman" w:hAnsi="Times New Roman"/>
              </w:rPr>
            </w:pPr>
            <w:r w:rsidRPr="00061A5F">
              <w:rPr>
                <w:rFonts w:ascii="Times New Roman" w:hAnsi="Times New Roman"/>
              </w:rPr>
              <w:t>(0.0551)</w:t>
            </w: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2CCDCA0C" w14:textId="77777777" w:rsidR="00ED362F" w:rsidRPr="00061A5F" w:rsidRDefault="00ED362F" w:rsidP="00F53F54">
            <w:pPr>
              <w:jc w:val="center"/>
              <w:rPr>
                <w:rFonts w:ascii="Times New Roman" w:hAnsi="Times New Roman"/>
                <w:b w:val="0"/>
              </w:rPr>
            </w:pPr>
            <w:r w:rsidRPr="00061A5F">
              <w:rPr>
                <w:rFonts w:ascii="Times New Roman" w:hAnsi="Times New Roman"/>
                <w:b w:val="0"/>
              </w:rPr>
              <w:t>(0.0529)</w:t>
            </w:r>
          </w:p>
        </w:tc>
      </w:tr>
      <w:tr w:rsidR="00ED362F" w:rsidRPr="00061A5F" w14:paraId="3B104D61" w14:textId="77777777" w:rsidTr="00CD34D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B143CFA" w14:textId="77777777" w:rsidR="00ED362F" w:rsidRPr="00061A5F" w:rsidRDefault="00ED362F" w:rsidP="007F5D0E">
            <w:pPr>
              <w:spacing w:line="276" w:lineRule="auto"/>
              <w:jc w:val="both"/>
              <w:rPr>
                <w:rFonts w:ascii="Times New Roman" w:eastAsia="Times New Roman" w:hAnsi="Times New Roman"/>
                <w:lang w:eastAsia="en-GB"/>
              </w:rPr>
            </w:pPr>
            <w:proofErr w:type="spellStart"/>
            <w:r w:rsidRPr="00061A5F">
              <w:rPr>
                <w:rFonts w:ascii="Times New Roman" w:eastAsia="Times New Roman" w:hAnsi="Times New Roman"/>
                <w:lang w:eastAsia="en-GB"/>
              </w:rPr>
              <w:t>strongCBA</w:t>
            </w:r>
            <w:proofErr w:type="spellEnd"/>
          </w:p>
        </w:tc>
        <w:tc>
          <w:tcPr>
            <w:cnfStyle w:val="000010000000" w:firstRow="0" w:lastRow="0" w:firstColumn="0" w:lastColumn="0" w:oddVBand="1" w:evenVBand="0" w:oddHBand="0" w:evenHBand="0" w:firstRowFirstColumn="0" w:firstRowLastColumn="0" w:lastRowFirstColumn="0" w:lastRowLastColumn="0"/>
            <w:tcW w:w="2551" w:type="dxa"/>
            <w:vAlign w:val="bottom"/>
          </w:tcPr>
          <w:p w14:paraId="027431F1" w14:textId="77777777" w:rsidR="00ED362F" w:rsidRPr="00061A5F" w:rsidRDefault="00ED362F" w:rsidP="00F53F54">
            <w:pPr>
              <w:jc w:val="center"/>
              <w:rPr>
                <w:rFonts w:ascii="Times New Roman" w:hAnsi="Times New Roman"/>
              </w:rPr>
            </w:pPr>
            <w:r w:rsidRPr="00061A5F">
              <w:rPr>
                <w:rFonts w:ascii="Times New Roman" w:hAnsi="Times New Roman"/>
              </w:rPr>
              <w:t>-0.115**</w:t>
            </w: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015F2B64" w14:textId="77777777" w:rsidR="00ED362F" w:rsidRPr="00061A5F" w:rsidRDefault="00ED362F" w:rsidP="00F53F54">
            <w:pPr>
              <w:jc w:val="center"/>
              <w:rPr>
                <w:rFonts w:ascii="Times New Roman" w:hAnsi="Times New Roman"/>
                <w:b w:val="0"/>
              </w:rPr>
            </w:pPr>
            <w:r w:rsidRPr="00061A5F">
              <w:rPr>
                <w:rFonts w:ascii="Times New Roman" w:hAnsi="Times New Roman"/>
                <w:b w:val="0"/>
              </w:rPr>
              <w:t>-0.143***</w:t>
            </w:r>
          </w:p>
        </w:tc>
      </w:tr>
      <w:tr w:rsidR="004F1DA2" w:rsidRPr="00061A5F" w14:paraId="6AA39368" w14:textId="77777777" w:rsidTr="00CD34D9">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B7568F6" w14:textId="07F6F0B7" w:rsidR="004F1DA2" w:rsidRPr="00061A5F" w:rsidRDefault="004F1DA2" w:rsidP="004F1DA2">
            <w:pPr>
              <w:spacing w:line="276" w:lineRule="auto"/>
              <w:jc w:val="both"/>
              <w:rPr>
                <w:rFonts w:ascii="Times New Roman" w:eastAsia="Times New Roman" w:hAnsi="Times New Roman"/>
                <w:lang w:eastAsia="en-GB"/>
              </w:rPr>
            </w:pPr>
            <w:r w:rsidRPr="00061A5F">
              <w:rPr>
                <w:rFonts w:ascii="Times New Roman" w:eastAsia="Times New Roman" w:hAnsi="Times New Roman"/>
                <w:b w:val="0"/>
                <w:bCs w:val="0"/>
                <w:lang w:eastAsia="en-GB"/>
              </w:rPr>
              <w:t>“Strong” currency board arrangement</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bottom"/>
          </w:tcPr>
          <w:p w14:paraId="6248B228" w14:textId="77777777" w:rsidR="004F1DA2" w:rsidRPr="00061A5F" w:rsidRDefault="004F1DA2" w:rsidP="004F1DA2">
            <w:pPr>
              <w:jc w:val="center"/>
              <w:rPr>
                <w:rFonts w:ascii="Times New Roman" w:hAnsi="Times New Roman"/>
              </w:rPr>
            </w:pPr>
            <w:r w:rsidRPr="00061A5F">
              <w:rPr>
                <w:rFonts w:ascii="Times New Roman" w:hAnsi="Times New Roman"/>
              </w:rPr>
              <w:t>(0.0549)</w:t>
            </w: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6341B402" w14:textId="77777777" w:rsidR="004F1DA2" w:rsidRPr="00061A5F" w:rsidRDefault="004F1DA2" w:rsidP="004F1DA2">
            <w:pPr>
              <w:jc w:val="center"/>
              <w:rPr>
                <w:rFonts w:ascii="Times New Roman" w:hAnsi="Times New Roman"/>
                <w:b w:val="0"/>
              </w:rPr>
            </w:pPr>
            <w:r w:rsidRPr="00061A5F">
              <w:rPr>
                <w:rFonts w:ascii="Times New Roman" w:hAnsi="Times New Roman"/>
                <w:b w:val="0"/>
              </w:rPr>
              <w:t>(0.0423)</w:t>
            </w:r>
          </w:p>
        </w:tc>
      </w:tr>
      <w:tr w:rsidR="004F1DA2" w:rsidRPr="00061A5F" w14:paraId="0F369035" w14:textId="77777777" w:rsidTr="00CD34D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05ADF17" w14:textId="77777777" w:rsidR="004F1DA2" w:rsidRPr="00061A5F" w:rsidRDefault="004F1DA2" w:rsidP="004F1DA2">
            <w:pPr>
              <w:spacing w:line="276" w:lineRule="auto"/>
              <w:jc w:val="both"/>
              <w:rPr>
                <w:rFonts w:ascii="Times New Roman" w:eastAsia="Times New Roman" w:hAnsi="Times New Roman"/>
                <w:lang w:eastAsia="en-GB"/>
              </w:rPr>
            </w:pPr>
            <w:proofErr w:type="spellStart"/>
            <w:r w:rsidRPr="00061A5F">
              <w:rPr>
                <w:rFonts w:ascii="Times New Roman" w:eastAsia="Times New Roman" w:hAnsi="Times New Roman"/>
                <w:lang w:eastAsia="en-GB"/>
              </w:rPr>
              <w:t>weakCBA</w:t>
            </w:r>
            <w:proofErr w:type="spellEnd"/>
          </w:p>
        </w:tc>
        <w:tc>
          <w:tcPr>
            <w:cnfStyle w:val="000010000000" w:firstRow="0" w:lastRow="0" w:firstColumn="0" w:lastColumn="0" w:oddVBand="1" w:evenVBand="0" w:oddHBand="0" w:evenHBand="0" w:firstRowFirstColumn="0" w:firstRowLastColumn="0" w:lastRowFirstColumn="0" w:lastRowLastColumn="0"/>
            <w:tcW w:w="2551" w:type="dxa"/>
            <w:vAlign w:val="bottom"/>
          </w:tcPr>
          <w:p w14:paraId="592D34D2" w14:textId="77777777" w:rsidR="004F1DA2" w:rsidRPr="00061A5F" w:rsidRDefault="004F1DA2" w:rsidP="004F1DA2">
            <w:pPr>
              <w:jc w:val="center"/>
              <w:rPr>
                <w:rFonts w:ascii="Times New Roman" w:hAnsi="Times New Roman"/>
              </w:rPr>
            </w:pPr>
            <w:r w:rsidRPr="00061A5F">
              <w:rPr>
                <w:rFonts w:ascii="Times New Roman" w:hAnsi="Times New Roman"/>
              </w:rPr>
              <w:t>-0.0351</w:t>
            </w: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3D5C0B9E" w14:textId="77777777" w:rsidR="004F1DA2" w:rsidRPr="00061A5F" w:rsidRDefault="004F1DA2" w:rsidP="004F1DA2">
            <w:pPr>
              <w:jc w:val="center"/>
              <w:rPr>
                <w:rFonts w:ascii="Times New Roman" w:hAnsi="Times New Roman"/>
                <w:b w:val="0"/>
              </w:rPr>
            </w:pPr>
            <w:r w:rsidRPr="00061A5F">
              <w:rPr>
                <w:rFonts w:ascii="Times New Roman" w:hAnsi="Times New Roman"/>
                <w:b w:val="0"/>
              </w:rPr>
              <w:t>-0.0279</w:t>
            </w:r>
          </w:p>
        </w:tc>
      </w:tr>
      <w:tr w:rsidR="004F1DA2" w:rsidRPr="00061A5F" w14:paraId="5501CA08" w14:textId="77777777" w:rsidTr="00CD34D9">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B46F2A2" w14:textId="3F7BE613" w:rsidR="004F1DA2" w:rsidRPr="00061A5F" w:rsidRDefault="004F1DA2" w:rsidP="004F1DA2">
            <w:pPr>
              <w:spacing w:line="276" w:lineRule="auto"/>
              <w:jc w:val="both"/>
              <w:rPr>
                <w:rFonts w:ascii="Times New Roman" w:eastAsia="Times New Roman" w:hAnsi="Times New Roman"/>
                <w:lang w:eastAsia="en-GB"/>
              </w:rPr>
            </w:pPr>
            <w:r w:rsidRPr="00061A5F">
              <w:rPr>
                <w:rFonts w:ascii="Times New Roman" w:eastAsia="Times New Roman" w:hAnsi="Times New Roman"/>
                <w:b w:val="0"/>
                <w:bCs w:val="0"/>
                <w:lang w:eastAsia="en-GB"/>
              </w:rPr>
              <w:t>“Weak” currency board arrangement</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bottom"/>
          </w:tcPr>
          <w:p w14:paraId="2BD6FF3A" w14:textId="77777777" w:rsidR="004F1DA2" w:rsidRPr="00061A5F" w:rsidRDefault="004F1DA2" w:rsidP="004F1DA2">
            <w:pPr>
              <w:jc w:val="center"/>
              <w:rPr>
                <w:rFonts w:ascii="Times New Roman" w:hAnsi="Times New Roman"/>
              </w:rPr>
            </w:pPr>
            <w:r w:rsidRPr="00061A5F">
              <w:rPr>
                <w:rFonts w:ascii="Times New Roman" w:hAnsi="Times New Roman"/>
              </w:rPr>
              <w:t>(0.0385)</w:t>
            </w: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0B8A5594" w14:textId="77777777" w:rsidR="004F1DA2" w:rsidRPr="00061A5F" w:rsidRDefault="004F1DA2" w:rsidP="004F1DA2">
            <w:pPr>
              <w:jc w:val="center"/>
              <w:rPr>
                <w:rFonts w:ascii="Times New Roman" w:hAnsi="Times New Roman"/>
                <w:b w:val="0"/>
              </w:rPr>
            </w:pPr>
            <w:r w:rsidRPr="00061A5F">
              <w:rPr>
                <w:rFonts w:ascii="Times New Roman" w:hAnsi="Times New Roman"/>
                <w:b w:val="0"/>
              </w:rPr>
              <w:t>(0.0461)</w:t>
            </w:r>
          </w:p>
        </w:tc>
      </w:tr>
      <w:tr w:rsidR="004F1DA2" w:rsidRPr="00061A5F" w14:paraId="08517EAD" w14:textId="77777777" w:rsidTr="00CD34D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0B088BF" w14:textId="77777777" w:rsidR="004F1DA2" w:rsidRPr="00061A5F" w:rsidRDefault="004F1DA2" w:rsidP="004F1DA2">
            <w:pPr>
              <w:spacing w:line="276" w:lineRule="auto"/>
              <w:jc w:val="both"/>
              <w:rPr>
                <w:rFonts w:ascii="Times New Roman" w:eastAsia="Times New Roman" w:hAnsi="Times New Roman"/>
                <w:lang w:eastAsia="en-GB"/>
              </w:rPr>
            </w:pPr>
            <w:r w:rsidRPr="00061A5F">
              <w:rPr>
                <w:rFonts w:ascii="Times New Roman" w:eastAsia="Times New Roman" w:hAnsi="Times New Roman"/>
                <w:lang w:eastAsia="en-GB"/>
              </w:rPr>
              <w:t>GDPG</w:t>
            </w:r>
          </w:p>
        </w:tc>
        <w:tc>
          <w:tcPr>
            <w:cnfStyle w:val="000010000000" w:firstRow="0" w:lastRow="0" w:firstColumn="0" w:lastColumn="0" w:oddVBand="1" w:evenVBand="0" w:oddHBand="0" w:evenHBand="0" w:firstRowFirstColumn="0" w:firstRowLastColumn="0" w:lastRowFirstColumn="0" w:lastRowLastColumn="0"/>
            <w:tcW w:w="2551" w:type="dxa"/>
            <w:vAlign w:val="bottom"/>
          </w:tcPr>
          <w:p w14:paraId="4F7ADA2F" w14:textId="77777777" w:rsidR="004F1DA2" w:rsidRPr="00061A5F" w:rsidRDefault="004F1DA2" w:rsidP="004F1DA2">
            <w:pPr>
              <w:jc w:val="center"/>
              <w:rPr>
                <w:rFonts w:ascii="Times New Roman" w:hAnsi="Times New Roman"/>
              </w:rPr>
            </w:pPr>
            <w:r w:rsidRPr="00061A5F">
              <w:rPr>
                <w:rFonts w:ascii="Times New Roman" w:hAnsi="Times New Roman"/>
              </w:rPr>
              <w:t>-0.00440</w:t>
            </w: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240253B1" w14:textId="77777777" w:rsidR="004F1DA2" w:rsidRPr="00061A5F" w:rsidRDefault="004F1DA2" w:rsidP="004F1DA2">
            <w:pPr>
              <w:jc w:val="center"/>
              <w:rPr>
                <w:rFonts w:ascii="Times New Roman" w:hAnsi="Times New Roman"/>
                <w:b w:val="0"/>
              </w:rPr>
            </w:pPr>
            <w:r w:rsidRPr="00061A5F">
              <w:rPr>
                <w:rFonts w:ascii="Times New Roman" w:hAnsi="Times New Roman"/>
                <w:b w:val="0"/>
              </w:rPr>
              <w:t>-0.00438</w:t>
            </w:r>
          </w:p>
        </w:tc>
      </w:tr>
      <w:tr w:rsidR="004F1DA2" w:rsidRPr="00061A5F" w14:paraId="7968F8E7" w14:textId="77777777" w:rsidTr="00CD34D9">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975705D" w14:textId="77777777" w:rsidR="004F1DA2" w:rsidRPr="00061A5F" w:rsidRDefault="004F1DA2" w:rsidP="004F1DA2">
            <w:pPr>
              <w:spacing w:line="276" w:lineRule="auto"/>
              <w:jc w:val="both"/>
              <w:rPr>
                <w:rFonts w:ascii="Times New Roman" w:eastAsia="Times New Roman" w:hAnsi="Times New Roman"/>
                <w:lang w:eastAsia="en-GB"/>
              </w:rPr>
            </w:pPr>
            <w:r w:rsidRPr="00061A5F">
              <w:rPr>
                <w:rFonts w:ascii="Times New Roman" w:eastAsia="Times New Roman" w:hAnsi="Times New Roman"/>
                <w:b w:val="0"/>
                <w:lang w:eastAsia="en-GB"/>
              </w:rPr>
              <w:t>GPD growth</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bottom"/>
          </w:tcPr>
          <w:p w14:paraId="69647E7E" w14:textId="77777777" w:rsidR="004F1DA2" w:rsidRPr="00061A5F" w:rsidRDefault="004F1DA2" w:rsidP="004F1DA2">
            <w:pPr>
              <w:jc w:val="center"/>
              <w:rPr>
                <w:rFonts w:ascii="Times New Roman" w:hAnsi="Times New Roman"/>
              </w:rPr>
            </w:pPr>
            <w:r w:rsidRPr="00061A5F">
              <w:rPr>
                <w:rFonts w:ascii="Times New Roman" w:hAnsi="Times New Roman"/>
              </w:rPr>
              <w:t>(0.00345)</w:t>
            </w: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21C40E65" w14:textId="77777777" w:rsidR="004F1DA2" w:rsidRPr="00061A5F" w:rsidRDefault="004F1DA2" w:rsidP="004F1DA2">
            <w:pPr>
              <w:jc w:val="center"/>
              <w:rPr>
                <w:rFonts w:ascii="Times New Roman" w:hAnsi="Times New Roman"/>
                <w:b w:val="0"/>
              </w:rPr>
            </w:pPr>
            <w:r w:rsidRPr="00061A5F">
              <w:rPr>
                <w:rFonts w:ascii="Times New Roman" w:hAnsi="Times New Roman"/>
                <w:b w:val="0"/>
              </w:rPr>
              <w:t>(0.00351)</w:t>
            </w:r>
          </w:p>
        </w:tc>
      </w:tr>
      <w:tr w:rsidR="004F1DA2" w:rsidRPr="00061A5F" w14:paraId="55109AE8" w14:textId="77777777" w:rsidTr="00CD34D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B21A94F" w14:textId="77777777" w:rsidR="004F1DA2" w:rsidRPr="00061A5F" w:rsidRDefault="004F1DA2" w:rsidP="004F1DA2">
            <w:pPr>
              <w:spacing w:line="276" w:lineRule="auto"/>
              <w:jc w:val="both"/>
              <w:rPr>
                <w:rFonts w:ascii="Times New Roman" w:eastAsia="Times New Roman" w:hAnsi="Times New Roman"/>
                <w:lang w:eastAsia="en-GB"/>
              </w:rPr>
            </w:pPr>
            <w:r w:rsidRPr="00061A5F">
              <w:rPr>
                <w:rFonts w:ascii="Times New Roman" w:eastAsia="Times New Roman" w:hAnsi="Times New Roman"/>
                <w:lang w:eastAsia="en-GB"/>
              </w:rPr>
              <w:t>MSG</w:t>
            </w:r>
          </w:p>
        </w:tc>
        <w:tc>
          <w:tcPr>
            <w:cnfStyle w:val="000010000000" w:firstRow="0" w:lastRow="0" w:firstColumn="0" w:lastColumn="0" w:oddVBand="1" w:evenVBand="0" w:oddHBand="0" w:evenHBand="0" w:firstRowFirstColumn="0" w:firstRowLastColumn="0" w:lastRowFirstColumn="0" w:lastRowLastColumn="0"/>
            <w:tcW w:w="2551" w:type="dxa"/>
            <w:vAlign w:val="bottom"/>
          </w:tcPr>
          <w:p w14:paraId="65690B0C" w14:textId="5F1A2295" w:rsidR="004F1DA2" w:rsidRPr="00061A5F" w:rsidRDefault="004F1DA2" w:rsidP="004F1DA2">
            <w:pPr>
              <w:jc w:val="center"/>
              <w:rPr>
                <w:rFonts w:ascii="Times New Roman" w:hAnsi="Times New Roman"/>
              </w:rPr>
            </w:pPr>
            <w:r w:rsidRPr="00061A5F">
              <w:rPr>
                <w:rFonts w:ascii="Times New Roman" w:hAnsi="Times New Roman"/>
              </w:rPr>
              <w:t>0.00515***</w:t>
            </w: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7FB16F87" w14:textId="092E2E41" w:rsidR="004F1DA2" w:rsidRPr="00061A5F" w:rsidRDefault="004F1DA2" w:rsidP="004F1DA2">
            <w:pPr>
              <w:jc w:val="center"/>
              <w:rPr>
                <w:rFonts w:ascii="Times New Roman" w:hAnsi="Times New Roman"/>
                <w:b w:val="0"/>
              </w:rPr>
            </w:pPr>
            <w:r w:rsidRPr="00061A5F">
              <w:rPr>
                <w:rFonts w:ascii="Times New Roman" w:hAnsi="Times New Roman"/>
                <w:b w:val="0"/>
              </w:rPr>
              <w:t>0.00473***</w:t>
            </w:r>
          </w:p>
        </w:tc>
      </w:tr>
      <w:tr w:rsidR="004F1DA2" w:rsidRPr="00061A5F" w14:paraId="1C06F3C4" w14:textId="77777777" w:rsidTr="00CD34D9">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913A2B3" w14:textId="77777777" w:rsidR="004F1DA2" w:rsidRPr="00061A5F" w:rsidRDefault="004F1DA2" w:rsidP="004F1DA2">
            <w:pPr>
              <w:spacing w:line="276" w:lineRule="auto"/>
              <w:jc w:val="both"/>
              <w:rPr>
                <w:rFonts w:ascii="Times New Roman" w:eastAsia="Times New Roman" w:hAnsi="Times New Roman"/>
                <w:lang w:eastAsia="en-GB"/>
              </w:rPr>
            </w:pPr>
            <w:r w:rsidRPr="00061A5F">
              <w:rPr>
                <w:rFonts w:ascii="Times New Roman" w:eastAsia="Times New Roman" w:hAnsi="Times New Roman"/>
                <w:b w:val="0"/>
                <w:lang w:eastAsia="en-GB"/>
              </w:rPr>
              <w:t>Money supply growth</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bottom"/>
          </w:tcPr>
          <w:p w14:paraId="0155A6DD" w14:textId="77777777" w:rsidR="004F1DA2" w:rsidRPr="00061A5F" w:rsidRDefault="004F1DA2" w:rsidP="004F1DA2">
            <w:pPr>
              <w:jc w:val="center"/>
              <w:rPr>
                <w:rFonts w:ascii="Times New Roman" w:hAnsi="Times New Roman"/>
              </w:rPr>
            </w:pPr>
            <w:r w:rsidRPr="00061A5F">
              <w:rPr>
                <w:rFonts w:ascii="Times New Roman" w:hAnsi="Times New Roman"/>
              </w:rPr>
              <w:t>(0.00132)</w:t>
            </w: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6BA7B63B" w14:textId="77777777" w:rsidR="004F1DA2" w:rsidRPr="00061A5F" w:rsidRDefault="004F1DA2" w:rsidP="004F1DA2">
            <w:pPr>
              <w:jc w:val="center"/>
              <w:rPr>
                <w:rFonts w:ascii="Times New Roman" w:hAnsi="Times New Roman"/>
                <w:b w:val="0"/>
              </w:rPr>
            </w:pPr>
            <w:r w:rsidRPr="00061A5F">
              <w:rPr>
                <w:rFonts w:ascii="Times New Roman" w:hAnsi="Times New Roman"/>
                <w:b w:val="0"/>
              </w:rPr>
              <w:t>(0.00116)</w:t>
            </w:r>
          </w:p>
        </w:tc>
      </w:tr>
      <w:tr w:rsidR="004F1DA2" w:rsidRPr="00061A5F" w14:paraId="3F4036FC" w14:textId="77777777" w:rsidTr="00CD34D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1C26345" w14:textId="77777777" w:rsidR="004F1DA2" w:rsidRPr="00061A5F" w:rsidRDefault="004F1DA2" w:rsidP="004F1DA2">
            <w:pPr>
              <w:spacing w:line="276" w:lineRule="auto"/>
              <w:jc w:val="both"/>
              <w:rPr>
                <w:rFonts w:ascii="Times New Roman" w:eastAsia="Times New Roman" w:hAnsi="Times New Roman"/>
                <w:lang w:eastAsia="en-GB"/>
              </w:rPr>
            </w:pPr>
            <w:r w:rsidRPr="00061A5F">
              <w:rPr>
                <w:rFonts w:ascii="Times New Roman" w:eastAsia="Times New Roman" w:hAnsi="Times New Roman"/>
                <w:lang w:eastAsia="en-GB"/>
              </w:rPr>
              <w:t>FB</w:t>
            </w:r>
          </w:p>
        </w:tc>
        <w:tc>
          <w:tcPr>
            <w:cnfStyle w:val="000010000000" w:firstRow="0" w:lastRow="0" w:firstColumn="0" w:lastColumn="0" w:oddVBand="1" w:evenVBand="0" w:oddHBand="0" w:evenHBand="0" w:firstRowFirstColumn="0" w:firstRowLastColumn="0" w:lastRowFirstColumn="0" w:lastRowLastColumn="0"/>
            <w:tcW w:w="2551" w:type="dxa"/>
            <w:vAlign w:val="bottom"/>
          </w:tcPr>
          <w:p w14:paraId="29672955" w14:textId="77777777" w:rsidR="004F1DA2" w:rsidRPr="00061A5F" w:rsidRDefault="004F1DA2" w:rsidP="004F1DA2">
            <w:pPr>
              <w:jc w:val="center"/>
              <w:rPr>
                <w:rFonts w:ascii="Times New Roman" w:hAnsi="Times New Roman"/>
              </w:rPr>
            </w:pPr>
            <w:r w:rsidRPr="00061A5F">
              <w:rPr>
                <w:rFonts w:ascii="Times New Roman" w:hAnsi="Times New Roman"/>
              </w:rPr>
              <w:t>0.00653</w:t>
            </w: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7D9B05F3" w14:textId="77777777" w:rsidR="004F1DA2" w:rsidRPr="00061A5F" w:rsidRDefault="004F1DA2" w:rsidP="004F1DA2">
            <w:pPr>
              <w:jc w:val="center"/>
              <w:rPr>
                <w:rFonts w:ascii="Times New Roman" w:hAnsi="Times New Roman"/>
                <w:b w:val="0"/>
              </w:rPr>
            </w:pPr>
            <w:r w:rsidRPr="00061A5F">
              <w:rPr>
                <w:rFonts w:ascii="Times New Roman" w:hAnsi="Times New Roman"/>
                <w:b w:val="0"/>
              </w:rPr>
              <w:t>0.00495</w:t>
            </w:r>
          </w:p>
        </w:tc>
      </w:tr>
      <w:tr w:rsidR="004F1DA2" w:rsidRPr="00061A5F" w14:paraId="4EC482DC" w14:textId="77777777" w:rsidTr="00CD34D9">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D8A3731" w14:textId="77777777" w:rsidR="004F1DA2" w:rsidRPr="00061A5F" w:rsidRDefault="004F1DA2" w:rsidP="004F1DA2">
            <w:pPr>
              <w:spacing w:line="276" w:lineRule="auto"/>
              <w:jc w:val="both"/>
              <w:rPr>
                <w:rFonts w:ascii="Times New Roman" w:eastAsia="Times New Roman" w:hAnsi="Times New Roman"/>
                <w:lang w:eastAsia="en-GB"/>
              </w:rPr>
            </w:pPr>
            <w:r w:rsidRPr="00061A5F">
              <w:rPr>
                <w:rFonts w:ascii="Times New Roman" w:eastAsia="Times New Roman" w:hAnsi="Times New Roman"/>
                <w:b w:val="0"/>
                <w:lang w:eastAsia="en-GB"/>
              </w:rPr>
              <w:t>Fiscal balance</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bottom"/>
          </w:tcPr>
          <w:p w14:paraId="5A741DE1" w14:textId="77777777" w:rsidR="004F1DA2" w:rsidRPr="00061A5F" w:rsidRDefault="004F1DA2" w:rsidP="004F1DA2">
            <w:pPr>
              <w:jc w:val="center"/>
              <w:rPr>
                <w:rFonts w:ascii="Times New Roman" w:hAnsi="Times New Roman"/>
              </w:rPr>
            </w:pPr>
            <w:r w:rsidRPr="00061A5F">
              <w:rPr>
                <w:rFonts w:ascii="Times New Roman" w:hAnsi="Times New Roman"/>
              </w:rPr>
              <w:t>(0.00463)</w:t>
            </w: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462D312E" w14:textId="77777777" w:rsidR="004F1DA2" w:rsidRPr="00061A5F" w:rsidRDefault="004F1DA2" w:rsidP="004F1DA2">
            <w:pPr>
              <w:jc w:val="center"/>
              <w:rPr>
                <w:rFonts w:ascii="Times New Roman" w:hAnsi="Times New Roman"/>
                <w:b w:val="0"/>
              </w:rPr>
            </w:pPr>
            <w:r w:rsidRPr="00061A5F">
              <w:rPr>
                <w:rFonts w:ascii="Times New Roman" w:hAnsi="Times New Roman"/>
                <w:b w:val="0"/>
              </w:rPr>
              <w:t>(0.00370)</w:t>
            </w:r>
          </w:p>
        </w:tc>
      </w:tr>
      <w:tr w:rsidR="004F1DA2" w:rsidRPr="00061A5F" w14:paraId="784C6164" w14:textId="77777777" w:rsidTr="00CD34D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3DD00E5" w14:textId="77777777" w:rsidR="004F1DA2" w:rsidRPr="00061A5F" w:rsidRDefault="004F1DA2" w:rsidP="004F1DA2">
            <w:pPr>
              <w:spacing w:line="276" w:lineRule="auto"/>
              <w:jc w:val="both"/>
              <w:rPr>
                <w:rFonts w:ascii="Times New Roman" w:eastAsia="Times New Roman" w:hAnsi="Times New Roman"/>
                <w:lang w:eastAsia="en-GB"/>
              </w:rPr>
            </w:pPr>
            <w:r w:rsidRPr="00061A5F">
              <w:rPr>
                <w:rFonts w:ascii="Times New Roman" w:eastAsia="Times New Roman" w:hAnsi="Times New Roman"/>
                <w:lang w:eastAsia="en-GB"/>
              </w:rPr>
              <w:t>OPEN</w:t>
            </w:r>
          </w:p>
        </w:tc>
        <w:tc>
          <w:tcPr>
            <w:cnfStyle w:val="000010000000" w:firstRow="0" w:lastRow="0" w:firstColumn="0" w:lastColumn="0" w:oddVBand="1" w:evenVBand="0" w:oddHBand="0" w:evenHBand="0" w:firstRowFirstColumn="0" w:firstRowLastColumn="0" w:lastRowFirstColumn="0" w:lastRowLastColumn="0"/>
            <w:tcW w:w="2551" w:type="dxa"/>
            <w:vAlign w:val="bottom"/>
          </w:tcPr>
          <w:p w14:paraId="30783C44" w14:textId="77777777" w:rsidR="004F1DA2" w:rsidRPr="00061A5F" w:rsidRDefault="004F1DA2" w:rsidP="004F1DA2">
            <w:pPr>
              <w:jc w:val="center"/>
              <w:rPr>
                <w:rFonts w:ascii="Times New Roman" w:hAnsi="Times New Roman"/>
              </w:rPr>
            </w:pPr>
            <w:r w:rsidRPr="00061A5F">
              <w:rPr>
                <w:rFonts w:ascii="Times New Roman" w:hAnsi="Times New Roman"/>
                <w:shd w:val="clear" w:color="auto" w:fill="F2F2F2" w:themeFill="background1" w:themeFillShade="F2"/>
              </w:rPr>
              <w:t>0</w:t>
            </w:r>
            <w:r w:rsidRPr="00061A5F">
              <w:rPr>
                <w:rFonts w:ascii="Times New Roman" w:hAnsi="Times New Roman"/>
              </w:rPr>
              <w:t>.000944</w:t>
            </w: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722E6101" w14:textId="77777777" w:rsidR="004F1DA2" w:rsidRPr="00061A5F" w:rsidRDefault="004F1DA2" w:rsidP="004F1DA2">
            <w:pPr>
              <w:jc w:val="center"/>
              <w:rPr>
                <w:rFonts w:ascii="Times New Roman" w:hAnsi="Times New Roman"/>
                <w:b w:val="0"/>
              </w:rPr>
            </w:pPr>
            <w:r w:rsidRPr="00061A5F">
              <w:rPr>
                <w:rFonts w:ascii="Times New Roman" w:hAnsi="Times New Roman"/>
                <w:b w:val="0"/>
              </w:rPr>
              <w:t>0.000978</w:t>
            </w:r>
          </w:p>
        </w:tc>
      </w:tr>
      <w:tr w:rsidR="004F1DA2" w:rsidRPr="00061A5F" w14:paraId="2FB908E6" w14:textId="77777777" w:rsidTr="00CD34D9">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5412740" w14:textId="77777777" w:rsidR="004F1DA2" w:rsidRPr="00061A5F" w:rsidRDefault="004F1DA2" w:rsidP="004F1DA2">
            <w:pPr>
              <w:spacing w:line="276" w:lineRule="auto"/>
              <w:jc w:val="both"/>
              <w:rPr>
                <w:rFonts w:ascii="Times New Roman" w:eastAsia="Times New Roman" w:hAnsi="Times New Roman"/>
                <w:lang w:eastAsia="en-GB"/>
              </w:rPr>
            </w:pPr>
            <w:r w:rsidRPr="00061A5F">
              <w:rPr>
                <w:rFonts w:ascii="Times New Roman" w:eastAsia="Times New Roman" w:hAnsi="Times New Roman"/>
                <w:b w:val="0"/>
                <w:lang w:eastAsia="en-GB"/>
              </w:rPr>
              <w:t xml:space="preserve">Openness </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bottom"/>
          </w:tcPr>
          <w:p w14:paraId="4F8B87B5" w14:textId="77777777" w:rsidR="004F1DA2" w:rsidRPr="00061A5F" w:rsidRDefault="004F1DA2" w:rsidP="004F1DA2">
            <w:pPr>
              <w:jc w:val="center"/>
              <w:rPr>
                <w:rFonts w:ascii="Times New Roman" w:hAnsi="Times New Roman"/>
              </w:rPr>
            </w:pPr>
            <w:r w:rsidRPr="00061A5F">
              <w:rPr>
                <w:rFonts w:ascii="Times New Roman" w:hAnsi="Times New Roman"/>
              </w:rPr>
              <w:t>(0.000708)</w:t>
            </w: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1A0793AD" w14:textId="77777777" w:rsidR="004F1DA2" w:rsidRPr="00061A5F" w:rsidRDefault="004F1DA2" w:rsidP="004F1DA2">
            <w:pPr>
              <w:jc w:val="center"/>
              <w:rPr>
                <w:rFonts w:ascii="Times New Roman" w:hAnsi="Times New Roman"/>
                <w:b w:val="0"/>
              </w:rPr>
            </w:pPr>
            <w:r w:rsidRPr="00061A5F">
              <w:rPr>
                <w:rFonts w:ascii="Times New Roman" w:hAnsi="Times New Roman"/>
                <w:b w:val="0"/>
              </w:rPr>
              <w:t>(0.000685)</w:t>
            </w:r>
          </w:p>
        </w:tc>
      </w:tr>
      <w:tr w:rsidR="004F1DA2" w:rsidRPr="00061A5F" w14:paraId="6AD62DE1" w14:textId="77777777" w:rsidTr="00CD34D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8972A1B" w14:textId="77777777" w:rsidR="004F1DA2" w:rsidRPr="00061A5F" w:rsidRDefault="004F1DA2" w:rsidP="004F1DA2">
            <w:pPr>
              <w:spacing w:line="276" w:lineRule="auto"/>
              <w:jc w:val="both"/>
              <w:rPr>
                <w:rFonts w:ascii="Times New Roman" w:eastAsia="Times New Roman" w:hAnsi="Times New Roman"/>
                <w:lang w:eastAsia="en-GB"/>
              </w:rPr>
            </w:pPr>
            <w:r w:rsidRPr="00061A5F">
              <w:rPr>
                <w:rFonts w:ascii="Times New Roman" w:eastAsia="Times New Roman" w:hAnsi="Times New Roman"/>
                <w:lang w:eastAsia="en-GB"/>
              </w:rPr>
              <w:t>TOT</w:t>
            </w:r>
          </w:p>
        </w:tc>
        <w:tc>
          <w:tcPr>
            <w:cnfStyle w:val="000010000000" w:firstRow="0" w:lastRow="0" w:firstColumn="0" w:lastColumn="0" w:oddVBand="1" w:evenVBand="0" w:oddHBand="0" w:evenHBand="0" w:firstRowFirstColumn="0" w:firstRowLastColumn="0" w:lastRowFirstColumn="0" w:lastRowLastColumn="0"/>
            <w:tcW w:w="2551" w:type="dxa"/>
            <w:vAlign w:val="bottom"/>
          </w:tcPr>
          <w:p w14:paraId="0A3743C0" w14:textId="77777777" w:rsidR="004F1DA2" w:rsidRPr="00061A5F" w:rsidRDefault="004F1DA2" w:rsidP="004F1DA2">
            <w:pPr>
              <w:jc w:val="center"/>
              <w:rPr>
                <w:rFonts w:ascii="Times New Roman" w:hAnsi="Times New Roman"/>
              </w:rPr>
            </w:pPr>
            <w:r w:rsidRPr="00061A5F">
              <w:rPr>
                <w:rFonts w:ascii="Times New Roman" w:hAnsi="Times New Roman"/>
              </w:rPr>
              <w:t>-0.000492</w:t>
            </w: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6F675935" w14:textId="77777777" w:rsidR="004F1DA2" w:rsidRPr="00061A5F" w:rsidRDefault="004F1DA2" w:rsidP="004F1DA2">
            <w:pPr>
              <w:jc w:val="center"/>
              <w:rPr>
                <w:rFonts w:ascii="Times New Roman" w:hAnsi="Times New Roman"/>
                <w:b w:val="0"/>
              </w:rPr>
            </w:pPr>
            <w:r w:rsidRPr="00061A5F">
              <w:rPr>
                <w:rFonts w:ascii="Times New Roman" w:hAnsi="Times New Roman"/>
                <w:b w:val="0"/>
              </w:rPr>
              <w:t>-0.000439</w:t>
            </w:r>
          </w:p>
        </w:tc>
      </w:tr>
      <w:tr w:rsidR="004F1DA2" w:rsidRPr="00061A5F" w14:paraId="00EC4953" w14:textId="77777777" w:rsidTr="00CD34D9">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5AAF2AC" w14:textId="77777777" w:rsidR="004F1DA2" w:rsidRPr="00061A5F" w:rsidRDefault="004F1DA2" w:rsidP="004F1DA2">
            <w:pPr>
              <w:spacing w:line="276" w:lineRule="auto"/>
              <w:jc w:val="both"/>
              <w:rPr>
                <w:rFonts w:ascii="Times New Roman" w:eastAsia="Times New Roman" w:hAnsi="Times New Roman"/>
                <w:lang w:eastAsia="en-GB"/>
              </w:rPr>
            </w:pPr>
            <w:r w:rsidRPr="00061A5F">
              <w:rPr>
                <w:rFonts w:ascii="Times New Roman" w:eastAsia="Times New Roman" w:hAnsi="Times New Roman"/>
                <w:b w:val="0"/>
                <w:lang w:eastAsia="en-GB"/>
              </w:rPr>
              <w:t>Terms of trade</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bottom"/>
          </w:tcPr>
          <w:p w14:paraId="7A2C738B" w14:textId="77777777" w:rsidR="004F1DA2" w:rsidRPr="00061A5F" w:rsidRDefault="004F1DA2" w:rsidP="004F1DA2">
            <w:pPr>
              <w:jc w:val="center"/>
              <w:rPr>
                <w:rFonts w:ascii="Times New Roman" w:hAnsi="Times New Roman"/>
              </w:rPr>
            </w:pPr>
            <w:r w:rsidRPr="00061A5F">
              <w:rPr>
                <w:rFonts w:ascii="Times New Roman" w:hAnsi="Times New Roman"/>
              </w:rPr>
              <w:t>(0.000685)</w:t>
            </w: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043BB06F" w14:textId="77777777" w:rsidR="004F1DA2" w:rsidRPr="00061A5F" w:rsidRDefault="004F1DA2" w:rsidP="004F1DA2">
            <w:pPr>
              <w:jc w:val="center"/>
              <w:rPr>
                <w:rFonts w:ascii="Times New Roman" w:hAnsi="Times New Roman"/>
                <w:b w:val="0"/>
              </w:rPr>
            </w:pPr>
            <w:r w:rsidRPr="00061A5F">
              <w:rPr>
                <w:rFonts w:ascii="Times New Roman" w:hAnsi="Times New Roman"/>
                <w:b w:val="0"/>
              </w:rPr>
              <w:t>(0.000645)</w:t>
            </w:r>
          </w:p>
        </w:tc>
      </w:tr>
      <w:tr w:rsidR="004F1DA2" w:rsidRPr="00061A5F" w14:paraId="1CCC65F4" w14:textId="77777777" w:rsidTr="00CD34D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3C5B512" w14:textId="77777777" w:rsidR="004F1DA2" w:rsidRPr="00061A5F" w:rsidRDefault="004F1DA2" w:rsidP="004F1DA2">
            <w:pPr>
              <w:spacing w:line="276" w:lineRule="auto"/>
              <w:jc w:val="both"/>
              <w:rPr>
                <w:rFonts w:ascii="Times New Roman" w:eastAsia="Times New Roman" w:hAnsi="Times New Roman"/>
                <w:lang w:eastAsia="en-GB"/>
              </w:rPr>
            </w:pPr>
            <w:r w:rsidRPr="00061A5F">
              <w:rPr>
                <w:rFonts w:ascii="Times New Roman" w:eastAsia="Times New Roman" w:hAnsi="Times New Roman"/>
                <w:lang w:eastAsia="en-GB"/>
              </w:rPr>
              <w:t>EBRDI</w:t>
            </w:r>
          </w:p>
        </w:tc>
        <w:tc>
          <w:tcPr>
            <w:cnfStyle w:val="000010000000" w:firstRow="0" w:lastRow="0" w:firstColumn="0" w:lastColumn="0" w:oddVBand="1" w:evenVBand="0" w:oddHBand="0" w:evenHBand="0" w:firstRowFirstColumn="0" w:firstRowLastColumn="0" w:lastRowFirstColumn="0" w:lastRowLastColumn="0"/>
            <w:tcW w:w="2551" w:type="dxa"/>
            <w:vAlign w:val="bottom"/>
          </w:tcPr>
          <w:p w14:paraId="52C024B1" w14:textId="1344BC6C" w:rsidR="004F1DA2" w:rsidRPr="00061A5F" w:rsidRDefault="004F1DA2" w:rsidP="004F1DA2">
            <w:pPr>
              <w:jc w:val="center"/>
              <w:rPr>
                <w:rFonts w:ascii="Times New Roman" w:hAnsi="Times New Roman"/>
              </w:rPr>
            </w:pPr>
            <w:r w:rsidRPr="00061A5F">
              <w:rPr>
                <w:rFonts w:ascii="Times New Roman" w:hAnsi="Times New Roman"/>
              </w:rPr>
              <w:t>-0.0468</w:t>
            </w: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02AF5E97" w14:textId="77777777" w:rsidR="004F1DA2" w:rsidRPr="00061A5F" w:rsidRDefault="004F1DA2" w:rsidP="004F1DA2">
            <w:pPr>
              <w:jc w:val="center"/>
              <w:rPr>
                <w:rFonts w:ascii="Times New Roman" w:hAnsi="Times New Roman"/>
                <w:b w:val="0"/>
              </w:rPr>
            </w:pPr>
            <w:r w:rsidRPr="00061A5F">
              <w:rPr>
                <w:rFonts w:ascii="Times New Roman" w:hAnsi="Times New Roman"/>
                <w:b w:val="0"/>
              </w:rPr>
              <w:t>-0.0465</w:t>
            </w:r>
          </w:p>
        </w:tc>
      </w:tr>
      <w:tr w:rsidR="004F1DA2" w:rsidRPr="00061A5F" w14:paraId="7322B98A" w14:textId="77777777" w:rsidTr="00CD34D9">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87003BA" w14:textId="77777777" w:rsidR="004F1DA2" w:rsidRPr="00061A5F" w:rsidRDefault="004F1DA2" w:rsidP="004F1DA2">
            <w:pPr>
              <w:spacing w:line="276" w:lineRule="auto"/>
              <w:jc w:val="both"/>
              <w:rPr>
                <w:rFonts w:ascii="Times New Roman" w:eastAsia="Times New Roman" w:hAnsi="Times New Roman"/>
                <w:lang w:eastAsia="en-GB"/>
              </w:rPr>
            </w:pPr>
            <w:r w:rsidRPr="00061A5F">
              <w:rPr>
                <w:rFonts w:ascii="Times New Roman" w:eastAsia="Times New Roman" w:hAnsi="Times New Roman"/>
                <w:b w:val="0"/>
                <w:lang w:eastAsia="en-GB"/>
              </w:rPr>
              <w:t>EBRD indicator</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bottom"/>
          </w:tcPr>
          <w:p w14:paraId="2C4BEF5B" w14:textId="6182D2F6" w:rsidR="004F1DA2" w:rsidRPr="00061A5F" w:rsidRDefault="004F1DA2" w:rsidP="004F1DA2">
            <w:pPr>
              <w:jc w:val="center"/>
              <w:rPr>
                <w:rFonts w:ascii="Times New Roman" w:hAnsi="Times New Roman"/>
              </w:rPr>
            </w:pPr>
            <w:r w:rsidRPr="00061A5F">
              <w:rPr>
                <w:rFonts w:ascii="Times New Roman" w:hAnsi="Times New Roman"/>
              </w:rPr>
              <w:t>(0.0578)</w:t>
            </w: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0928892A" w14:textId="77777777" w:rsidR="004F1DA2" w:rsidRPr="00061A5F" w:rsidRDefault="004F1DA2" w:rsidP="004F1DA2">
            <w:pPr>
              <w:jc w:val="center"/>
              <w:rPr>
                <w:rFonts w:ascii="Times New Roman" w:hAnsi="Times New Roman"/>
                <w:b w:val="0"/>
              </w:rPr>
            </w:pPr>
            <w:r w:rsidRPr="00061A5F">
              <w:rPr>
                <w:rFonts w:ascii="Times New Roman" w:hAnsi="Times New Roman"/>
                <w:b w:val="0"/>
              </w:rPr>
              <w:t>(0.0451)</w:t>
            </w:r>
          </w:p>
        </w:tc>
      </w:tr>
      <w:tr w:rsidR="004F1DA2" w:rsidRPr="00061A5F" w14:paraId="52564F2E" w14:textId="77777777" w:rsidTr="00CD34D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634E68F" w14:textId="77777777" w:rsidR="004F1DA2" w:rsidRPr="00061A5F" w:rsidRDefault="004F1DA2" w:rsidP="004F1DA2">
            <w:pPr>
              <w:spacing w:line="276" w:lineRule="auto"/>
              <w:jc w:val="both"/>
              <w:rPr>
                <w:rFonts w:ascii="Times New Roman" w:eastAsia="Times New Roman" w:hAnsi="Times New Roman"/>
                <w:lang w:eastAsia="en-GB"/>
              </w:rPr>
            </w:pPr>
            <w:r w:rsidRPr="00061A5F">
              <w:rPr>
                <w:rFonts w:ascii="Times New Roman" w:eastAsia="Times New Roman" w:hAnsi="Times New Roman"/>
                <w:lang w:eastAsia="en-GB"/>
              </w:rPr>
              <w:t>CCBI</w:t>
            </w:r>
          </w:p>
        </w:tc>
        <w:tc>
          <w:tcPr>
            <w:cnfStyle w:val="000010000000" w:firstRow="0" w:lastRow="0" w:firstColumn="0" w:lastColumn="0" w:oddVBand="1" w:evenVBand="0" w:oddHBand="0" w:evenHBand="0" w:firstRowFirstColumn="0" w:firstRowLastColumn="0" w:lastRowFirstColumn="0" w:lastRowLastColumn="0"/>
            <w:tcW w:w="2551" w:type="dxa"/>
            <w:vAlign w:val="bottom"/>
          </w:tcPr>
          <w:p w14:paraId="067DC682" w14:textId="72E40C25" w:rsidR="004F1DA2" w:rsidRPr="00061A5F" w:rsidRDefault="004F1DA2" w:rsidP="004F1DA2">
            <w:pPr>
              <w:jc w:val="center"/>
              <w:rPr>
                <w:rFonts w:ascii="Times New Roman" w:hAnsi="Times New Roman"/>
              </w:rPr>
            </w:pPr>
            <w:r w:rsidRPr="00061A5F">
              <w:rPr>
                <w:rFonts w:ascii="Times New Roman" w:hAnsi="Times New Roman"/>
              </w:rPr>
              <w:t>-0.199</w:t>
            </w: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691128C7" w14:textId="77777777" w:rsidR="004F1DA2" w:rsidRPr="00061A5F" w:rsidRDefault="004F1DA2" w:rsidP="004F1DA2">
            <w:pPr>
              <w:jc w:val="center"/>
              <w:rPr>
                <w:rFonts w:ascii="Times New Roman" w:hAnsi="Times New Roman"/>
                <w:b w:val="0"/>
              </w:rPr>
            </w:pPr>
            <w:r w:rsidRPr="00061A5F">
              <w:rPr>
                <w:rFonts w:ascii="Times New Roman" w:hAnsi="Times New Roman"/>
                <w:b w:val="0"/>
              </w:rPr>
              <w:t>-0.228</w:t>
            </w:r>
          </w:p>
        </w:tc>
      </w:tr>
      <w:tr w:rsidR="004F1DA2" w:rsidRPr="00061A5F" w14:paraId="7E86C2D3" w14:textId="77777777" w:rsidTr="00CD34D9">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0A9E81A" w14:textId="331CACEE" w:rsidR="004F1DA2" w:rsidRPr="00061A5F" w:rsidRDefault="004F1DA2" w:rsidP="004F1DA2">
            <w:pPr>
              <w:spacing w:line="276" w:lineRule="auto"/>
              <w:jc w:val="both"/>
              <w:rPr>
                <w:rFonts w:ascii="Times New Roman" w:eastAsia="Times New Roman" w:hAnsi="Times New Roman"/>
                <w:b w:val="0"/>
                <w:bCs w:val="0"/>
                <w:lang w:eastAsia="en-GB"/>
              </w:rPr>
            </w:pPr>
            <w:r w:rsidRPr="00061A5F">
              <w:rPr>
                <w:rFonts w:ascii="Times New Roman" w:eastAsia="Times New Roman" w:hAnsi="Times New Roman"/>
                <w:b w:val="0"/>
                <w:lang w:eastAsia="en-GB"/>
              </w:rPr>
              <w:t>Central bank independence index</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bottom"/>
          </w:tcPr>
          <w:p w14:paraId="0139E978" w14:textId="31B2CD0C" w:rsidR="004F1DA2" w:rsidRPr="00061A5F" w:rsidRDefault="004F1DA2" w:rsidP="004F1DA2">
            <w:pPr>
              <w:jc w:val="center"/>
              <w:rPr>
                <w:rFonts w:ascii="Times New Roman" w:hAnsi="Times New Roman"/>
              </w:rPr>
            </w:pPr>
            <w:r w:rsidRPr="00061A5F">
              <w:rPr>
                <w:rFonts w:ascii="Times New Roman" w:hAnsi="Times New Roman"/>
              </w:rPr>
              <w:t>(0.295)</w:t>
            </w: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0EC389B6" w14:textId="77777777" w:rsidR="004F1DA2" w:rsidRPr="00061A5F" w:rsidRDefault="004F1DA2" w:rsidP="004F1DA2">
            <w:pPr>
              <w:jc w:val="center"/>
              <w:rPr>
                <w:rFonts w:ascii="Times New Roman" w:hAnsi="Times New Roman"/>
                <w:b w:val="0"/>
              </w:rPr>
            </w:pPr>
            <w:r w:rsidRPr="00061A5F">
              <w:rPr>
                <w:rFonts w:ascii="Times New Roman" w:hAnsi="Times New Roman"/>
                <w:b w:val="0"/>
              </w:rPr>
              <w:t>(0.211)</w:t>
            </w:r>
          </w:p>
        </w:tc>
      </w:tr>
      <w:tr w:rsidR="004F1DA2" w:rsidRPr="00061A5F" w14:paraId="56E6443E" w14:textId="77777777" w:rsidTr="00CD34D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2ED0796" w14:textId="77777777" w:rsidR="004F1DA2" w:rsidRPr="00061A5F" w:rsidRDefault="004F1DA2" w:rsidP="004F1DA2">
            <w:pPr>
              <w:spacing w:line="276" w:lineRule="auto"/>
              <w:jc w:val="both"/>
              <w:rPr>
                <w:rFonts w:ascii="Times New Roman" w:eastAsia="Times New Roman" w:hAnsi="Times New Roman"/>
                <w:lang w:eastAsia="en-GB"/>
              </w:rPr>
            </w:pPr>
            <w:r w:rsidRPr="00061A5F">
              <w:rPr>
                <w:rFonts w:ascii="Times New Roman" w:eastAsia="Times New Roman" w:hAnsi="Times New Roman"/>
                <w:lang w:eastAsia="en-GB"/>
              </w:rPr>
              <w:t>VAT</w:t>
            </w:r>
          </w:p>
        </w:tc>
        <w:tc>
          <w:tcPr>
            <w:cnfStyle w:val="000010000000" w:firstRow="0" w:lastRow="0" w:firstColumn="0" w:lastColumn="0" w:oddVBand="1" w:evenVBand="0" w:oddHBand="0" w:evenHBand="0" w:firstRowFirstColumn="0" w:firstRowLastColumn="0" w:lastRowFirstColumn="0" w:lastRowLastColumn="0"/>
            <w:tcW w:w="2551" w:type="dxa"/>
            <w:vAlign w:val="bottom"/>
          </w:tcPr>
          <w:p w14:paraId="2A48C927" w14:textId="33710486" w:rsidR="004F1DA2" w:rsidRPr="00061A5F" w:rsidRDefault="004F1DA2" w:rsidP="004F1DA2">
            <w:pPr>
              <w:jc w:val="center"/>
              <w:rPr>
                <w:rFonts w:ascii="Times New Roman" w:hAnsi="Times New Roman"/>
              </w:rPr>
            </w:pPr>
            <w:r w:rsidRPr="00061A5F">
              <w:rPr>
                <w:rFonts w:ascii="Times New Roman" w:hAnsi="Times New Roman"/>
              </w:rPr>
              <w:t>0.203***</w:t>
            </w: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1DEE37FA" w14:textId="11C7673E" w:rsidR="004F1DA2" w:rsidRPr="00061A5F" w:rsidRDefault="004F1DA2" w:rsidP="004F1DA2">
            <w:pPr>
              <w:jc w:val="center"/>
              <w:rPr>
                <w:rFonts w:ascii="Times New Roman" w:hAnsi="Times New Roman"/>
                <w:b w:val="0"/>
              </w:rPr>
            </w:pPr>
            <w:r w:rsidRPr="00061A5F">
              <w:rPr>
                <w:rFonts w:ascii="Times New Roman" w:hAnsi="Times New Roman"/>
                <w:b w:val="0"/>
              </w:rPr>
              <w:t>0.260***</w:t>
            </w:r>
          </w:p>
        </w:tc>
      </w:tr>
      <w:tr w:rsidR="004F1DA2" w:rsidRPr="00061A5F" w14:paraId="46723CB9" w14:textId="77777777" w:rsidTr="00CD34D9">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AD4D0DE" w14:textId="77777777" w:rsidR="004F1DA2" w:rsidRPr="00061A5F" w:rsidRDefault="004F1DA2" w:rsidP="004F1DA2">
            <w:pPr>
              <w:spacing w:line="276" w:lineRule="auto"/>
              <w:jc w:val="both"/>
              <w:rPr>
                <w:rFonts w:ascii="Times New Roman" w:eastAsia="Times New Roman" w:hAnsi="Times New Roman"/>
                <w:lang w:eastAsia="en-GB"/>
              </w:rPr>
            </w:pPr>
            <w:r w:rsidRPr="00061A5F">
              <w:rPr>
                <w:rFonts w:ascii="Times New Roman" w:eastAsia="Times New Roman" w:hAnsi="Times New Roman"/>
                <w:b w:val="0"/>
                <w:lang w:eastAsia="en-GB"/>
              </w:rPr>
              <w:t>Value added tax</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bottom"/>
          </w:tcPr>
          <w:p w14:paraId="315DC664" w14:textId="29D071D8" w:rsidR="004F1DA2" w:rsidRPr="00061A5F" w:rsidRDefault="004F1DA2" w:rsidP="004F1DA2">
            <w:pPr>
              <w:jc w:val="center"/>
              <w:rPr>
                <w:rFonts w:ascii="Times New Roman" w:hAnsi="Times New Roman"/>
              </w:rPr>
            </w:pPr>
            <w:r w:rsidRPr="00061A5F">
              <w:rPr>
                <w:rFonts w:ascii="Times New Roman" w:hAnsi="Times New Roman"/>
              </w:rPr>
              <w:t>(0.0564)</w:t>
            </w: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4C35C924" w14:textId="77777777" w:rsidR="004F1DA2" w:rsidRPr="00061A5F" w:rsidRDefault="004F1DA2" w:rsidP="004F1DA2">
            <w:pPr>
              <w:jc w:val="center"/>
              <w:rPr>
                <w:rFonts w:ascii="Times New Roman" w:hAnsi="Times New Roman"/>
                <w:b w:val="0"/>
              </w:rPr>
            </w:pPr>
            <w:r w:rsidRPr="00061A5F">
              <w:rPr>
                <w:rFonts w:ascii="Times New Roman" w:hAnsi="Times New Roman"/>
                <w:b w:val="0"/>
              </w:rPr>
              <w:t>(0.0469)</w:t>
            </w:r>
          </w:p>
        </w:tc>
      </w:tr>
      <w:tr w:rsidR="004F1DA2" w:rsidRPr="00061A5F" w14:paraId="2D66528C" w14:textId="77777777" w:rsidTr="00CD34D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7906C76" w14:textId="77777777" w:rsidR="004F1DA2" w:rsidRPr="00061A5F" w:rsidRDefault="004F1DA2" w:rsidP="004F1DA2">
            <w:pPr>
              <w:spacing w:line="276" w:lineRule="auto"/>
              <w:jc w:val="both"/>
              <w:rPr>
                <w:rFonts w:ascii="Times New Roman" w:eastAsia="Times New Roman" w:hAnsi="Times New Roman"/>
                <w:lang w:eastAsia="en-GB"/>
              </w:rPr>
            </w:pPr>
            <w:r w:rsidRPr="00061A5F">
              <w:rPr>
                <w:rFonts w:ascii="Times New Roman" w:eastAsia="Times New Roman" w:hAnsi="Times New Roman"/>
                <w:lang w:eastAsia="en-GB"/>
              </w:rPr>
              <w:t>EU</w:t>
            </w:r>
          </w:p>
        </w:tc>
        <w:tc>
          <w:tcPr>
            <w:cnfStyle w:val="000010000000" w:firstRow="0" w:lastRow="0" w:firstColumn="0" w:lastColumn="0" w:oddVBand="1" w:evenVBand="0" w:oddHBand="0" w:evenHBand="0" w:firstRowFirstColumn="0" w:firstRowLastColumn="0" w:lastRowFirstColumn="0" w:lastRowLastColumn="0"/>
            <w:tcW w:w="2551" w:type="dxa"/>
            <w:vAlign w:val="bottom"/>
          </w:tcPr>
          <w:p w14:paraId="6A9DA9E1" w14:textId="3CAC2769" w:rsidR="004F1DA2" w:rsidRPr="00061A5F" w:rsidRDefault="004F1DA2" w:rsidP="004F1DA2">
            <w:pPr>
              <w:jc w:val="center"/>
              <w:rPr>
                <w:rFonts w:ascii="Times New Roman" w:hAnsi="Times New Roman"/>
              </w:rPr>
            </w:pPr>
            <w:r w:rsidRPr="00061A5F">
              <w:rPr>
                <w:rFonts w:ascii="Times New Roman" w:hAnsi="Times New Roman"/>
              </w:rPr>
              <w:t>0.0209</w:t>
            </w: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1B808B22" w14:textId="77777777" w:rsidR="004F1DA2" w:rsidRPr="00061A5F" w:rsidRDefault="004F1DA2" w:rsidP="004F1DA2">
            <w:pPr>
              <w:jc w:val="center"/>
              <w:rPr>
                <w:rFonts w:ascii="Times New Roman" w:hAnsi="Times New Roman"/>
                <w:b w:val="0"/>
              </w:rPr>
            </w:pPr>
            <w:r w:rsidRPr="00061A5F">
              <w:rPr>
                <w:rFonts w:ascii="Times New Roman" w:hAnsi="Times New Roman"/>
                <w:b w:val="0"/>
              </w:rPr>
              <w:t>0.0198</w:t>
            </w:r>
          </w:p>
        </w:tc>
      </w:tr>
      <w:tr w:rsidR="004F1DA2" w:rsidRPr="00061A5F" w14:paraId="553FD6A2" w14:textId="77777777" w:rsidTr="00CD34D9">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9798B5E" w14:textId="77777777" w:rsidR="004F1DA2" w:rsidRPr="00061A5F" w:rsidRDefault="004F1DA2" w:rsidP="004F1DA2">
            <w:pPr>
              <w:spacing w:line="276" w:lineRule="auto"/>
              <w:jc w:val="both"/>
              <w:rPr>
                <w:rFonts w:ascii="Times New Roman" w:eastAsia="Times New Roman" w:hAnsi="Times New Roman"/>
                <w:lang w:eastAsia="en-GB"/>
              </w:rPr>
            </w:pPr>
            <w:r w:rsidRPr="00061A5F">
              <w:rPr>
                <w:rFonts w:ascii="Times New Roman" w:eastAsia="Times New Roman" w:hAnsi="Times New Roman"/>
                <w:b w:val="0"/>
                <w:lang w:eastAsia="en-GB"/>
              </w:rPr>
              <w:t>European Union</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bottom"/>
          </w:tcPr>
          <w:p w14:paraId="56E46C10" w14:textId="3370CCF9" w:rsidR="004F1DA2" w:rsidRPr="00061A5F" w:rsidRDefault="004F1DA2" w:rsidP="004F1DA2">
            <w:pPr>
              <w:jc w:val="center"/>
              <w:rPr>
                <w:rFonts w:ascii="Times New Roman" w:hAnsi="Times New Roman"/>
              </w:rPr>
            </w:pPr>
            <w:r w:rsidRPr="00061A5F">
              <w:rPr>
                <w:rFonts w:ascii="Times New Roman" w:hAnsi="Times New Roman"/>
              </w:rPr>
              <w:t>(0.0402)</w:t>
            </w: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282958C9" w14:textId="77777777" w:rsidR="004F1DA2" w:rsidRPr="00061A5F" w:rsidRDefault="004F1DA2" w:rsidP="004F1DA2">
            <w:pPr>
              <w:jc w:val="center"/>
              <w:rPr>
                <w:rFonts w:ascii="Times New Roman" w:hAnsi="Times New Roman"/>
                <w:b w:val="0"/>
              </w:rPr>
            </w:pPr>
            <w:r w:rsidRPr="00061A5F">
              <w:rPr>
                <w:rFonts w:ascii="Times New Roman" w:hAnsi="Times New Roman"/>
                <w:b w:val="0"/>
              </w:rPr>
              <w:t>(0.0342)</w:t>
            </w:r>
          </w:p>
        </w:tc>
      </w:tr>
      <w:tr w:rsidR="004F1DA2" w:rsidRPr="00061A5F" w14:paraId="5428076C" w14:textId="77777777" w:rsidTr="00CD34D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D19E6DC" w14:textId="77777777" w:rsidR="004F1DA2" w:rsidRPr="00061A5F" w:rsidRDefault="004F1DA2" w:rsidP="004F1DA2">
            <w:pPr>
              <w:spacing w:line="276" w:lineRule="auto"/>
              <w:jc w:val="both"/>
              <w:rPr>
                <w:rFonts w:ascii="Times New Roman" w:eastAsia="Times New Roman" w:hAnsi="Times New Roman"/>
                <w:lang w:eastAsia="en-GB"/>
              </w:rPr>
            </w:pPr>
            <w:r w:rsidRPr="00061A5F">
              <w:rPr>
                <w:rFonts w:ascii="Times New Roman" w:eastAsia="Times New Roman" w:hAnsi="Times New Roman"/>
                <w:lang w:eastAsia="en-GB"/>
              </w:rPr>
              <w:t>CRISIS</w:t>
            </w:r>
          </w:p>
        </w:tc>
        <w:tc>
          <w:tcPr>
            <w:cnfStyle w:val="000010000000" w:firstRow="0" w:lastRow="0" w:firstColumn="0" w:lastColumn="0" w:oddVBand="1" w:evenVBand="0" w:oddHBand="0" w:evenHBand="0" w:firstRowFirstColumn="0" w:firstRowLastColumn="0" w:lastRowFirstColumn="0" w:lastRowLastColumn="0"/>
            <w:tcW w:w="2551" w:type="dxa"/>
          </w:tcPr>
          <w:p w14:paraId="35BA4FE1" w14:textId="77777777" w:rsidR="004F1DA2" w:rsidRPr="00061A5F" w:rsidRDefault="004F1DA2" w:rsidP="004F1DA2">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0D0A032A" w14:textId="09744088" w:rsidR="004F1DA2" w:rsidRPr="00061A5F" w:rsidRDefault="004F1DA2" w:rsidP="004F1DA2">
            <w:pPr>
              <w:jc w:val="center"/>
              <w:rPr>
                <w:rFonts w:ascii="Times New Roman" w:hAnsi="Times New Roman"/>
                <w:b w:val="0"/>
              </w:rPr>
            </w:pPr>
            <w:r w:rsidRPr="00061A5F">
              <w:rPr>
                <w:rFonts w:ascii="Times New Roman" w:hAnsi="Times New Roman"/>
                <w:b w:val="0"/>
              </w:rPr>
              <w:t>-0.208***</w:t>
            </w:r>
          </w:p>
        </w:tc>
      </w:tr>
      <w:tr w:rsidR="004F1DA2" w:rsidRPr="00061A5F" w14:paraId="33EA38EC" w14:textId="77777777" w:rsidTr="00CD34D9">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EB197AC" w14:textId="77777777" w:rsidR="004F1DA2" w:rsidRPr="00061A5F" w:rsidRDefault="004F1DA2" w:rsidP="004F1DA2">
            <w:pPr>
              <w:spacing w:line="276" w:lineRule="auto"/>
              <w:jc w:val="both"/>
              <w:rPr>
                <w:rFonts w:ascii="Times New Roman" w:eastAsia="Times New Roman" w:hAnsi="Times New Roman"/>
                <w:lang w:eastAsia="en-GB"/>
              </w:rPr>
            </w:pPr>
            <w:r w:rsidRPr="00061A5F">
              <w:rPr>
                <w:rFonts w:ascii="Times New Roman" w:eastAsia="Times New Roman" w:hAnsi="Times New Roman"/>
                <w:b w:val="0"/>
                <w:lang w:eastAsia="en-GB"/>
              </w:rPr>
              <w:t xml:space="preserve">Global financial crisis </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1E14685E" w14:textId="77777777" w:rsidR="004F1DA2" w:rsidRPr="00061A5F" w:rsidRDefault="004F1DA2" w:rsidP="004F1DA2">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2651" w:type="dxa"/>
            <w:vAlign w:val="bottom"/>
          </w:tcPr>
          <w:p w14:paraId="394C01B4" w14:textId="77777777" w:rsidR="004F1DA2" w:rsidRPr="00061A5F" w:rsidRDefault="004F1DA2" w:rsidP="004F1DA2">
            <w:pPr>
              <w:jc w:val="center"/>
              <w:rPr>
                <w:rFonts w:ascii="Times New Roman" w:hAnsi="Times New Roman"/>
                <w:b w:val="0"/>
              </w:rPr>
            </w:pPr>
            <w:r w:rsidRPr="00061A5F">
              <w:rPr>
                <w:rFonts w:ascii="Times New Roman" w:hAnsi="Times New Roman"/>
                <w:b w:val="0"/>
              </w:rPr>
              <w:t>(0.0735)</w:t>
            </w:r>
          </w:p>
        </w:tc>
      </w:tr>
      <w:tr w:rsidR="004F1DA2" w:rsidRPr="00061A5F" w14:paraId="7A0640C5" w14:textId="77777777" w:rsidTr="00CD34D9">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B968A1B" w14:textId="77777777" w:rsidR="004F1DA2" w:rsidRPr="00061A5F" w:rsidRDefault="004F1DA2" w:rsidP="004F1DA2">
            <w:pPr>
              <w:spacing w:line="276" w:lineRule="auto"/>
              <w:jc w:val="both"/>
              <w:rPr>
                <w:rFonts w:ascii="Times New Roman" w:eastAsia="Times New Roman" w:hAnsi="Times New Roman"/>
                <w:lang w:eastAsia="en-GB"/>
              </w:rPr>
            </w:pPr>
            <w:r w:rsidRPr="00061A5F">
              <w:rPr>
                <w:rFonts w:ascii="Times New Roman" w:eastAsia="Times New Roman" w:hAnsi="Times New Roman"/>
                <w:lang w:eastAsia="en-GB"/>
              </w:rPr>
              <w:t>TIME DUMMIES</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tcPr>
          <w:p w14:paraId="193CF585" w14:textId="77777777" w:rsidR="004F1DA2" w:rsidRPr="00061A5F" w:rsidRDefault="004F1DA2" w:rsidP="004F1DA2">
            <w:pPr>
              <w:spacing w:line="276" w:lineRule="auto"/>
              <w:jc w:val="center"/>
              <w:rPr>
                <w:rFonts w:ascii="Times New Roman" w:eastAsia="Times New Roman" w:hAnsi="Times New Roman"/>
                <w:b w:val="0"/>
                <w:color w:val="000000"/>
                <w:lang w:eastAsia="bs-Latn-BA"/>
              </w:rPr>
            </w:pPr>
            <w:r w:rsidRPr="00061A5F">
              <w:rPr>
                <w:rFonts w:ascii="Times New Roman" w:eastAsia="Times New Roman" w:hAnsi="Times New Roman"/>
                <w:b w:val="0"/>
                <w:color w:val="000000"/>
                <w:lang w:eastAsia="bs-Latn-BA"/>
              </w:rPr>
              <w:t>included</w:t>
            </w:r>
          </w:p>
        </w:tc>
        <w:tc>
          <w:tcPr>
            <w:cnfStyle w:val="000100000000" w:firstRow="0" w:lastRow="0" w:firstColumn="0" w:lastColumn="1" w:oddVBand="0" w:evenVBand="0" w:oddHBand="0" w:evenHBand="0" w:firstRowFirstColumn="0" w:firstRowLastColumn="0" w:lastRowFirstColumn="0" w:lastRowLastColumn="0"/>
            <w:tcW w:w="2651" w:type="dxa"/>
          </w:tcPr>
          <w:p w14:paraId="69AF02AB" w14:textId="77777777" w:rsidR="004F1DA2" w:rsidRPr="00061A5F" w:rsidRDefault="004F1DA2" w:rsidP="004F1DA2">
            <w:pPr>
              <w:spacing w:line="276" w:lineRule="auto"/>
              <w:jc w:val="center"/>
              <w:rPr>
                <w:rFonts w:ascii="Times New Roman" w:eastAsia="Times New Roman" w:hAnsi="Times New Roman"/>
                <w:b w:val="0"/>
                <w:color w:val="000000"/>
                <w:lang w:eastAsia="bs-Latn-BA"/>
              </w:rPr>
            </w:pPr>
            <w:r w:rsidRPr="00061A5F">
              <w:rPr>
                <w:rFonts w:ascii="Times New Roman" w:eastAsia="Times New Roman" w:hAnsi="Times New Roman"/>
                <w:b w:val="0"/>
                <w:color w:val="000000"/>
                <w:lang w:eastAsia="bs-Latn-BA"/>
              </w:rPr>
              <w:t>included</w:t>
            </w:r>
          </w:p>
        </w:tc>
      </w:tr>
    </w:tbl>
    <w:p w14:paraId="74A2B266" w14:textId="09FAB368" w:rsidR="009A40F5" w:rsidRPr="00061A5F" w:rsidRDefault="009A40F5" w:rsidP="007F5D0E">
      <w:pPr>
        <w:spacing w:line="276" w:lineRule="auto"/>
        <w:jc w:val="both"/>
        <w:rPr>
          <w:rFonts w:ascii="Times New Roman" w:eastAsia="Times New Roman" w:hAnsi="Times New Roman"/>
          <w:lang w:eastAsia="en-GB"/>
        </w:rPr>
      </w:pPr>
      <w:r w:rsidRPr="00061A5F">
        <w:rPr>
          <w:rFonts w:ascii="Times New Roman" w:eastAsia="Times New Roman" w:hAnsi="Times New Roman"/>
          <w:lang w:eastAsia="en-GB"/>
        </w:rPr>
        <w:t xml:space="preserve">***, **, * donates that variables are statistically significant at the 1%, 5% and 10%, respectively. </w:t>
      </w:r>
    </w:p>
    <w:p w14:paraId="20A2E1F3" w14:textId="77777777" w:rsidR="009A40F5" w:rsidRPr="00061A5F" w:rsidRDefault="009A40F5" w:rsidP="007F5D0E">
      <w:pPr>
        <w:pStyle w:val="Tables"/>
        <w:jc w:val="both"/>
      </w:pPr>
      <w:bookmarkStart w:id="87" w:name="_Toc418088434"/>
    </w:p>
    <w:bookmarkEnd w:id="86"/>
    <w:bookmarkEnd w:id="87"/>
    <w:p w14:paraId="5B545C1B" w14:textId="77777777" w:rsidR="009A40F5" w:rsidRPr="00061A5F" w:rsidRDefault="009A40F5" w:rsidP="007F5D0E">
      <w:pPr>
        <w:spacing w:line="276" w:lineRule="auto"/>
        <w:jc w:val="both"/>
        <w:rPr>
          <w:rFonts w:ascii="Times New Roman" w:hAnsi="Times New Roman"/>
          <w:sz w:val="24"/>
          <w:szCs w:val="24"/>
        </w:rPr>
      </w:pPr>
    </w:p>
    <w:p w14:paraId="69C28511" w14:textId="576387A1" w:rsidR="009A40F5" w:rsidRPr="00061A5F" w:rsidRDefault="009408EE" w:rsidP="007F5D0E">
      <w:pPr>
        <w:spacing w:line="276" w:lineRule="auto"/>
        <w:jc w:val="both"/>
        <w:rPr>
          <w:rFonts w:ascii="Times New Roman" w:hAnsi="Times New Roman"/>
          <w:color w:val="000000" w:themeColor="text1"/>
          <w:sz w:val="24"/>
          <w:szCs w:val="24"/>
        </w:rPr>
      </w:pPr>
      <w:r w:rsidRPr="00061A5F">
        <w:rPr>
          <w:rFonts w:ascii="Times New Roman" w:hAnsi="Times New Roman"/>
          <w:sz w:val="24"/>
          <w:szCs w:val="24"/>
        </w:rPr>
        <w:lastRenderedPageBreak/>
        <w:t>Th</w:t>
      </w:r>
      <w:r w:rsidR="00B60A26" w:rsidRPr="00061A5F">
        <w:rPr>
          <w:rFonts w:ascii="Times New Roman" w:hAnsi="Times New Roman"/>
          <w:sz w:val="24"/>
          <w:szCs w:val="24"/>
        </w:rPr>
        <w:t xml:space="preserve">e results summarized in Table </w:t>
      </w:r>
      <w:r w:rsidR="00753582" w:rsidRPr="00061A5F">
        <w:rPr>
          <w:rFonts w:ascii="Times New Roman" w:hAnsi="Times New Roman"/>
          <w:sz w:val="24"/>
          <w:szCs w:val="24"/>
        </w:rPr>
        <w:t>3a</w:t>
      </w:r>
      <w:r w:rsidR="00626357" w:rsidRPr="00061A5F">
        <w:rPr>
          <w:rFonts w:ascii="Times New Roman" w:hAnsi="Times New Roman"/>
          <w:sz w:val="24"/>
          <w:szCs w:val="24"/>
        </w:rPr>
        <w:t xml:space="preserve"> suggest that “strong”</w:t>
      </w:r>
      <w:r w:rsidR="00B60A26" w:rsidRPr="00061A5F">
        <w:rPr>
          <w:rFonts w:ascii="Times New Roman" w:hAnsi="Times New Roman"/>
          <w:sz w:val="24"/>
          <w:szCs w:val="24"/>
        </w:rPr>
        <w:t xml:space="preserve"> CBAs ha</w:t>
      </w:r>
      <w:r w:rsidR="00F90FF6" w:rsidRPr="00061A5F">
        <w:rPr>
          <w:rFonts w:ascii="Times New Roman" w:hAnsi="Times New Roman"/>
          <w:sz w:val="24"/>
          <w:szCs w:val="24"/>
        </w:rPr>
        <w:t>ve</w:t>
      </w:r>
      <w:r w:rsidRPr="00061A5F">
        <w:rPr>
          <w:rFonts w:ascii="Times New Roman" w:hAnsi="Times New Roman"/>
          <w:sz w:val="24"/>
          <w:szCs w:val="24"/>
        </w:rPr>
        <w:t xml:space="preserve"> a negative and </w:t>
      </w:r>
      <w:r w:rsidR="00B60A26" w:rsidRPr="00061A5F">
        <w:rPr>
          <w:rFonts w:ascii="Times New Roman" w:hAnsi="Times New Roman"/>
          <w:sz w:val="24"/>
          <w:szCs w:val="24"/>
        </w:rPr>
        <w:t xml:space="preserve">significant effect on inflation, </w:t>
      </w:r>
      <w:r w:rsidR="00626357" w:rsidRPr="00061A5F">
        <w:rPr>
          <w:rFonts w:ascii="Times New Roman" w:hAnsi="Times New Roman"/>
          <w:sz w:val="24"/>
          <w:szCs w:val="24"/>
        </w:rPr>
        <w:t>while the effect of “weak”</w:t>
      </w:r>
      <w:r w:rsidRPr="00061A5F">
        <w:rPr>
          <w:rFonts w:ascii="Times New Roman" w:hAnsi="Times New Roman"/>
          <w:sz w:val="24"/>
          <w:szCs w:val="24"/>
        </w:rPr>
        <w:t xml:space="preserve"> CBAs is insignificant through all specifications. The coefficient on the </w:t>
      </w:r>
      <w:proofErr w:type="spellStart"/>
      <w:r w:rsidRPr="00061A5F">
        <w:rPr>
          <w:rFonts w:ascii="Times New Roman" w:hAnsi="Times New Roman"/>
          <w:sz w:val="24"/>
          <w:szCs w:val="24"/>
        </w:rPr>
        <w:t>strongCBA</w:t>
      </w:r>
      <w:proofErr w:type="spellEnd"/>
      <w:r w:rsidRPr="00061A5F">
        <w:rPr>
          <w:rFonts w:ascii="Times New Roman" w:hAnsi="Times New Roman"/>
          <w:sz w:val="24"/>
          <w:szCs w:val="24"/>
        </w:rPr>
        <w:t xml:space="preserve"> variable </w:t>
      </w:r>
      <w:r w:rsidR="00626357" w:rsidRPr="00061A5F">
        <w:rPr>
          <w:rFonts w:ascii="Times New Roman" w:hAnsi="Times New Roman"/>
          <w:sz w:val="24"/>
          <w:szCs w:val="24"/>
        </w:rPr>
        <w:t>suggests that countries with a “</w:t>
      </w:r>
      <w:r w:rsidRPr="00061A5F">
        <w:rPr>
          <w:rFonts w:ascii="Times New Roman" w:hAnsi="Times New Roman"/>
          <w:sz w:val="24"/>
          <w:szCs w:val="24"/>
        </w:rPr>
        <w:t>str</w:t>
      </w:r>
      <w:r w:rsidR="00626357" w:rsidRPr="00061A5F">
        <w:rPr>
          <w:rFonts w:ascii="Times New Roman" w:hAnsi="Times New Roman"/>
          <w:sz w:val="24"/>
          <w:szCs w:val="24"/>
        </w:rPr>
        <w:t>ong”</w:t>
      </w:r>
      <w:r w:rsidR="00B60A26" w:rsidRPr="00061A5F">
        <w:rPr>
          <w:rFonts w:ascii="Times New Roman" w:hAnsi="Times New Roman"/>
          <w:sz w:val="24"/>
          <w:szCs w:val="24"/>
        </w:rPr>
        <w:t xml:space="preserve"> CBA have, on average, </w:t>
      </w:r>
      <w:r w:rsidR="0034459C" w:rsidRPr="00061A5F">
        <w:rPr>
          <w:rFonts w:ascii="Times New Roman" w:hAnsi="Times New Roman"/>
          <w:sz w:val="24"/>
          <w:szCs w:val="24"/>
        </w:rPr>
        <w:t xml:space="preserve">a </w:t>
      </w:r>
      <w:r w:rsidR="00634706" w:rsidRPr="00061A5F">
        <w:rPr>
          <w:rFonts w:ascii="Times New Roman" w:hAnsi="Times New Roman"/>
          <w:sz w:val="24"/>
          <w:szCs w:val="24"/>
        </w:rPr>
        <w:t>13.32</w:t>
      </w:r>
      <w:r w:rsidRPr="00061A5F">
        <w:rPr>
          <w:rFonts w:ascii="Times New Roman" w:hAnsi="Times New Roman"/>
          <w:sz w:val="24"/>
          <w:szCs w:val="24"/>
        </w:rPr>
        <w:t xml:space="preserve"> percentage points lower inflation rate than do countries without a CBA. When estimated by system GMM, the </w:t>
      </w:r>
      <w:proofErr w:type="spellStart"/>
      <w:r w:rsidRPr="00061A5F">
        <w:rPr>
          <w:rFonts w:ascii="Times New Roman" w:hAnsi="Times New Roman"/>
          <w:sz w:val="24"/>
          <w:szCs w:val="24"/>
        </w:rPr>
        <w:t>strongCBA</w:t>
      </w:r>
      <w:proofErr w:type="spellEnd"/>
      <w:r w:rsidRPr="00061A5F">
        <w:rPr>
          <w:rFonts w:ascii="Times New Roman" w:hAnsi="Times New Roman"/>
          <w:sz w:val="24"/>
          <w:szCs w:val="24"/>
        </w:rPr>
        <w:t xml:space="preserve"> variable is highly significant and negative in all specifications</w:t>
      </w:r>
      <w:r w:rsidR="00025C45" w:rsidRPr="00061A5F">
        <w:rPr>
          <w:rFonts w:ascii="Times New Roman" w:hAnsi="Times New Roman"/>
          <w:sz w:val="24"/>
          <w:szCs w:val="24"/>
        </w:rPr>
        <w:t xml:space="preserve">. </w:t>
      </w:r>
      <w:r w:rsidR="00753582" w:rsidRPr="00061A5F">
        <w:rPr>
          <w:rFonts w:ascii="Times New Roman" w:hAnsi="Times New Roman"/>
          <w:sz w:val="24"/>
          <w:szCs w:val="24"/>
        </w:rPr>
        <w:t>T</w:t>
      </w:r>
      <w:r w:rsidRPr="00061A5F">
        <w:rPr>
          <w:rFonts w:ascii="Times New Roman" w:hAnsi="Times New Roman"/>
          <w:sz w:val="24"/>
          <w:szCs w:val="24"/>
        </w:rPr>
        <w:t>he rest of the results do not chan</w:t>
      </w:r>
      <w:r w:rsidR="00025C45" w:rsidRPr="00061A5F">
        <w:rPr>
          <w:rFonts w:ascii="Times New Roman" w:hAnsi="Times New Roman"/>
          <w:sz w:val="24"/>
          <w:szCs w:val="24"/>
        </w:rPr>
        <w:t>ge significantly</w:t>
      </w:r>
      <w:r w:rsidR="00753582" w:rsidRPr="00061A5F">
        <w:rPr>
          <w:rFonts w:ascii="Times New Roman" w:hAnsi="Times New Roman"/>
          <w:sz w:val="24"/>
          <w:szCs w:val="24"/>
        </w:rPr>
        <w:t xml:space="preserve">, </w:t>
      </w:r>
      <w:r w:rsidR="00696D2C" w:rsidRPr="00061A5F">
        <w:rPr>
          <w:rFonts w:ascii="Times New Roman" w:hAnsi="Times New Roman"/>
          <w:sz w:val="24"/>
          <w:szCs w:val="24"/>
        </w:rPr>
        <w:t>providing a supportive</w:t>
      </w:r>
      <w:r w:rsidR="00753582" w:rsidRPr="00061A5F">
        <w:rPr>
          <w:rFonts w:ascii="Times New Roman" w:hAnsi="Times New Roman"/>
          <w:sz w:val="24"/>
          <w:szCs w:val="24"/>
        </w:rPr>
        <w:t xml:space="preserve"> robustness check</w:t>
      </w:r>
      <w:r w:rsidRPr="00061A5F">
        <w:rPr>
          <w:rFonts w:ascii="Times New Roman" w:hAnsi="Times New Roman"/>
          <w:sz w:val="24"/>
          <w:szCs w:val="24"/>
        </w:rPr>
        <w:t xml:space="preserve">. </w:t>
      </w:r>
      <w:r w:rsidRPr="00061A5F">
        <w:rPr>
          <w:rFonts w:ascii="Times New Roman" w:hAnsi="Times New Roman"/>
          <w:color w:val="000000" w:themeColor="text1"/>
          <w:sz w:val="24"/>
          <w:szCs w:val="24"/>
        </w:rPr>
        <w:t xml:space="preserve">According to the marginal effects of a CBA at representative values of MSG, the effect of a </w:t>
      </w:r>
      <w:r w:rsidR="00626357" w:rsidRPr="00061A5F">
        <w:rPr>
          <w:rFonts w:ascii="Times New Roman" w:hAnsi="Times New Roman"/>
          <w:color w:val="000000" w:themeColor="text1"/>
          <w:sz w:val="24"/>
          <w:szCs w:val="24"/>
        </w:rPr>
        <w:t>“</w:t>
      </w:r>
      <w:r w:rsidRPr="00061A5F">
        <w:rPr>
          <w:rFonts w:ascii="Times New Roman" w:hAnsi="Times New Roman"/>
          <w:color w:val="000000" w:themeColor="text1"/>
          <w:sz w:val="24"/>
          <w:szCs w:val="24"/>
        </w:rPr>
        <w:t>strong</w:t>
      </w:r>
      <w:r w:rsidR="00626357" w:rsidRPr="00061A5F">
        <w:rPr>
          <w:rFonts w:ascii="Times New Roman" w:hAnsi="Times New Roman"/>
          <w:color w:val="000000" w:themeColor="text1"/>
          <w:sz w:val="24"/>
          <w:szCs w:val="24"/>
        </w:rPr>
        <w:t>”</w:t>
      </w:r>
      <w:r w:rsidRPr="00061A5F">
        <w:rPr>
          <w:rFonts w:ascii="Times New Roman" w:hAnsi="Times New Roman"/>
          <w:color w:val="000000" w:themeColor="text1"/>
          <w:sz w:val="24"/>
          <w:szCs w:val="24"/>
        </w:rPr>
        <w:t xml:space="preserve"> CBA is significant</w:t>
      </w:r>
      <w:r w:rsidR="00DB5033" w:rsidRPr="00061A5F">
        <w:rPr>
          <w:rFonts w:ascii="Times New Roman" w:hAnsi="Times New Roman"/>
          <w:color w:val="000000" w:themeColor="text1"/>
          <w:sz w:val="24"/>
          <w:szCs w:val="24"/>
        </w:rPr>
        <w:t xml:space="preserve"> </w:t>
      </w:r>
      <w:r w:rsidRPr="00061A5F">
        <w:rPr>
          <w:rFonts w:ascii="Times New Roman" w:hAnsi="Times New Roman"/>
          <w:color w:val="000000" w:themeColor="text1"/>
          <w:sz w:val="24"/>
          <w:szCs w:val="24"/>
        </w:rPr>
        <w:t>and more negative the higher the money supply growth</w:t>
      </w:r>
      <w:r w:rsidR="00DB5033" w:rsidRPr="00061A5F">
        <w:rPr>
          <w:rFonts w:ascii="Times New Roman" w:hAnsi="Times New Roman"/>
          <w:color w:val="000000" w:themeColor="text1"/>
          <w:sz w:val="24"/>
          <w:szCs w:val="24"/>
        </w:rPr>
        <w:t xml:space="preserve"> (see Figure 6a)</w:t>
      </w:r>
      <w:r w:rsidRPr="00061A5F">
        <w:rPr>
          <w:rFonts w:ascii="Times New Roman" w:hAnsi="Times New Roman"/>
          <w:color w:val="000000" w:themeColor="text1"/>
          <w:sz w:val="24"/>
          <w:szCs w:val="24"/>
        </w:rPr>
        <w:t xml:space="preserve">, while the effect of a weak CBA is </w:t>
      </w:r>
      <w:r w:rsidR="00025C45" w:rsidRPr="00061A5F">
        <w:rPr>
          <w:rFonts w:ascii="Times New Roman" w:hAnsi="Times New Roman"/>
          <w:color w:val="000000" w:themeColor="text1"/>
          <w:sz w:val="24"/>
          <w:szCs w:val="24"/>
        </w:rPr>
        <w:t>in</w:t>
      </w:r>
      <w:r w:rsidRPr="00061A5F">
        <w:rPr>
          <w:rFonts w:ascii="Times New Roman" w:hAnsi="Times New Roman"/>
          <w:color w:val="000000" w:themeColor="text1"/>
          <w:sz w:val="24"/>
          <w:szCs w:val="24"/>
        </w:rPr>
        <w:t xml:space="preserve">significant </w:t>
      </w:r>
      <w:r w:rsidR="00025C45" w:rsidRPr="00061A5F">
        <w:rPr>
          <w:rFonts w:ascii="Times New Roman" w:hAnsi="Times New Roman"/>
          <w:color w:val="000000" w:themeColor="text1"/>
          <w:sz w:val="24"/>
          <w:szCs w:val="24"/>
        </w:rPr>
        <w:t xml:space="preserve">(see Figure </w:t>
      </w:r>
      <w:r w:rsidR="00DB5033" w:rsidRPr="00061A5F">
        <w:rPr>
          <w:rFonts w:ascii="Times New Roman" w:hAnsi="Times New Roman"/>
          <w:color w:val="000000" w:themeColor="text1"/>
          <w:sz w:val="24"/>
          <w:szCs w:val="24"/>
        </w:rPr>
        <w:t>6b</w:t>
      </w:r>
      <w:r w:rsidR="00025C45" w:rsidRPr="00061A5F">
        <w:rPr>
          <w:rFonts w:ascii="Times New Roman" w:hAnsi="Times New Roman"/>
          <w:color w:val="000000" w:themeColor="text1"/>
          <w:sz w:val="24"/>
          <w:szCs w:val="24"/>
        </w:rPr>
        <w:t>)</w:t>
      </w:r>
      <w:r w:rsidR="00DB5033" w:rsidRPr="00061A5F">
        <w:rPr>
          <w:rFonts w:ascii="Times New Roman" w:hAnsi="Times New Roman"/>
          <w:color w:val="000000" w:themeColor="text1"/>
          <w:sz w:val="24"/>
          <w:szCs w:val="24"/>
        </w:rPr>
        <w:t xml:space="preserve"> and thus does not have a repressing effect on inflation when money supply growth is positive.</w:t>
      </w:r>
    </w:p>
    <w:p w14:paraId="1DAE7859" w14:textId="77777777" w:rsidR="009A40F5" w:rsidRPr="00061A5F" w:rsidRDefault="009A40F5" w:rsidP="007F5D0E">
      <w:pPr>
        <w:spacing w:line="276" w:lineRule="auto"/>
        <w:jc w:val="both"/>
        <w:rPr>
          <w:rFonts w:ascii="Times New Roman" w:hAnsi="Times New Roman"/>
          <w:color w:val="000000" w:themeColor="text1"/>
          <w:sz w:val="24"/>
          <w:szCs w:val="24"/>
        </w:rPr>
      </w:pPr>
    </w:p>
    <w:p w14:paraId="729FD5C9" w14:textId="3BDACF97" w:rsidR="009A40F5" w:rsidRPr="00061A5F" w:rsidRDefault="009A40F5" w:rsidP="007F5D0E">
      <w:pPr>
        <w:spacing w:after="160" w:line="259" w:lineRule="auto"/>
        <w:jc w:val="both"/>
        <w:rPr>
          <w:rFonts w:ascii="Times New Roman" w:hAnsi="Times New Roman"/>
          <w:b/>
          <w:sz w:val="24"/>
          <w:szCs w:val="24"/>
        </w:rPr>
      </w:pPr>
      <w:r w:rsidRPr="00061A5F">
        <w:rPr>
          <w:rFonts w:ascii="Times New Roman" w:hAnsi="Times New Roman"/>
          <w:b/>
          <w:sz w:val="24"/>
          <w:szCs w:val="24"/>
        </w:rPr>
        <w:t xml:space="preserve">Insert Figure </w:t>
      </w:r>
      <w:r w:rsidR="009211B3" w:rsidRPr="00061A5F">
        <w:rPr>
          <w:rFonts w:ascii="Times New Roman" w:hAnsi="Times New Roman"/>
          <w:b/>
          <w:sz w:val="24"/>
          <w:szCs w:val="24"/>
        </w:rPr>
        <w:t>6</w:t>
      </w:r>
      <w:r w:rsidR="00DB5033" w:rsidRPr="00061A5F">
        <w:rPr>
          <w:rFonts w:ascii="Times New Roman" w:hAnsi="Times New Roman"/>
          <w:b/>
          <w:sz w:val="24"/>
          <w:szCs w:val="24"/>
        </w:rPr>
        <w:t>a</w:t>
      </w:r>
      <w:r w:rsidRPr="00061A5F">
        <w:rPr>
          <w:rFonts w:ascii="Times New Roman" w:hAnsi="Times New Roman"/>
          <w:b/>
          <w:sz w:val="24"/>
          <w:szCs w:val="24"/>
        </w:rPr>
        <w:t xml:space="preserve"> around here</w:t>
      </w:r>
    </w:p>
    <w:p w14:paraId="1CBD8135" w14:textId="77777777" w:rsidR="00DB5033" w:rsidRPr="00061A5F" w:rsidRDefault="00DB5033" w:rsidP="00DB5033">
      <w:pPr>
        <w:spacing w:after="160" w:line="259" w:lineRule="auto"/>
        <w:jc w:val="both"/>
        <w:rPr>
          <w:rFonts w:ascii="Times New Roman" w:hAnsi="Times New Roman"/>
          <w:b/>
          <w:sz w:val="24"/>
          <w:szCs w:val="24"/>
        </w:rPr>
      </w:pPr>
    </w:p>
    <w:p w14:paraId="01A78B74" w14:textId="2D128DE8" w:rsidR="00DB5033" w:rsidRPr="00061A5F" w:rsidRDefault="00DB5033" w:rsidP="00DB5033">
      <w:pPr>
        <w:spacing w:after="160" w:line="259" w:lineRule="auto"/>
        <w:jc w:val="both"/>
        <w:rPr>
          <w:rFonts w:ascii="Times New Roman" w:hAnsi="Times New Roman"/>
          <w:b/>
          <w:sz w:val="24"/>
          <w:szCs w:val="24"/>
        </w:rPr>
      </w:pPr>
      <w:r w:rsidRPr="00061A5F">
        <w:rPr>
          <w:rFonts w:ascii="Times New Roman" w:hAnsi="Times New Roman"/>
          <w:b/>
          <w:sz w:val="24"/>
          <w:szCs w:val="24"/>
        </w:rPr>
        <w:t>Insert Figure 6b around here</w:t>
      </w:r>
    </w:p>
    <w:p w14:paraId="2AB7D8AA" w14:textId="77777777" w:rsidR="009A40F5" w:rsidRPr="00061A5F" w:rsidRDefault="009A40F5" w:rsidP="007F5D0E">
      <w:pPr>
        <w:spacing w:line="276" w:lineRule="auto"/>
        <w:jc w:val="both"/>
        <w:rPr>
          <w:rFonts w:ascii="Times New Roman" w:hAnsi="Times New Roman"/>
          <w:color w:val="000000" w:themeColor="text1"/>
          <w:sz w:val="24"/>
          <w:szCs w:val="24"/>
        </w:rPr>
      </w:pPr>
    </w:p>
    <w:p w14:paraId="1844C6CE" w14:textId="5EB7CAA0" w:rsidR="009408EE" w:rsidRPr="00061A5F" w:rsidRDefault="00DB5033" w:rsidP="007F5D0E">
      <w:pPr>
        <w:spacing w:line="276" w:lineRule="auto"/>
        <w:jc w:val="both"/>
        <w:rPr>
          <w:rFonts w:ascii="Times New Roman" w:hAnsi="Times New Roman"/>
          <w:color w:val="000000" w:themeColor="text1"/>
          <w:sz w:val="24"/>
          <w:szCs w:val="24"/>
        </w:rPr>
      </w:pPr>
      <w:bookmarkStart w:id="88" w:name="_Hlk21376265"/>
      <w:r w:rsidRPr="00061A5F">
        <w:rPr>
          <w:rFonts w:ascii="Times New Roman" w:hAnsi="Times New Roman"/>
          <w:color w:val="000000" w:themeColor="text1"/>
          <w:sz w:val="24"/>
          <w:szCs w:val="24"/>
        </w:rPr>
        <w:t>W</w:t>
      </w:r>
      <w:r w:rsidR="00AC4C1E" w:rsidRPr="00061A5F">
        <w:rPr>
          <w:rFonts w:ascii="Times New Roman" w:hAnsi="Times New Roman"/>
          <w:color w:val="000000" w:themeColor="text1"/>
          <w:sz w:val="24"/>
          <w:szCs w:val="24"/>
        </w:rPr>
        <w:t xml:space="preserve">hen interacted with </w:t>
      </w:r>
      <w:r w:rsidR="00F90FF6" w:rsidRPr="00061A5F">
        <w:rPr>
          <w:rFonts w:ascii="Times New Roman" w:hAnsi="Times New Roman"/>
          <w:color w:val="000000" w:themeColor="text1"/>
          <w:sz w:val="24"/>
          <w:szCs w:val="24"/>
        </w:rPr>
        <w:t xml:space="preserve">the </w:t>
      </w:r>
      <w:r w:rsidR="00696D2C" w:rsidRPr="00061A5F">
        <w:rPr>
          <w:rFonts w:ascii="Times New Roman" w:hAnsi="Times New Roman"/>
          <w:color w:val="000000" w:themeColor="text1"/>
          <w:sz w:val="24"/>
          <w:szCs w:val="24"/>
        </w:rPr>
        <w:t>GFC</w:t>
      </w:r>
      <w:r w:rsidR="00AC4C1E" w:rsidRPr="00061A5F">
        <w:rPr>
          <w:rFonts w:ascii="Times New Roman" w:hAnsi="Times New Roman"/>
          <w:color w:val="000000" w:themeColor="text1"/>
          <w:sz w:val="24"/>
          <w:szCs w:val="24"/>
        </w:rPr>
        <w:t xml:space="preserve"> dummy, </w:t>
      </w:r>
      <w:r w:rsidR="00696D2C" w:rsidRPr="00061A5F">
        <w:rPr>
          <w:rFonts w:ascii="Times New Roman" w:hAnsi="Times New Roman"/>
          <w:color w:val="000000" w:themeColor="text1"/>
          <w:sz w:val="24"/>
          <w:szCs w:val="24"/>
        </w:rPr>
        <w:t xml:space="preserve">a “strong” </w:t>
      </w:r>
      <w:r w:rsidR="00AC4C1E" w:rsidRPr="00061A5F">
        <w:rPr>
          <w:rFonts w:ascii="Times New Roman" w:hAnsi="Times New Roman"/>
          <w:color w:val="000000" w:themeColor="text1"/>
          <w:sz w:val="24"/>
          <w:szCs w:val="24"/>
        </w:rPr>
        <w:t xml:space="preserve">CBA has </w:t>
      </w:r>
      <w:r w:rsidR="00F90FF6" w:rsidRPr="00061A5F">
        <w:rPr>
          <w:rFonts w:ascii="Times New Roman" w:hAnsi="Times New Roman"/>
          <w:color w:val="000000" w:themeColor="text1"/>
          <w:sz w:val="24"/>
          <w:szCs w:val="24"/>
        </w:rPr>
        <w:t xml:space="preserve">an </w:t>
      </w:r>
      <w:r w:rsidR="00AC4C1E" w:rsidRPr="00061A5F">
        <w:rPr>
          <w:rFonts w:ascii="Times New Roman" w:hAnsi="Times New Roman"/>
          <w:color w:val="000000" w:themeColor="text1"/>
          <w:sz w:val="24"/>
          <w:szCs w:val="24"/>
        </w:rPr>
        <w:t>even larger negative effect on inflation.</w:t>
      </w:r>
      <w:r w:rsidR="009408EE" w:rsidRPr="00061A5F">
        <w:rPr>
          <w:rFonts w:ascii="Times New Roman" w:hAnsi="Times New Roman"/>
          <w:color w:val="000000" w:themeColor="text1"/>
          <w:sz w:val="24"/>
          <w:szCs w:val="24"/>
        </w:rPr>
        <w:t xml:space="preserve"> </w:t>
      </w:r>
      <w:r w:rsidR="0007085A" w:rsidRPr="00061A5F">
        <w:rPr>
          <w:rFonts w:ascii="Times New Roman" w:hAnsi="Times New Roman"/>
          <w:color w:val="000000" w:themeColor="text1"/>
          <w:sz w:val="24"/>
          <w:szCs w:val="24"/>
        </w:rPr>
        <w:t xml:space="preserve">The effect of </w:t>
      </w:r>
      <w:proofErr w:type="spellStart"/>
      <w:r w:rsidR="0007085A" w:rsidRPr="00061A5F">
        <w:rPr>
          <w:rFonts w:ascii="Times New Roman" w:hAnsi="Times New Roman"/>
          <w:color w:val="000000" w:themeColor="text1"/>
          <w:sz w:val="24"/>
          <w:szCs w:val="24"/>
        </w:rPr>
        <w:t>strongCBA</w:t>
      </w:r>
      <w:proofErr w:type="spellEnd"/>
      <w:r w:rsidR="0007085A" w:rsidRPr="00061A5F">
        <w:rPr>
          <w:rFonts w:ascii="Times New Roman" w:hAnsi="Times New Roman"/>
          <w:color w:val="000000" w:themeColor="text1"/>
          <w:sz w:val="24"/>
          <w:szCs w:val="24"/>
        </w:rPr>
        <w:t xml:space="preserve"> is negative and significant both before and after the crisis with a higher marginal effect after than before</w:t>
      </w:r>
      <w:r w:rsidR="00481429" w:rsidRPr="00061A5F">
        <w:rPr>
          <w:rFonts w:ascii="Times New Roman" w:hAnsi="Times New Roman"/>
          <w:color w:val="000000" w:themeColor="text1"/>
          <w:sz w:val="24"/>
          <w:szCs w:val="24"/>
        </w:rPr>
        <w:t xml:space="preserve"> (Figure 7a)</w:t>
      </w:r>
      <w:r w:rsidR="00E43E2A" w:rsidRPr="00061A5F">
        <w:rPr>
          <w:rFonts w:ascii="Times New Roman" w:hAnsi="Times New Roman"/>
          <w:color w:val="000000" w:themeColor="text1"/>
          <w:sz w:val="24"/>
          <w:szCs w:val="24"/>
        </w:rPr>
        <w:t>, although</w:t>
      </w:r>
      <w:r w:rsidR="0007085A" w:rsidRPr="00061A5F">
        <w:rPr>
          <w:rFonts w:ascii="Times New Roman" w:hAnsi="Times New Roman"/>
          <w:color w:val="000000" w:themeColor="text1"/>
          <w:sz w:val="24"/>
          <w:szCs w:val="24"/>
        </w:rPr>
        <w:t xml:space="preserve"> this difference is </w:t>
      </w:r>
      <w:r w:rsidRPr="00061A5F">
        <w:rPr>
          <w:rFonts w:ascii="Times New Roman" w:hAnsi="Times New Roman"/>
          <w:color w:val="000000" w:themeColor="text1"/>
          <w:sz w:val="24"/>
          <w:szCs w:val="24"/>
        </w:rPr>
        <w:t>not statistically significant at conventional levels</w:t>
      </w:r>
      <w:r w:rsidR="0007085A" w:rsidRPr="00061A5F">
        <w:rPr>
          <w:rFonts w:ascii="Times New Roman" w:hAnsi="Times New Roman"/>
          <w:color w:val="000000" w:themeColor="text1"/>
          <w:sz w:val="24"/>
          <w:szCs w:val="24"/>
        </w:rPr>
        <w:t>.</w:t>
      </w:r>
      <w:r w:rsidR="00481429" w:rsidRPr="00061A5F">
        <w:rPr>
          <w:rFonts w:ascii="Times New Roman" w:hAnsi="Times New Roman"/>
          <w:color w:val="000000" w:themeColor="text1"/>
          <w:sz w:val="24"/>
          <w:szCs w:val="24"/>
        </w:rPr>
        <w:t xml:space="preserve"> </w:t>
      </w:r>
      <w:r w:rsidR="00E43E2A" w:rsidRPr="00061A5F">
        <w:rPr>
          <w:rFonts w:ascii="Times New Roman" w:hAnsi="Times New Roman"/>
          <w:color w:val="000000" w:themeColor="text1"/>
          <w:sz w:val="24"/>
          <w:szCs w:val="24"/>
        </w:rPr>
        <w:t>In contrast, t</w:t>
      </w:r>
      <w:r w:rsidR="00481429" w:rsidRPr="00061A5F">
        <w:rPr>
          <w:rFonts w:ascii="Times New Roman" w:hAnsi="Times New Roman"/>
          <w:color w:val="000000" w:themeColor="text1"/>
          <w:sz w:val="24"/>
          <w:szCs w:val="24"/>
        </w:rPr>
        <w:t xml:space="preserve">he effect of </w:t>
      </w:r>
      <w:r w:rsidR="00E43E2A" w:rsidRPr="00061A5F">
        <w:rPr>
          <w:rFonts w:ascii="Times New Roman" w:hAnsi="Times New Roman"/>
          <w:color w:val="000000" w:themeColor="text1"/>
          <w:sz w:val="24"/>
          <w:szCs w:val="24"/>
        </w:rPr>
        <w:t xml:space="preserve">a </w:t>
      </w:r>
      <w:proofErr w:type="spellStart"/>
      <w:r w:rsidR="00481429" w:rsidRPr="00061A5F">
        <w:rPr>
          <w:rFonts w:ascii="Times New Roman" w:hAnsi="Times New Roman"/>
          <w:color w:val="000000" w:themeColor="text1"/>
          <w:sz w:val="24"/>
          <w:szCs w:val="24"/>
        </w:rPr>
        <w:t>weakCBA</w:t>
      </w:r>
      <w:proofErr w:type="spellEnd"/>
      <w:r w:rsidR="00481429" w:rsidRPr="00061A5F">
        <w:rPr>
          <w:rFonts w:ascii="Times New Roman" w:hAnsi="Times New Roman"/>
          <w:color w:val="000000" w:themeColor="text1"/>
          <w:sz w:val="24"/>
          <w:szCs w:val="24"/>
        </w:rPr>
        <w:t xml:space="preserve"> on inflation </w:t>
      </w:r>
      <w:r w:rsidR="00E43E2A" w:rsidRPr="00061A5F">
        <w:rPr>
          <w:rFonts w:ascii="Times New Roman" w:hAnsi="Times New Roman"/>
          <w:color w:val="000000" w:themeColor="text1"/>
          <w:sz w:val="24"/>
          <w:szCs w:val="24"/>
        </w:rPr>
        <w:t xml:space="preserve">is not statistically significant </w:t>
      </w:r>
      <w:r w:rsidR="00481429" w:rsidRPr="00061A5F">
        <w:rPr>
          <w:rFonts w:ascii="Times New Roman" w:hAnsi="Times New Roman"/>
          <w:color w:val="000000" w:themeColor="text1"/>
          <w:sz w:val="24"/>
          <w:szCs w:val="24"/>
        </w:rPr>
        <w:t xml:space="preserve">before </w:t>
      </w:r>
      <w:r w:rsidR="00E43E2A" w:rsidRPr="00061A5F">
        <w:rPr>
          <w:rFonts w:ascii="Times New Roman" w:hAnsi="Times New Roman"/>
          <w:color w:val="000000" w:themeColor="text1"/>
          <w:sz w:val="24"/>
          <w:szCs w:val="24"/>
        </w:rPr>
        <w:t xml:space="preserve">the crisis, although it is small and of only borderline significance (p=0.07) </w:t>
      </w:r>
      <w:r w:rsidR="00481429" w:rsidRPr="00061A5F">
        <w:rPr>
          <w:rFonts w:ascii="Times New Roman" w:hAnsi="Times New Roman"/>
          <w:color w:val="000000" w:themeColor="text1"/>
          <w:sz w:val="24"/>
          <w:szCs w:val="24"/>
        </w:rPr>
        <w:t>after the crisis</w:t>
      </w:r>
      <w:r w:rsidR="00E43E2A" w:rsidRPr="00061A5F">
        <w:rPr>
          <w:rFonts w:ascii="Times New Roman" w:hAnsi="Times New Roman"/>
          <w:color w:val="000000" w:themeColor="text1"/>
          <w:sz w:val="24"/>
          <w:szCs w:val="24"/>
        </w:rPr>
        <w:t>.</w:t>
      </w:r>
    </w:p>
    <w:bookmarkEnd w:id="88"/>
    <w:p w14:paraId="232B973D" w14:textId="3354392A" w:rsidR="0007085A" w:rsidRPr="00061A5F" w:rsidRDefault="0007085A" w:rsidP="007F5D0E">
      <w:pPr>
        <w:spacing w:line="276" w:lineRule="auto"/>
        <w:jc w:val="both"/>
        <w:rPr>
          <w:rFonts w:ascii="Times New Roman" w:hAnsi="Times New Roman"/>
          <w:color w:val="000000" w:themeColor="text1"/>
          <w:sz w:val="24"/>
          <w:szCs w:val="24"/>
        </w:rPr>
      </w:pPr>
    </w:p>
    <w:p w14:paraId="5E86F6BB" w14:textId="0081D274" w:rsidR="0007085A" w:rsidRPr="00061A5F" w:rsidRDefault="0007085A" w:rsidP="007F5D0E">
      <w:pPr>
        <w:spacing w:line="276" w:lineRule="auto"/>
        <w:jc w:val="both"/>
        <w:rPr>
          <w:rFonts w:ascii="Times New Roman" w:hAnsi="Times New Roman"/>
          <w:b/>
          <w:bCs/>
          <w:color w:val="000000" w:themeColor="text1"/>
          <w:sz w:val="24"/>
          <w:szCs w:val="24"/>
        </w:rPr>
      </w:pPr>
      <w:r w:rsidRPr="00061A5F">
        <w:rPr>
          <w:rFonts w:ascii="Times New Roman" w:hAnsi="Times New Roman"/>
          <w:b/>
          <w:bCs/>
          <w:color w:val="000000" w:themeColor="text1"/>
          <w:sz w:val="24"/>
          <w:szCs w:val="24"/>
        </w:rPr>
        <w:t>Insert Figure 7a around here</w:t>
      </w:r>
    </w:p>
    <w:p w14:paraId="0F736FCE" w14:textId="6F26CF4A" w:rsidR="0007085A" w:rsidRPr="00061A5F" w:rsidRDefault="0007085A" w:rsidP="007F5D0E">
      <w:pPr>
        <w:spacing w:line="276" w:lineRule="auto"/>
        <w:jc w:val="both"/>
        <w:rPr>
          <w:rFonts w:ascii="Times New Roman" w:hAnsi="Times New Roman"/>
          <w:b/>
          <w:bCs/>
          <w:color w:val="000000" w:themeColor="text1"/>
          <w:sz w:val="24"/>
          <w:szCs w:val="24"/>
        </w:rPr>
      </w:pPr>
    </w:p>
    <w:p w14:paraId="3EEB2DB0" w14:textId="612A6669" w:rsidR="0007085A" w:rsidRPr="00061A5F" w:rsidRDefault="0007085A" w:rsidP="007F5D0E">
      <w:pPr>
        <w:spacing w:line="276" w:lineRule="auto"/>
        <w:jc w:val="both"/>
        <w:rPr>
          <w:rFonts w:ascii="Times New Roman" w:hAnsi="Times New Roman"/>
          <w:b/>
          <w:bCs/>
          <w:color w:val="000000" w:themeColor="text1"/>
          <w:sz w:val="24"/>
          <w:szCs w:val="24"/>
        </w:rPr>
      </w:pPr>
      <w:r w:rsidRPr="00061A5F">
        <w:rPr>
          <w:rFonts w:ascii="Times New Roman" w:hAnsi="Times New Roman"/>
          <w:b/>
          <w:bCs/>
          <w:color w:val="000000" w:themeColor="text1"/>
          <w:sz w:val="24"/>
          <w:szCs w:val="24"/>
        </w:rPr>
        <w:t>Insert Figure 7b around here</w:t>
      </w:r>
    </w:p>
    <w:p w14:paraId="218B802A" w14:textId="0F15A345" w:rsidR="009408EE" w:rsidRPr="00061A5F" w:rsidRDefault="009408EE" w:rsidP="007F5D0E">
      <w:pPr>
        <w:spacing w:line="276" w:lineRule="auto"/>
        <w:jc w:val="both"/>
        <w:rPr>
          <w:rFonts w:ascii="Times New Roman" w:hAnsi="Times New Roman"/>
          <w:sz w:val="24"/>
          <w:szCs w:val="24"/>
        </w:rPr>
      </w:pPr>
    </w:p>
    <w:p w14:paraId="4C254F07" w14:textId="5D211D18" w:rsidR="00AB55DF" w:rsidRPr="00061A5F" w:rsidRDefault="00AB55DF" w:rsidP="007F5D0E">
      <w:pPr>
        <w:spacing w:line="276" w:lineRule="auto"/>
        <w:jc w:val="both"/>
        <w:rPr>
          <w:rFonts w:ascii="Times New Roman" w:hAnsi="Times New Roman"/>
          <w:sz w:val="24"/>
          <w:szCs w:val="24"/>
        </w:rPr>
      </w:pPr>
    </w:p>
    <w:p w14:paraId="48997125" w14:textId="042B8FA1" w:rsidR="009408EE" w:rsidRPr="00061A5F" w:rsidRDefault="00557899" w:rsidP="007F5D0E">
      <w:pPr>
        <w:spacing w:line="276" w:lineRule="auto"/>
        <w:jc w:val="both"/>
        <w:rPr>
          <w:rFonts w:ascii="Times New Roman" w:hAnsi="Times New Roman"/>
          <w:b/>
          <w:sz w:val="24"/>
          <w:szCs w:val="24"/>
        </w:rPr>
      </w:pPr>
      <w:r w:rsidRPr="00061A5F">
        <w:rPr>
          <w:rFonts w:ascii="Times New Roman" w:hAnsi="Times New Roman"/>
          <w:b/>
          <w:sz w:val="24"/>
          <w:szCs w:val="24"/>
        </w:rPr>
        <w:t xml:space="preserve">6. Conclusion </w:t>
      </w:r>
      <w:r w:rsidR="009408EE" w:rsidRPr="00061A5F">
        <w:rPr>
          <w:rFonts w:ascii="Times New Roman" w:hAnsi="Times New Roman"/>
          <w:b/>
          <w:sz w:val="24"/>
          <w:szCs w:val="24"/>
        </w:rPr>
        <w:t xml:space="preserve"> </w:t>
      </w:r>
    </w:p>
    <w:p w14:paraId="4196634C" w14:textId="77777777" w:rsidR="009408EE" w:rsidRPr="00061A5F" w:rsidRDefault="009408EE" w:rsidP="007F5D0E">
      <w:pPr>
        <w:spacing w:line="276" w:lineRule="auto"/>
        <w:jc w:val="both"/>
        <w:rPr>
          <w:rFonts w:ascii="Times New Roman" w:hAnsi="Times New Roman"/>
          <w:sz w:val="24"/>
          <w:szCs w:val="24"/>
        </w:rPr>
      </w:pPr>
    </w:p>
    <w:p w14:paraId="6F3B146C" w14:textId="77777777" w:rsidR="006E51A2" w:rsidRPr="00061A5F" w:rsidRDefault="00F90FF6" w:rsidP="007F5D0E">
      <w:pPr>
        <w:spacing w:line="276" w:lineRule="auto"/>
        <w:jc w:val="both"/>
        <w:rPr>
          <w:rFonts w:ascii="Times New Roman" w:hAnsi="Times New Roman"/>
          <w:sz w:val="24"/>
          <w:szCs w:val="24"/>
        </w:rPr>
      </w:pPr>
      <w:r w:rsidRPr="00061A5F">
        <w:rPr>
          <w:rFonts w:ascii="Times New Roman" w:hAnsi="Times New Roman"/>
          <w:sz w:val="24"/>
          <w:szCs w:val="24"/>
        </w:rPr>
        <w:t xml:space="preserve">A </w:t>
      </w:r>
      <w:r w:rsidR="00515310" w:rsidRPr="00061A5F">
        <w:rPr>
          <w:rFonts w:ascii="Times New Roman" w:hAnsi="Times New Roman"/>
          <w:sz w:val="24"/>
          <w:szCs w:val="24"/>
        </w:rPr>
        <w:t xml:space="preserve">Currency </w:t>
      </w:r>
      <w:r w:rsidRPr="00061A5F">
        <w:rPr>
          <w:rFonts w:ascii="Times New Roman" w:hAnsi="Times New Roman"/>
          <w:sz w:val="24"/>
          <w:szCs w:val="24"/>
        </w:rPr>
        <w:t>B</w:t>
      </w:r>
      <w:r w:rsidR="00515310" w:rsidRPr="00061A5F">
        <w:rPr>
          <w:rFonts w:ascii="Times New Roman" w:hAnsi="Times New Roman"/>
          <w:sz w:val="24"/>
          <w:szCs w:val="24"/>
        </w:rPr>
        <w:t xml:space="preserve">oard </w:t>
      </w:r>
      <w:r w:rsidRPr="00061A5F">
        <w:rPr>
          <w:rFonts w:ascii="Times New Roman" w:hAnsi="Times New Roman"/>
          <w:sz w:val="24"/>
          <w:szCs w:val="24"/>
        </w:rPr>
        <w:t>A</w:t>
      </w:r>
      <w:r w:rsidR="00515310" w:rsidRPr="00061A5F">
        <w:rPr>
          <w:rFonts w:ascii="Times New Roman" w:hAnsi="Times New Roman"/>
          <w:sz w:val="24"/>
          <w:szCs w:val="24"/>
        </w:rPr>
        <w:t>rrangement is</w:t>
      </w:r>
      <w:r w:rsidR="009408EE" w:rsidRPr="00061A5F">
        <w:rPr>
          <w:rFonts w:ascii="Times New Roman" w:hAnsi="Times New Roman"/>
          <w:sz w:val="24"/>
          <w:szCs w:val="24"/>
        </w:rPr>
        <w:t xml:space="preserve"> expected to decrease inflationary expectations and consequently inflation rates</w:t>
      </w:r>
      <w:r w:rsidR="00515310" w:rsidRPr="00061A5F">
        <w:rPr>
          <w:rFonts w:ascii="Times New Roman" w:hAnsi="Times New Roman"/>
          <w:sz w:val="24"/>
          <w:szCs w:val="24"/>
        </w:rPr>
        <w:t xml:space="preserve"> due to its </w:t>
      </w:r>
      <w:r w:rsidR="009F2DC6" w:rsidRPr="00061A5F">
        <w:rPr>
          <w:rFonts w:ascii="Times New Roman" w:hAnsi="Times New Roman"/>
          <w:sz w:val="24"/>
          <w:szCs w:val="24"/>
        </w:rPr>
        <w:t xml:space="preserve">fixed exchange rate regime and </w:t>
      </w:r>
      <w:r w:rsidR="00515310" w:rsidRPr="00061A5F">
        <w:rPr>
          <w:rFonts w:ascii="Times New Roman" w:hAnsi="Times New Roman"/>
          <w:sz w:val="24"/>
          <w:szCs w:val="24"/>
        </w:rPr>
        <w:t xml:space="preserve">strict rules imposed on </w:t>
      </w:r>
      <w:r w:rsidR="001E684D" w:rsidRPr="00061A5F">
        <w:rPr>
          <w:rFonts w:ascii="Times New Roman" w:hAnsi="Times New Roman"/>
          <w:sz w:val="24"/>
          <w:szCs w:val="24"/>
        </w:rPr>
        <w:t xml:space="preserve">the </w:t>
      </w:r>
      <w:r w:rsidR="00515310" w:rsidRPr="00061A5F">
        <w:rPr>
          <w:rFonts w:ascii="Times New Roman" w:hAnsi="Times New Roman"/>
          <w:sz w:val="24"/>
          <w:szCs w:val="24"/>
        </w:rPr>
        <w:t>monetary authority</w:t>
      </w:r>
      <w:r w:rsidR="009408EE" w:rsidRPr="00061A5F">
        <w:rPr>
          <w:rFonts w:ascii="Times New Roman" w:hAnsi="Times New Roman"/>
          <w:sz w:val="24"/>
          <w:szCs w:val="24"/>
        </w:rPr>
        <w:t xml:space="preserve">. </w:t>
      </w:r>
      <w:bookmarkStart w:id="89" w:name="_Hlk18514326"/>
      <w:bookmarkStart w:id="90" w:name="_Hlk21375590"/>
      <w:r w:rsidR="00B43493" w:rsidRPr="00061A5F">
        <w:rPr>
          <w:rFonts w:ascii="Times New Roman" w:hAnsi="Times New Roman"/>
          <w:sz w:val="24"/>
          <w:szCs w:val="24"/>
        </w:rPr>
        <w:t>The key objective of the paper is to investigate the effect of CBA on inflation, compared with other monetary regimes</w:t>
      </w:r>
      <w:r w:rsidR="006E51A2" w:rsidRPr="00061A5F">
        <w:rPr>
          <w:rFonts w:ascii="Times New Roman" w:hAnsi="Times New Roman"/>
          <w:sz w:val="24"/>
          <w:szCs w:val="24"/>
        </w:rPr>
        <w:t>,</w:t>
      </w:r>
      <w:r w:rsidR="00B43493" w:rsidRPr="00061A5F">
        <w:rPr>
          <w:rFonts w:ascii="Times New Roman" w:hAnsi="Times New Roman"/>
          <w:sz w:val="24"/>
          <w:szCs w:val="24"/>
        </w:rPr>
        <w:t xml:space="preserve"> and to investigate whether this effect differs at different levels of money supply, which is </w:t>
      </w:r>
      <w:r w:rsidR="006E51A2" w:rsidRPr="00061A5F">
        <w:rPr>
          <w:rFonts w:ascii="Times New Roman" w:hAnsi="Times New Roman"/>
          <w:sz w:val="24"/>
          <w:szCs w:val="24"/>
        </w:rPr>
        <w:t xml:space="preserve">part of </w:t>
      </w:r>
      <w:r w:rsidR="00B43493" w:rsidRPr="00061A5F">
        <w:rPr>
          <w:rFonts w:ascii="Times New Roman" w:hAnsi="Times New Roman"/>
          <w:sz w:val="24"/>
          <w:szCs w:val="24"/>
        </w:rPr>
        <w:t>the added value of this paper. Moreover, we also investigat</w:t>
      </w:r>
      <w:r w:rsidR="006E51A2" w:rsidRPr="00061A5F">
        <w:rPr>
          <w:rFonts w:ascii="Times New Roman" w:hAnsi="Times New Roman"/>
          <w:sz w:val="24"/>
          <w:szCs w:val="24"/>
        </w:rPr>
        <w:t>e</w:t>
      </w:r>
      <w:r w:rsidR="00B43493" w:rsidRPr="00061A5F">
        <w:rPr>
          <w:rFonts w:ascii="Times New Roman" w:hAnsi="Times New Roman"/>
          <w:sz w:val="24"/>
          <w:szCs w:val="24"/>
        </w:rPr>
        <w:t xml:space="preserve"> whether this effect is the same in </w:t>
      </w:r>
      <w:r w:rsidR="005E0DDF" w:rsidRPr="00061A5F">
        <w:rPr>
          <w:rFonts w:ascii="Times New Roman" w:hAnsi="Times New Roman"/>
          <w:sz w:val="24"/>
          <w:szCs w:val="24"/>
        </w:rPr>
        <w:t>a</w:t>
      </w:r>
      <w:r w:rsidR="00B43493" w:rsidRPr="00061A5F">
        <w:rPr>
          <w:rFonts w:ascii="Times New Roman" w:hAnsi="Times New Roman"/>
          <w:sz w:val="24"/>
          <w:szCs w:val="24"/>
        </w:rPr>
        <w:t xml:space="preserve"> period of crisi</w:t>
      </w:r>
      <w:bookmarkEnd w:id="89"/>
      <w:r w:rsidR="00B43493" w:rsidRPr="00061A5F">
        <w:rPr>
          <w:rFonts w:ascii="Times New Roman" w:hAnsi="Times New Roman"/>
          <w:sz w:val="24"/>
          <w:szCs w:val="24"/>
        </w:rPr>
        <w:t xml:space="preserve">s, which </w:t>
      </w:r>
      <w:r w:rsidR="005E0DDF" w:rsidRPr="00061A5F">
        <w:rPr>
          <w:rFonts w:ascii="Times New Roman" w:hAnsi="Times New Roman"/>
          <w:sz w:val="24"/>
          <w:szCs w:val="24"/>
        </w:rPr>
        <w:t>has</w:t>
      </w:r>
      <w:r w:rsidR="00B43493" w:rsidRPr="00061A5F">
        <w:rPr>
          <w:rFonts w:ascii="Times New Roman" w:hAnsi="Times New Roman"/>
          <w:sz w:val="24"/>
          <w:szCs w:val="24"/>
        </w:rPr>
        <w:t xml:space="preserve"> not </w:t>
      </w:r>
      <w:r w:rsidR="005E0DDF" w:rsidRPr="00061A5F">
        <w:rPr>
          <w:rFonts w:ascii="Times New Roman" w:hAnsi="Times New Roman"/>
          <w:sz w:val="24"/>
          <w:szCs w:val="24"/>
        </w:rPr>
        <w:t xml:space="preserve">been </w:t>
      </w:r>
      <w:r w:rsidR="00B43493" w:rsidRPr="00061A5F">
        <w:rPr>
          <w:rFonts w:ascii="Times New Roman" w:hAnsi="Times New Roman"/>
          <w:sz w:val="24"/>
          <w:szCs w:val="24"/>
        </w:rPr>
        <w:t>investigated in previous studies</w:t>
      </w:r>
      <w:r w:rsidR="005E0DDF" w:rsidRPr="00061A5F">
        <w:rPr>
          <w:rFonts w:ascii="Times New Roman" w:hAnsi="Times New Roman"/>
          <w:sz w:val="24"/>
          <w:szCs w:val="24"/>
        </w:rPr>
        <w:t>. The latter</w:t>
      </w:r>
      <w:r w:rsidR="00B43493" w:rsidRPr="00061A5F">
        <w:rPr>
          <w:rFonts w:ascii="Times New Roman" w:hAnsi="Times New Roman"/>
          <w:sz w:val="24"/>
          <w:szCs w:val="24"/>
        </w:rPr>
        <w:t xml:space="preserve"> is an important issue since</w:t>
      </w:r>
      <w:r w:rsidR="005E0DDF" w:rsidRPr="00061A5F">
        <w:rPr>
          <w:rFonts w:ascii="Times New Roman" w:hAnsi="Times New Roman"/>
          <w:sz w:val="24"/>
          <w:szCs w:val="24"/>
        </w:rPr>
        <w:t xml:space="preserve"> many of these</w:t>
      </w:r>
      <w:r w:rsidR="00B43493" w:rsidRPr="00061A5F">
        <w:rPr>
          <w:rFonts w:ascii="Times New Roman" w:hAnsi="Times New Roman"/>
          <w:sz w:val="24"/>
          <w:szCs w:val="24"/>
        </w:rPr>
        <w:t xml:space="preserve"> countries experienced low inflation, and even deflationary pressures, during the </w:t>
      </w:r>
      <w:r w:rsidR="005E0DDF" w:rsidRPr="00061A5F">
        <w:rPr>
          <w:rFonts w:ascii="Times New Roman" w:hAnsi="Times New Roman"/>
          <w:sz w:val="24"/>
          <w:szCs w:val="24"/>
        </w:rPr>
        <w:t>GFC</w:t>
      </w:r>
      <w:r w:rsidR="00B43493" w:rsidRPr="00061A5F">
        <w:rPr>
          <w:rFonts w:ascii="Times New Roman" w:hAnsi="Times New Roman"/>
          <w:sz w:val="24"/>
          <w:szCs w:val="24"/>
        </w:rPr>
        <w:t xml:space="preserve"> and post-</w:t>
      </w:r>
      <w:r w:rsidR="005E0DDF" w:rsidRPr="00061A5F">
        <w:rPr>
          <w:rFonts w:ascii="Times New Roman" w:hAnsi="Times New Roman"/>
          <w:sz w:val="24"/>
          <w:szCs w:val="24"/>
        </w:rPr>
        <w:t>GFC</w:t>
      </w:r>
      <w:r w:rsidR="00B43493" w:rsidRPr="00061A5F">
        <w:rPr>
          <w:rFonts w:ascii="Times New Roman" w:hAnsi="Times New Roman"/>
          <w:sz w:val="24"/>
          <w:szCs w:val="24"/>
        </w:rPr>
        <w:t xml:space="preserve"> period</w:t>
      </w:r>
      <w:r w:rsidR="005E0DDF" w:rsidRPr="00061A5F">
        <w:rPr>
          <w:rFonts w:ascii="Times New Roman" w:hAnsi="Times New Roman"/>
          <w:sz w:val="24"/>
          <w:szCs w:val="24"/>
        </w:rPr>
        <w:t>s</w:t>
      </w:r>
      <w:r w:rsidR="006E51A2" w:rsidRPr="00061A5F">
        <w:rPr>
          <w:rFonts w:ascii="Times New Roman" w:hAnsi="Times New Roman"/>
          <w:sz w:val="24"/>
          <w:szCs w:val="24"/>
        </w:rPr>
        <w:t>,</w:t>
      </w:r>
      <w:r w:rsidR="00B43493" w:rsidRPr="00061A5F">
        <w:rPr>
          <w:rFonts w:ascii="Times New Roman" w:hAnsi="Times New Roman"/>
          <w:sz w:val="24"/>
          <w:szCs w:val="24"/>
        </w:rPr>
        <w:t xml:space="preserve"> which undermined the</w:t>
      </w:r>
      <w:r w:rsidR="005E0DDF" w:rsidRPr="00061A5F">
        <w:rPr>
          <w:rFonts w:ascii="Times New Roman" w:hAnsi="Times New Roman"/>
          <w:sz w:val="24"/>
          <w:szCs w:val="24"/>
        </w:rPr>
        <w:t>ir</w:t>
      </w:r>
      <w:r w:rsidR="00B43493" w:rsidRPr="00061A5F">
        <w:rPr>
          <w:rFonts w:ascii="Times New Roman" w:hAnsi="Times New Roman"/>
          <w:sz w:val="24"/>
          <w:szCs w:val="24"/>
        </w:rPr>
        <w:t xml:space="preserve"> recovery.</w:t>
      </w:r>
      <w:bookmarkEnd w:id="90"/>
    </w:p>
    <w:p w14:paraId="25156CAF" w14:textId="77777777" w:rsidR="006E51A2" w:rsidRPr="00061A5F" w:rsidRDefault="006E51A2" w:rsidP="007F5D0E">
      <w:pPr>
        <w:spacing w:line="276" w:lineRule="auto"/>
        <w:jc w:val="both"/>
        <w:rPr>
          <w:rFonts w:ascii="Times New Roman" w:hAnsi="Times New Roman"/>
          <w:sz w:val="24"/>
          <w:szCs w:val="24"/>
        </w:rPr>
      </w:pPr>
    </w:p>
    <w:p w14:paraId="4E82B0FA" w14:textId="73E975A8" w:rsidR="00FA35FB" w:rsidRPr="00061A5F" w:rsidRDefault="00AA264B" w:rsidP="007F5D0E">
      <w:pPr>
        <w:spacing w:line="276" w:lineRule="auto"/>
        <w:jc w:val="both"/>
        <w:rPr>
          <w:rFonts w:ascii="Times New Roman" w:hAnsi="Times New Roman"/>
          <w:sz w:val="24"/>
          <w:szCs w:val="24"/>
        </w:rPr>
      </w:pPr>
      <w:r w:rsidRPr="00061A5F">
        <w:rPr>
          <w:rFonts w:ascii="Times New Roman" w:hAnsi="Times New Roman"/>
          <w:sz w:val="24"/>
          <w:szCs w:val="24"/>
        </w:rPr>
        <w:t>Regression</w:t>
      </w:r>
      <w:r w:rsidR="00F90FF6" w:rsidRPr="00061A5F">
        <w:rPr>
          <w:rFonts w:ascii="Times New Roman" w:hAnsi="Times New Roman"/>
          <w:sz w:val="24"/>
          <w:szCs w:val="24"/>
        </w:rPr>
        <w:t xml:space="preserve"> analysis of the determinants of inflation in </w:t>
      </w:r>
      <w:r w:rsidR="00D0625B" w:rsidRPr="00061A5F">
        <w:rPr>
          <w:rFonts w:ascii="Times New Roman" w:hAnsi="Times New Roman"/>
          <w:sz w:val="24"/>
          <w:szCs w:val="24"/>
        </w:rPr>
        <w:t xml:space="preserve">25 </w:t>
      </w:r>
      <w:r w:rsidR="00F90FF6" w:rsidRPr="00061A5F">
        <w:rPr>
          <w:rFonts w:ascii="Times New Roman" w:hAnsi="Times New Roman"/>
          <w:sz w:val="24"/>
          <w:szCs w:val="24"/>
        </w:rPr>
        <w:t xml:space="preserve">transition countries </w:t>
      </w:r>
      <w:r w:rsidR="00D0625B" w:rsidRPr="00061A5F">
        <w:rPr>
          <w:rFonts w:ascii="Times New Roman" w:hAnsi="Times New Roman"/>
          <w:sz w:val="24"/>
          <w:szCs w:val="24"/>
        </w:rPr>
        <w:t>between 1998 and 2015 confirm</w:t>
      </w:r>
      <w:r w:rsidR="00ED39D0" w:rsidRPr="00061A5F">
        <w:rPr>
          <w:rFonts w:ascii="Times New Roman" w:hAnsi="Times New Roman"/>
          <w:sz w:val="24"/>
          <w:szCs w:val="24"/>
        </w:rPr>
        <w:t>s</w:t>
      </w:r>
      <w:r w:rsidR="00D0625B" w:rsidRPr="00061A5F">
        <w:rPr>
          <w:rFonts w:ascii="Times New Roman" w:hAnsi="Times New Roman"/>
          <w:sz w:val="24"/>
          <w:szCs w:val="24"/>
        </w:rPr>
        <w:t xml:space="preserve"> th</w:t>
      </w:r>
      <w:r w:rsidR="006A768D" w:rsidRPr="00061A5F">
        <w:rPr>
          <w:rFonts w:ascii="Times New Roman" w:hAnsi="Times New Roman"/>
          <w:sz w:val="24"/>
          <w:szCs w:val="24"/>
        </w:rPr>
        <w:t xml:space="preserve">e expected negative effect of </w:t>
      </w:r>
      <w:r w:rsidR="00ED39D0" w:rsidRPr="00061A5F">
        <w:rPr>
          <w:rFonts w:ascii="Times New Roman" w:hAnsi="Times New Roman"/>
          <w:sz w:val="24"/>
          <w:szCs w:val="24"/>
        </w:rPr>
        <w:t xml:space="preserve">a </w:t>
      </w:r>
      <w:r w:rsidR="006A768D" w:rsidRPr="00061A5F">
        <w:rPr>
          <w:rFonts w:ascii="Times New Roman" w:hAnsi="Times New Roman"/>
          <w:sz w:val="24"/>
          <w:szCs w:val="24"/>
        </w:rPr>
        <w:t xml:space="preserve">CBA on inflation. The estimation results suggest that a country with a CBA had, on average, a 9.8 percentage points lower inflation rate </w:t>
      </w:r>
      <w:r w:rsidR="006A768D" w:rsidRPr="00061A5F">
        <w:rPr>
          <w:rFonts w:ascii="Times New Roman" w:hAnsi="Times New Roman"/>
          <w:sz w:val="24"/>
          <w:szCs w:val="24"/>
        </w:rPr>
        <w:lastRenderedPageBreak/>
        <w:t xml:space="preserve">than countries without a CBA, holding other factors constant. This highly significant and large effect of a CBA on inflation reduction could be used to partly justify the introduction and/or retention of CBA in the European transition countries. Additional investigation of the difference in </w:t>
      </w:r>
      <w:r w:rsidR="0077419A" w:rsidRPr="00061A5F">
        <w:rPr>
          <w:rFonts w:ascii="Times New Roman" w:hAnsi="Times New Roman"/>
          <w:sz w:val="24"/>
          <w:szCs w:val="24"/>
        </w:rPr>
        <w:t xml:space="preserve">the </w:t>
      </w:r>
      <w:r w:rsidR="006A768D" w:rsidRPr="00061A5F">
        <w:rPr>
          <w:rFonts w:ascii="Times New Roman" w:hAnsi="Times New Roman"/>
          <w:sz w:val="24"/>
          <w:szCs w:val="24"/>
        </w:rPr>
        <w:t>CBA effect at different levels of money supply growth suggests that the effect is more negative the higher the money supply growth. This suggests that the CBA tends to repress the effect of money supply growth on inflation, which is an additional argument for maintenance of a CBA</w:t>
      </w:r>
      <w:r w:rsidR="009408EE" w:rsidRPr="00061A5F">
        <w:rPr>
          <w:rFonts w:ascii="Times New Roman" w:hAnsi="Times New Roman"/>
          <w:sz w:val="24"/>
          <w:szCs w:val="24"/>
        </w:rPr>
        <w:t xml:space="preserve">. </w:t>
      </w:r>
      <w:r w:rsidR="00FA35FB" w:rsidRPr="00061A5F">
        <w:rPr>
          <w:rFonts w:ascii="Times New Roman" w:hAnsi="Times New Roman"/>
          <w:color w:val="000000"/>
          <w:sz w:val="24"/>
          <w:szCs w:val="24"/>
        </w:rPr>
        <w:t xml:space="preserve">Another important finding of this paper is that the degree of strictness of the CBA appears to be important with respect to the reduction in inflation. According to the results, the “weak” CBAs (Bulgarian and Lithuanian) did not have a significant </w:t>
      </w:r>
      <w:r w:rsidR="0077419A" w:rsidRPr="00061A5F">
        <w:rPr>
          <w:rFonts w:ascii="Times New Roman" w:hAnsi="Times New Roman"/>
          <w:color w:val="000000"/>
          <w:sz w:val="24"/>
          <w:szCs w:val="24"/>
        </w:rPr>
        <w:t xml:space="preserve">overall </w:t>
      </w:r>
      <w:r w:rsidR="00FA35FB" w:rsidRPr="00061A5F">
        <w:rPr>
          <w:rFonts w:ascii="Times New Roman" w:hAnsi="Times New Roman"/>
          <w:color w:val="000000"/>
          <w:sz w:val="24"/>
          <w:szCs w:val="24"/>
        </w:rPr>
        <w:t xml:space="preserve">effect on inflation, while the “strong” CBAs (BH’s and Estonian) had a significant and negative effect through all specifications. This implies that following strict rules additionally affects inflation performance. </w:t>
      </w:r>
    </w:p>
    <w:p w14:paraId="7121D4C2" w14:textId="77777777" w:rsidR="00FA35FB" w:rsidRPr="00061A5F" w:rsidRDefault="00FA35FB" w:rsidP="007F5D0E">
      <w:pPr>
        <w:spacing w:line="276" w:lineRule="auto"/>
        <w:jc w:val="both"/>
        <w:rPr>
          <w:rFonts w:ascii="Times New Roman" w:hAnsi="Times New Roman"/>
          <w:sz w:val="24"/>
          <w:szCs w:val="24"/>
        </w:rPr>
      </w:pPr>
    </w:p>
    <w:p w14:paraId="566A781C" w14:textId="478C3791" w:rsidR="00815955" w:rsidRPr="00061A5F" w:rsidRDefault="0085030F" w:rsidP="007F5D0E">
      <w:pPr>
        <w:spacing w:line="276" w:lineRule="auto"/>
        <w:jc w:val="both"/>
        <w:rPr>
          <w:rFonts w:ascii="Times New Roman" w:hAnsi="Times New Roman"/>
          <w:sz w:val="24"/>
          <w:szCs w:val="24"/>
        </w:rPr>
      </w:pPr>
      <w:r w:rsidRPr="00061A5F">
        <w:rPr>
          <w:rFonts w:ascii="Times New Roman" w:hAnsi="Times New Roman"/>
          <w:sz w:val="24"/>
          <w:szCs w:val="24"/>
        </w:rPr>
        <w:t xml:space="preserve">It is especially interesting to observe the effect during </w:t>
      </w:r>
      <w:r w:rsidR="00D0625B" w:rsidRPr="00061A5F">
        <w:rPr>
          <w:rFonts w:ascii="Times New Roman" w:hAnsi="Times New Roman"/>
          <w:sz w:val="24"/>
          <w:szCs w:val="24"/>
        </w:rPr>
        <w:t>the GFC</w:t>
      </w:r>
      <w:r w:rsidRPr="00061A5F">
        <w:rPr>
          <w:rFonts w:ascii="Times New Roman" w:hAnsi="Times New Roman"/>
          <w:sz w:val="24"/>
          <w:szCs w:val="24"/>
        </w:rPr>
        <w:t xml:space="preserve">, since this feature of </w:t>
      </w:r>
      <w:r w:rsidR="00D0625B" w:rsidRPr="00061A5F">
        <w:rPr>
          <w:rFonts w:ascii="Times New Roman" w:hAnsi="Times New Roman"/>
          <w:sz w:val="24"/>
          <w:szCs w:val="24"/>
        </w:rPr>
        <w:t xml:space="preserve">a </w:t>
      </w:r>
      <w:r w:rsidRPr="00061A5F">
        <w:rPr>
          <w:rFonts w:ascii="Times New Roman" w:hAnsi="Times New Roman"/>
          <w:sz w:val="24"/>
          <w:szCs w:val="24"/>
        </w:rPr>
        <w:t xml:space="preserve">CBA </w:t>
      </w:r>
      <w:r w:rsidR="00D0625B" w:rsidRPr="00061A5F">
        <w:rPr>
          <w:rFonts w:ascii="Times New Roman" w:hAnsi="Times New Roman"/>
          <w:sz w:val="24"/>
          <w:szCs w:val="24"/>
        </w:rPr>
        <w:t>is no</w:t>
      </w:r>
      <w:r w:rsidR="00474E05" w:rsidRPr="00061A5F">
        <w:rPr>
          <w:rFonts w:ascii="Times New Roman" w:hAnsi="Times New Roman"/>
          <w:sz w:val="24"/>
          <w:szCs w:val="24"/>
        </w:rPr>
        <w:t>t likely to be</w:t>
      </w:r>
      <w:r w:rsidR="00D0625B" w:rsidRPr="00061A5F">
        <w:rPr>
          <w:rFonts w:ascii="Times New Roman" w:hAnsi="Times New Roman"/>
          <w:sz w:val="24"/>
          <w:szCs w:val="24"/>
        </w:rPr>
        <w:t xml:space="preserve"> beneficial</w:t>
      </w:r>
      <w:r w:rsidR="003405FC" w:rsidRPr="00061A5F">
        <w:rPr>
          <w:rFonts w:ascii="Times New Roman" w:hAnsi="Times New Roman"/>
          <w:sz w:val="24"/>
          <w:szCs w:val="24"/>
        </w:rPr>
        <w:t>, if inflation reduction (or deflationary pressure) is at the expense of GDP or employment</w:t>
      </w:r>
      <w:r w:rsidR="005E0DDF" w:rsidRPr="00061A5F">
        <w:rPr>
          <w:rFonts w:ascii="Times New Roman" w:hAnsi="Times New Roman"/>
          <w:sz w:val="24"/>
          <w:szCs w:val="24"/>
        </w:rPr>
        <w:t xml:space="preserve"> growth</w:t>
      </w:r>
      <w:r w:rsidRPr="00061A5F">
        <w:rPr>
          <w:rFonts w:ascii="Times New Roman" w:hAnsi="Times New Roman"/>
          <w:sz w:val="24"/>
          <w:szCs w:val="24"/>
        </w:rPr>
        <w:t xml:space="preserve">. </w:t>
      </w:r>
      <w:r w:rsidR="00346C48" w:rsidRPr="00061A5F">
        <w:rPr>
          <w:rFonts w:ascii="Times New Roman" w:hAnsi="Times New Roman"/>
          <w:sz w:val="24"/>
          <w:szCs w:val="24"/>
        </w:rPr>
        <w:t xml:space="preserve">However, </w:t>
      </w:r>
      <w:r w:rsidR="009F2DC6" w:rsidRPr="00061A5F">
        <w:rPr>
          <w:rFonts w:ascii="Times New Roman" w:hAnsi="Times New Roman"/>
          <w:sz w:val="24"/>
          <w:szCs w:val="24"/>
        </w:rPr>
        <w:t xml:space="preserve">according to the results, </w:t>
      </w:r>
      <w:r w:rsidR="00346C48" w:rsidRPr="00061A5F">
        <w:rPr>
          <w:rFonts w:ascii="Times New Roman" w:hAnsi="Times New Roman"/>
          <w:sz w:val="24"/>
          <w:szCs w:val="24"/>
        </w:rPr>
        <w:t xml:space="preserve">the effect of </w:t>
      </w:r>
      <w:r w:rsidR="00D0625B" w:rsidRPr="00061A5F">
        <w:rPr>
          <w:rFonts w:ascii="Times New Roman" w:hAnsi="Times New Roman"/>
          <w:sz w:val="24"/>
          <w:szCs w:val="24"/>
        </w:rPr>
        <w:t xml:space="preserve">a </w:t>
      </w:r>
      <w:r w:rsidR="00346C48" w:rsidRPr="00061A5F">
        <w:rPr>
          <w:rFonts w:ascii="Times New Roman" w:hAnsi="Times New Roman"/>
          <w:sz w:val="24"/>
          <w:szCs w:val="24"/>
        </w:rPr>
        <w:t xml:space="preserve">CBA on lowering inflation was even </w:t>
      </w:r>
      <w:r w:rsidR="00D0625B" w:rsidRPr="00061A5F">
        <w:rPr>
          <w:rFonts w:ascii="Times New Roman" w:hAnsi="Times New Roman"/>
          <w:sz w:val="24"/>
          <w:szCs w:val="24"/>
        </w:rPr>
        <w:t>greater during the GFC</w:t>
      </w:r>
      <w:r w:rsidR="00346C48" w:rsidRPr="00061A5F">
        <w:rPr>
          <w:rFonts w:ascii="Times New Roman" w:hAnsi="Times New Roman"/>
          <w:sz w:val="24"/>
          <w:szCs w:val="24"/>
        </w:rPr>
        <w:t xml:space="preserve">, when monetary authorities were </w:t>
      </w:r>
      <w:r w:rsidR="00D0625B" w:rsidRPr="00061A5F">
        <w:rPr>
          <w:rFonts w:ascii="Times New Roman" w:hAnsi="Times New Roman"/>
          <w:sz w:val="24"/>
          <w:szCs w:val="24"/>
        </w:rPr>
        <w:t xml:space="preserve">attempting </w:t>
      </w:r>
      <w:r w:rsidR="00346C48" w:rsidRPr="00061A5F">
        <w:rPr>
          <w:rFonts w:ascii="Times New Roman" w:hAnsi="Times New Roman"/>
          <w:sz w:val="24"/>
          <w:szCs w:val="24"/>
        </w:rPr>
        <w:t>to stimulate prices and growth</w:t>
      </w:r>
      <w:r w:rsidR="00626357" w:rsidRPr="00061A5F">
        <w:rPr>
          <w:rFonts w:ascii="Times New Roman" w:hAnsi="Times New Roman"/>
          <w:sz w:val="24"/>
          <w:szCs w:val="24"/>
        </w:rPr>
        <w:t>.</w:t>
      </w:r>
      <w:r w:rsidR="00094682" w:rsidRPr="00061A5F">
        <w:rPr>
          <w:rFonts w:ascii="Times New Roman" w:hAnsi="Times New Roman"/>
          <w:sz w:val="24"/>
          <w:szCs w:val="24"/>
        </w:rPr>
        <w:t xml:space="preserve"> </w:t>
      </w:r>
      <w:r w:rsidR="003634D0" w:rsidRPr="00061A5F">
        <w:rPr>
          <w:rFonts w:ascii="Times New Roman" w:hAnsi="Times New Roman"/>
          <w:sz w:val="24"/>
          <w:szCs w:val="24"/>
        </w:rPr>
        <w:t>These findings suggest that a CBA, while beneficial in “normal times”</w:t>
      </w:r>
      <w:r w:rsidR="0077419A" w:rsidRPr="00061A5F">
        <w:rPr>
          <w:rFonts w:ascii="Times New Roman" w:hAnsi="Times New Roman"/>
          <w:sz w:val="24"/>
          <w:szCs w:val="24"/>
        </w:rPr>
        <w:t>,</w:t>
      </w:r>
      <w:r w:rsidR="003634D0" w:rsidRPr="00061A5F">
        <w:rPr>
          <w:rFonts w:ascii="Times New Roman" w:hAnsi="Times New Roman"/>
          <w:sz w:val="24"/>
          <w:szCs w:val="24"/>
        </w:rPr>
        <w:t xml:space="preserve"> is likely to be disadvantageous during a </w:t>
      </w:r>
      <w:r w:rsidR="00372EBE" w:rsidRPr="00061A5F">
        <w:rPr>
          <w:rFonts w:ascii="Times New Roman" w:hAnsi="Times New Roman"/>
          <w:sz w:val="24"/>
          <w:szCs w:val="24"/>
        </w:rPr>
        <w:t xml:space="preserve">contractionary </w:t>
      </w:r>
      <w:r w:rsidR="003634D0" w:rsidRPr="00061A5F">
        <w:rPr>
          <w:rFonts w:ascii="Times New Roman" w:hAnsi="Times New Roman"/>
          <w:sz w:val="24"/>
          <w:szCs w:val="24"/>
        </w:rPr>
        <w:t>crisis</w:t>
      </w:r>
      <w:r w:rsidR="00815955" w:rsidRPr="00061A5F">
        <w:rPr>
          <w:rFonts w:ascii="Times New Roman" w:hAnsi="Times New Roman"/>
          <w:sz w:val="24"/>
          <w:szCs w:val="24"/>
        </w:rPr>
        <w:t>.</w:t>
      </w:r>
      <w:r w:rsidR="009826A3" w:rsidRPr="00061A5F">
        <w:rPr>
          <w:rFonts w:ascii="Times New Roman" w:hAnsi="Times New Roman"/>
          <w:color w:val="000000"/>
          <w:sz w:val="24"/>
          <w:szCs w:val="24"/>
        </w:rPr>
        <w:t xml:space="preserve"> </w:t>
      </w:r>
    </w:p>
    <w:p w14:paraId="76590030" w14:textId="77777777" w:rsidR="00815955" w:rsidRPr="00061A5F" w:rsidRDefault="00815955" w:rsidP="007F5D0E">
      <w:pPr>
        <w:spacing w:line="276" w:lineRule="auto"/>
        <w:jc w:val="both"/>
        <w:rPr>
          <w:rFonts w:ascii="Times New Roman" w:hAnsi="Times New Roman"/>
          <w:sz w:val="24"/>
          <w:szCs w:val="24"/>
        </w:rPr>
      </w:pPr>
    </w:p>
    <w:p w14:paraId="3E74F44E" w14:textId="0A3D3984" w:rsidR="00472091" w:rsidRPr="00061A5F" w:rsidRDefault="002846F4" w:rsidP="007F5D0E">
      <w:pPr>
        <w:spacing w:line="276" w:lineRule="auto"/>
        <w:jc w:val="both"/>
        <w:rPr>
          <w:rFonts w:ascii="Times New Roman" w:hAnsi="Times New Roman"/>
          <w:sz w:val="24"/>
          <w:szCs w:val="24"/>
        </w:rPr>
      </w:pPr>
      <w:bookmarkStart w:id="91" w:name="_Hlk21375626"/>
      <w:r w:rsidRPr="00061A5F">
        <w:rPr>
          <w:rFonts w:ascii="Times New Roman" w:hAnsi="Times New Roman"/>
          <w:sz w:val="24"/>
          <w:szCs w:val="24"/>
        </w:rPr>
        <w:t>Our</w:t>
      </w:r>
      <w:r w:rsidR="00815955" w:rsidRPr="00061A5F">
        <w:rPr>
          <w:rFonts w:ascii="Times New Roman" w:hAnsi="Times New Roman"/>
          <w:sz w:val="24"/>
          <w:szCs w:val="24"/>
        </w:rPr>
        <w:t xml:space="preserve"> </w:t>
      </w:r>
      <w:r w:rsidRPr="00061A5F">
        <w:rPr>
          <w:rFonts w:ascii="Times New Roman" w:hAnsi="Times New Roman"/>
          <w:sz w:val="24"/>
          <w:szCs w:val="24"/>
        </w:rPr>
        <w:t>further</w:t>
      </w:r>
      <w:r w:rsidR="00815955" w:rsidRPr="00061A5F">
        <w:rPr>
          <w:rFonts w:ascii="Times New Roman" w:hAnsi="Times New Roman"/>
          <w:sz w:val="24"/>
          <w:szCs w:val="24"/>
        </w:rPr>
        <w:t xml:space="preserve"> conclusion</w:t>
      </w:r>
      <w:r w:rsidRPr="00061A5F">
        <w:rPr>
          <w:rFonts w:ascii="Times New Roman" w:hAnsi="Times New Roman"/>
          <w:sz w:val="24"/>
          <w:szCs w:val="24"/>
        </w:rPr>
        <w:t>s</w:t>
      </w:r>
      <w:r w:rsidR="00815955" w:rsidRPr="00061A5F">
        <w:rPr>
          <w:rFonts w:ascii="Times New Roman" w:hAnsi="Times New Roman"/>
          <w:sz w:val="24"/>
          <w:szCs w:val="24"/>
        </w:rPr>
        <w:t xml:space="preserve"> </w:t>
      </w:r>
      <w:r w:rsidRPr="00061A5F">
        <w:rPr>
          <w:rFonts w:ascii="Times New Roman" w:hAnsi="Times New Roman"/>
          <w:sz w:val="24"/>
          <w:szCs w:val="24"/>
        </w:rPr>
        <w:t>are</w:t>
      </w:r>
      <w:r w:rsidR="00815955" w:rsidRPr="00061A5F">
        <w:rPr>
          <w:rFonts w:ascii="Times New Roman" w:hAnsi="Times New Roman"/>
          <w:sz w:val="24"/>
          <w:szCs w:val="24"/>
        </w:rPr>
        <w:t xml:space="preserve"> very tentative, because </w:t>
      </w:r>
      <w:r w:rsidRPr="00061A5F">
        <w:rPr>
          <w:rFonts w:ascii="Times New Roman" w:hAnsi="Times New Roman"/>
          <w:sz w:val="24"/>
          <w:szCs w:val="24"/>
        </w:rPr>
        <w:t>the underpinning analysis requires</w:t>
      </w:r>
      <w:r w:rsidR="00815955" w:rsidRPr="00061A5F">
        <w:rPr>
          <w:rFonts w:ascii="Times New Roman" w:hAnsi="Times New Roman"/>
          <w:sz w:val="24"/>
          <w:szCs w:val="24"/>
        </w:rPr>
        <w:t xml:space="preserve"> a four-way </w:t>
      </w:r>
      <w:r w:rsidRPr="00061A5F">
        <w:rPr>
          <w:rFonts w:ascii="Times New Roman" w:hAnsi="Times New Roman"/>
          <w:sz w:val="24"/>
          <w:szCs w:val="24"/>
        </w:rPr>
        <w:t xml:space="preserve">division </w:t>
      </w:r>
      <w:r w:rsidR="00815955" w:rsidRPr="00061A5F">
        <w:rPr>
          <w:rFonts w:ascii="Times New Roman" w:hAnsi="Times New Roman"/>
          <w:sz w:val="24"/>
          <w:szCs w:val="24"/>
        </w:rPr>
        <w:t xml:space="preserve">of our sample. </w:t>
      </w:r>
      <w:r w:rsidRPr="00061A5F">
        <w:rPr>
          <w:rFonts w:ascii="Times New Roman" w:hAnsi="Times New Roman"/>
          <w:sz w:val="24"/>
          <w:szCs w:val="24"/>
        </w:rPr>
        <w:t>W</w:t>
      </w:r>
      <w:r w:rsidR="00472091" w:rsidRPr="00061A5F">
        <w:rPr>
          <w:rFonts w:ascii="Times New Roman" w:hAnsi="Times New Roman"/>
          <w:sz w:val="24"/>
          <w:szCs w:val="24"/>
        </w:rPr>
        <w:t xml:space="preserve">e find that a weak CBA does not have a significant effect on inflation in the pre-crisis period, but has a small effect – although estimated with weak statistical significance – post-crisis. In contrast, a strong CBA has a large effect in both pre- and post-crisis periods. This might suggest that a weak CBA is not more effective than other monetary regimes </w:t>
      </w:r>
      <w:r w:rsidRPr="00061A5F">
        <w:rPr>
          <w:rFonts w:ascii="Times New Roman" w:hAnsi="Times New Roman"/>
          <w:sz w:val="24"/>
          <w:szCs w:val="24"/>
        </w:rPr>
        <w:t xml:space="preserve">at </w:t>
      </w:r>
      <w:r w:rsidR="00472091" w:rsidRPr="00061A5F">
        <w:rPr>
          <w:rFonts w:ascii="Times New Roman" w:hAnsi="Times New Roman"/>
          <w:sz w:val="24"/>
          <w:szCs w:val="24"/>
        </w:rPr>
        <w:t>repress</w:t>
      </w:r>
      <w:r w:rsidRPr="00061A5F">
        <w:rPr>
          <w:rFonts w:ascii="Times New Roman" w:hAnsi="Times New Roman"/>
          <w:sz w:val="24"/>
          <w:szCs w:val="24"/>
        </w:rPr>
        <w:t>ing</w:t>
      </w:r>
      <w:r w:rsidR="00472091" w:rsidRPr="00061A5F">
        <w:rPr>
          <w:rFonts w:ascii="Times New Roman" w:hAnsi="Times New Roman"/>
          <w:sz w:val="24"/>
          <w:szCs w:val="24"/>
        </w:rPr>
        <w:t xml:space="preserve"> inflation</w:t>
      </w:r>
      <w:r w:rsidRPr="00061A5F">
        <w:rPr>
          <w:rFonts w:ascii="Times New Roman" w:hAnsi="Times New Roman"/>
          <w:sz w:val="24"/>
          <w:szCs w:val="24"/>
        </w:rPr>
        <w:t xml:space="preserve"> in “normal” times</w:t>
      </w:r>
      <w:r w:rsidR="00472091" w:rsidRPr="00061A5F">
        <w:rPr>
          <w:rFonts w:ascii="Times New Roman" w:hAnsi="Times New Roman"/>
          <w:sz w:val="24"/>
          <w:szCs w:val="24"/>
        </w:rPr>
        <w:t xml:space="preserve">, but is mildly effective when </w:t>
      </w:r>
      <w:r w:rsidR="00815955" w:rsidRPr="00061A5F">
        <w:rPr>
          <w:rFonts w:ascii="Times New Roman" w:hAnsi="Times New Roman"/>
          <w:sz w:val="24"/>
          <w:szCs w:val="24"/>
        </w:rPr>
        <w:t xml:space="preserve">inflation repression could be dysfunctional. Conversely, a strong CBA represses inflation irrespective of macroeconomic context and changing policy priorities.   </w:t>
      </w:r>
    </w:p>
    <w:bookmarkEnd w:id="91"/>
    <w:p w14:paraId="77BFD6E0" w14:textId="77777777" w:rsidR="00D26FB7" w:rsidRPr="00061A5F" w:rsidRDefault="00D26FB7" w:rsidP="007F5D0E">
      <w:pPr>
        <w:spacing w:line="276" w:lineRule="auto"/>
        <w:jc w:val="both"/>
        <w:rPr>
          <w:rFonts w:ascii="Times New Roman" w:hAnsi="Times New Roman"/>
          <w:color w:val="000000"/>
          <w:sz w:val="24"/>
          <w:szCs w:val="24"/>
        </w:rPr>
      </w:pPr>
    </w:p>
    <w:p w14:paraId="6A4504BC" w14:textId="3033F221" w:rsidR="00943095" w:rsidRPr="00061A5F" w:rsidRDefault="00AF4346" w:rsidP="009826A3">
      <w:pPr>
        <w:spacing w:line="276" w:lineRule="auto"/>
        <w:jc w:val="both"/>
        <w:rPr>
          <w:rFonts w:ascii="Times New Roman" w:hAnsi="Times New Roman"/>
          <w:sz w:val="24"/>
          <w:szCs w:val="24"/>
        </w:rPr>
      </w:pPr>
      <w:bookmarkStart w:id="92" w:name="_Hlk21375655"/>
      <w:r w:rsidRPr="00061A5F">
        <w:rPr>
          <w:rFonts w:ascii="Times New Roman" w:hAnsi="Times New Roman"/>
          <w:color w:val="000000"/>
          <w:sz w:val="24"/>
          <w:szCs w:val="24"/>
        </w:rPr>
        <w:t>This</w:t>
      </w:r>
      <w:r w:rsidR="003570D6" w:rsidRPr="00061A5F">
        <w:rPr>
          <w:rFonts w:ascii="Times New Roman" w:hAnsi="Times New Roman"/>
          <w:color w:val="000000"/>
          <w:sz w:val="24"/>
          <w:szCs w:val="24"/>
        </w:rPr>
        <w:t xml:space="preserve"> paper is the first </w:t>
      </w:r>
      <w:r w:rsidR="00372EBE" w:rsidRPr="00061A5F">
        <w:rPr>
          <w:rFonts w:ascii="Times New Roman" w:hAnsi="Times New Roman"/>
          <w:color w:val="000000"/>
          <w:sz w:val="24"/>
          <w:szCs w:val="24"/>
        </w:rPr>
        <w:t>to</w:t>
      </w:r>
      <w:r w:rsidR="003570D6" w:rsidRPr="00061A5F">
        <w:rPr>
          <w:rFonts w:ascii="Times New Roman" w:hAnsi="Times New Roman"/>
          <w:color w:val="000000"/>
          <w:sz w:val="24"/>
          <w:szCs w:val="24"/>
        </w:rPr>
        <w:t xml:space="preserve"> assess the effect of </w:t>
      </w:r>
      <w:r w:rsidR="00D61153" w:rsidRPr="00061A5F">
        <w:rPr>
          <w:rFonts w:ascii="Times New Roman" w:hAnsi="Times New Roman"/>
          <w:color w:val="000000"/>
          <w:sz w:val="24"/>
          <w:szCs w:val="24"/>
        </w:rPr>
        <w:t xml:space="preserve">a </w:t>
      </w:r>
      <w:r w:rsidR="003570D6" w:rsidRPr="00061A5F">
        <w:rPr>
          <w:rFonts w:ascii="Times New Roman" w:hAnsi="Times New Roman"/>
          <w:color w:val="000000"/>
          <w:sz w:val="24"/>
          <w:szCs w:val="24"/>
        </w:rPr>
        <w:t>CBA on inflation performance in European transition countries</w:t>
      </w:r>
      <w:r w:rsidR="00D53BEB" w:rsidRPr="00061A5F">
        <w:rPr>
          <w:rFonts w:ascii="Times New Roman" w:hAnsi="Times New Roman"/>
          <w:color w:val="000000"/>
          <w:sz w:val="24"/>
          <w:szCs w:val="24"/>
        </w:rPr>
        <w:t xml:space="preserve"> before and after the GFC</w:t>
      </w:r>
      <w:r w:rsidR="003570D6" w:rsidRPr="00061A5F">
        <w:rPr>
          <w:rFonts w:ascii="Times New Roman" w:hAnsi="Times New Roman"/>
          <w:color w:val="000000"/>
          <w:sz w:val="24"/>
          <w:szCs w:val="24"/>
        </w:rPr>
        <w:t xml:space="preserve">. </w:t>
      </w:r>
      <w:bookmarkEnd w:id="92"/>
      <w:r w:rsidR="009F2DC6" w:rsidRPr="00061A5F">
        <w:rPr>
          <w:rFonts w:ascii="Times New Roman" w:hAnsi="Times New Roman"/>
          <w:color w:val="000000"/>
          <w:sz w:val="24"/>
          <w:szCs w:val="24"/>
        </w:rPr>
        <w:t xml:space="preserve">The deflationary effect of </w:t>
      </w:r>
      <w:r w:rsidR="002846F4" w:rsidRPr="00061A5F">
        <w:rPr>
          <w:rFonts w:ascii="Times New Roman" w:hAnsi="Times New Roman"/>
          <w:color w:val="000000"/>
          <w:sz w:val="24"/>
          <w:szCs w:val="24"/>
        </w:rPr>
        <w:t xml:space="preserve">a </w:t>
      </w:r>
      <w:r w:rsidR="009F2DC6" w:rsidRPr="00061A5F">
        <w:rPr>
          <w:rFonts w:ascii="Times New Roman" w:hAnsi="Times New Roman"/>
          <w:color w:val="000000"/>
          <w:sz w:val="24"/>
          <w:szCs w:val="24"/>
        </w:rPr>
        <w:t>CBA is usually pointed out as one of its main advantages in “normal times”</w:t>
      </w:r>
      <w:r w:rsidR="002846F4" w:rsidRPr="00061A5F">
        <w:rPr>
          <w:rFonts w:ascii="Times New Roman" w:hAnsi="Times New Roman"/>
          <w:color w:val="000000"/>
          <w:sz w:val="24"/>
          <w:szCs w:val="24"/>
        </w:rPr>
        <w:t>,</w:t>
      </w:r>
      <w:r w:rsidR="009F2DC6" w:rsidRPr="00061A5F">
        <w:rPr>
          <w:rFonts w:ascii="Times New Roman" w:hAnsi="Times New Roman"/>
          <w:color w:val="000000"/>
          <w:sz w:val="24"/>
          <w:szCs w:val="24"/>
        </w:rPr>
        <w:t xml:space="preserve"> </w:t>
      </w:r>
      <w:r w:rsidR="00A733D7" w:rsidRPr="00061A5F">
        <w:rPr>
          <w:rFonts w:ascii="Times New Roman" w:hAnsi="Times New Roman"/>
          <w:color w:val="000000"/>
          <w:sz w:val="24"/>
          <w:szCs w:val="24"/>
        </w:rPr>
        <w:t xml:space="preserve">and this paper complements previous findings </w:t>
      </w:r>
      <w:r w:rsidR="00A679F7" w:rsidRPr="00061A5F">
        <w:rPr>
          <w:rFonts w:ascii="Times New Roman" w:hAnsi="Times New Roman"/>
          <w:color w:val="000000"/>
          <w:sz w:val="24"/>
          <w:szCs w:val="24"/>
        </w:rPr>
        <w:t>that</w:t>
      </w:r>
      <w:r w:rsidR="00A733D7" w:rsidRPr="00061A5F">
        <w:rPr>
          <w:rFonts w:ascii="Times New Roman" w:hAnsi="Times New Roman"/>
          <w:color w:val="000000"/>
          <w:sz w:val="24"/>
          <w:szCs w:val="24"/>
        </w:rPr>
        <w:t xml:space="preserve"> </w:t>
      </w:r>
      <w:r w:rsidR="00A679F7" w:rsidRPr="00061A5F">
        <w:rPr>
          <w:rFonts w:ascii="Times New Roman" w:hAnsi="Times New Roman"/>
          <w:color w:val="000000"/>
          <w:sz w:val="24"/>
          <w:szCs w:val="24"/>
        </w:rPr>
        <w:t>supported</w:t>
      </w:r>
      <w:r w:rsidR="00A733D7" w:rsidRPr="00061A5F">
        <w:rPr>
          <w:rFonts w:ascii="Times New Roman" w:hAnsi="Times New Roman"/>
          <w:color w:val="000000"/>
          <w:sz w:val="24"/>
          <w:szCs w:val="24"/>
        </w:rPr>
        <w:t xml:space="preserve"> this rationale </w:t>
      </w:r>
      <w:r w:rsidR="00A679F7" w:rsidRPr="00061A5F">
        <w:rPr>
          <w:rFonts w:ascii="Times New Roman" w:hAnsi="Times New Roman"/>
          <w:color w:val="000000"/>
          <w:sz w:val="24"/>
          <w:szCs w:val="24"/>
        </w:rPr>
        <w:t>for</w:t>
      </w:r>
      <w:r w:rsidR="00A733D7" w:rsidRPr="00061A5F">
        <w:rPr>
          <w:rFonts w:ascii="Times New Roman" w:hAnsi="Times New Roman"/>
          <w:color w:val="000000"/>
          <w:sz w:val="24"/>
          <w:szCs w:val="24"/>
        </w:rPr>
        <w:t xml:space="preserve"> its introduction.</w:t>
      </w:r>
      <w:r w:rsidR="00001B25" w:rsidRPr="00061A5F">
        <w:rPr>
          <w:rFonts w:ascii="Times New Roman" w:hAnsi="Times New Roman"/>
          <w:color w:val="000000"/>
          <w:sz w:val="24"/>
          <w:szCs w:val="24"/>
        </w:rPr>
        <w:t xml:space="preserve"> G</w:t>
      </w:r>
      <w:r w:rsidR="009F2DC6" w:rsidRPr="00061A5F">
        <w:rPr>
          <w:rFonts w:ascii="Times New Roman" w:hAnsi="Times New Roman"/>
          <w:color w:val="000000"/>
          <w:sz w:val="24"/>
          <w:szCs w:val="24"/>
        </w:rPr>
        <w:t xml:space="preserve">iven the results of our empirical analysis, which suggest </w:t>
      </w:r>
      <w:r w:rsidR="00A733D7" w:rsidRPr="00061A5F">
        <w:rPr>
          <w:rFonts w:ascii="Times New Roman" w:hAnsi="Times New Roman"/>
          <w:color w:val="000000"/>
          <w:sz w:val="24"/>
          <w:szCs w:val="24"/>
        </w:rPr>
        <w:t xml:space="preserve">even </w:t>
      </w:r>
      <w:r w:rsidR="009F2DC6" w:rsidRPr="00061A5F">
        <w:rPr>
          <w:rFonts w:ascii="Times New Roman" w:hAnsi="Times New Roman"/>
          <w:color w:val="000000"/>
          <w:sz w:val="24"/>
          <w:szCs w:val="24"/>
        </w:rPr>
        <w:t>high</w:t>
      </w:r>
      <w:r w:rsidR="00A733D7" w:rsidRPr="00061A5F">
        <w:rPr>
          <w:rFonts w:ascii="Times New Roman" w:hAnsi="Times New Roman"/>
          <w:color w:val="000000"/>
          <w:sz w:val="24"/>
          <w:szCs w:val="24"/>
        </w:rPr>
        <w:t>er</w:t>
      </w:r>
      <w:r w:rsidR="009F2DC6" w:rsidRPr="00061A5F">
        <w:rPr>
          <w:rFonts w:ascii="Times New Roman" w:hAnsi="Times New Roman"/>
          <w:color w:val="000000"/>
          <w:sz w:val="24"/>
          <w:szCs w:val="24"/>
        </w:rPr>
        <w:t xml:space="preserve"> negative effect</w:t>
      </w:r>
      <w:r w:rsidR="00EC3E32" w:rsidRPr="00061A5F">
        <w:rPr>
          <w:rFonts w:ascii="Times New Roman" w:hAnsi="Times New Roman"/>
          <w:color w:val="000000"/>
          <w:sz w:val="24"/>
          <w:szCs w:val="24"/>
        </w:rPr>
        <w:t>s</w:t>
      </w:r>
      <w:r w:rsidR="009F2DC6" w:rsidRPr="00061A5F">
        <w:rPr>
          <w:rFonts w:ascii="Times New Roman" w:hAnsi="Times New Roman"/>
          <w:color w:val="000000"/>
          <w:sz w:val="24"/>
          <w:szCs w:val="24"/>
        </w:rPr>
        <w:t xml:space="preserve"> of </w:t>
      </w:r>
      <w:r w:rsidR="00EC3E32" w:rsidRPr="00061A5F">
        <w:rPr>
          <w:rFonts w:ascii="Times New Roman" w:hAnsi="Times New Roman"/>
          <w:color w:val="000000"/>
          <w:sz w:val="24"/>
          <w:szCs w:val="24"/>
        </w:rPr>
        <w:t xml:space="preserve">a </w:t>
      </w:r>
      <w:r w:rsidR="009F2DC6" w:rsidRPr="00061A5F">
        <w:rPr>
          <w:rFonts w:ascii="Times New Roman" w:hAnsi="Times New Roman"/>
          <w:color w:val="000000"/>
          <w:sz w:val="24"/>
          <w:szCs w:val="24"/>
        </w:rPr>
        <w:t>CBA on inflation during crisis</w:t>
      </w:r>
      <w:r w:rsidR="00A733D7" w:rsidRPr="00061A5F">
        <w:rPr>
          <w:rFonts w:ascii="Times New Roman" w:hAnsi="Times New Roman"/>
          <w:color w:val="000000"/>
          <w:sz w:val="24"/>
          <w:szCs w:val="24"/>
        </w:rPr>
        <w:t xml:space="preserve"> </w:t>
      </w:r>
      <w:r w:rsidR="00EC3E32" w:rsidRPr="00061A5F">
        <w:rPr>
          <w:rFonts w:ascii="Times New Roman" w:hAnsi="Times New Roman"/>
          <w:color w:val="000000"/>
          <w:sz w:val="24"/>
          <w:szCs w:val="24"/>
        </w:rPr>
        <w:t xml:space="preserve">periods </w:t>
      </w:r>
      <w:r w:rsidR="00A733D7" w:rsidRPr="00061A5F">
        <w:rPr>
          <w:rFonts w:ascii="Times New Roman" w:hAnsi="Times New Roman"/>
          <w:color w:val="000000"/>
          <w:sz w:val="24"/>
          <w:szCs w:val="24"/>
        </w:rPr>
        <w:t>than in “normal times”</w:t>
      </w:r>
      <w:r w:rsidR="009F2DC6" w:rsidRPr="00061A5F">
        <w:rPr>
          <w:rFonts w:ascii="Times New Roman" w:hAnsi="Times New Roman"/>
          <w:color w:val="000000"/>
          <w:sz w:val="24"/>
          <w:szCs w:val="24"/>
        </w:rPr>
        <w:t>, t</w:t>
      </w:r>
      <w:r w:rsidR="00D61153" w:rsidRPr="00061A5F">
        <w:rPr>
          <w:rFonts w:ascii="Times New Roman" w:hAnsi="Times New Roman"/>
          <w:color w:val="000000"/>
          <w:sz w:val="24"/>
          <w:szCs w:val="24"/>
        </w:rPr>
        <w:t>he key</w:t>
      </w:r>
      <w:r w:rsidR="003570D6" w:rsidRPr="00061A5F">
        <w:rPr>
          <w:rFonts w:ascii="Times New Roman" w:hAnsi="Times New Roman"/>
          <w:color w:val="000000"/>
          <w:sz w:val="24"/>
          <w:szCs w:val="24"/>
        </w:rPr>
        <w:t xml:space="preserve"> policy implication </w:t>
      </w:r>
      <w:r w:rsidR="00D61153" w:rsidRPr="00061A5F">
        <w:rPr>
          <w:rFonts w:ascii="Times New Roman" w:hAnsi="Times New Roman"/>
          <w:color w:val="000000"/>
          <w:sz w:val="24"/>
          <w:szCs w:val="24"/>
        </w:rPr>
        <w:t xml:space="preserve">concerns the </w:t>
      </w:r>
      <w:r w:rsidR="00474E05" w:rsidRPr="00061A5F">
        <w:rPr>
          <w:rFonts w:ascii="Times New Roman" w:hAnsi="Times New Roman"/>
          <w:color w:val="000000"/>
          <w:sz w:val="24"/>
          <w:szCs w:val="24"/>
        </w:rPr>
        <w:t xml:space="preserve">potential </w:t>
      </w:r>
      <w:r w:rsidR="003570D6" w:rsidRPr="00061A5F">
        <w:rPr>
          <w:rFonts w:ascii="Times New Roman" w:hAnsi="Times New Roman"/>
          <w:color w:val="000000"/>
          <w:sz w:val="24"/>
          <w:szCs w:val="24"/>
        </w:rPr>
        <w:t xml:space="preserve">need </w:t>
      </w:r>
      <w:r w:rsidR="00D61153" w:rsidRPr="00061A5F">
        <w:rPr>
          <w:rFonts w:ascii="Times New Roman" w:hAnsi="Times New Roman"/>
          <w:color w:val="000000"/>
          <w:sz w:val="24"/>
          <w:szCs w:val="24"/>
        </w:rPr>
        <w:t>for greater</w:t>
      </w:r>
      <w:r w:rsidR="003570D6" w:rsidRPr="00061A5F">
        <w:rPr>
          <w:rFonts w:ascii="Times New Roman" w:hAnsi="Times New Roman"/>
          <w:color w:val="000000"/>
          <w:sz w:val="24"/>
          <w:szCs w:val="24"/>
        </w:rPr>
        <w:t xml:space="preserve"> flexibility of </w:t>
      </w:r>
      <w:r w:rsidR="004B44EC" w:rsidRPr="00061A5F">
        <w:rPr>
          <w:rFonts w:ascii="Times New Roman" w:hAnsi="Times New Roman"/>
          <w:color w:val="000000"/>
          <w:sz w:val="24"/>
          <w:szCs w:val="24"/>
        </w:rPr>
        <w:t xml:space="preserve">strict </w:t>
      </w:r>
      <w:r w:rsidR="003570D6" w:rsidRPr="00061A5F">
        <w:rPr>
          <w:rFonts w:ascii="Times New Roman" w:hAnsi="Times New Roman"/>
          <w:color w:val="000000"/>
          <w:sz w:val="24"/>
          <w:szCs w:val="24"/>
        </w:rPr>
        <w:t xml:space="preserve">monetary </w:t>
      </w:r>
      <w:r w:rsidR="004B44EC" w:rsidRPr="00061A5F">
        <w:rPr>
          <w:rFonts w:ascii="Times New Roman" w:hAnsi="Times New Roman"/>
          <w:color w:val="000000"/>
          <w:sz w:val="24"/>
          <w:szCs w:val="24"/>
        </w:rPr>
        <w:t>regimes</w:t>
      </w:r>
      <w:r w:rsidR="003570D6" w:rsidRPr="00061A5F">
        <w:rPr>
          <w:rFonts w:ascii="Times New Roman" w:hAnsi="Times New Roman"/>
          <w:color w:val="000000"/>
          <w:sz w:val="24"/>
          <w:szCs w:val="24"/>
        </w:rPr>
        <w:t xml:space="preserve"> </w:t>
      </w:r>
      <w:r w:rsidR="004B44EC" w:rsidRPr="00061A5F">
        <w:rPr>
          <w:rFonts w:ascii="Times New Roman" w:hAnsi="Times New Roman"/>
          <w:color w:val="000000"/>
          <w:sz w:val="24"/>
          <w:szCs w:val="24"/>
        </w:rPr>
        <w:t>during periods of crisis</w:t>
      </w:r>
      <w:r w:rsidR="00A733D7" w:rsidRPr="00061A5F">
        <w:rPr>
          <w:rFonts w:ascii="Times New Roman" w:hAnsi="Times New Roman"/>
          <w:color w:val="000000"/>
          <w:sz w:val="24"/>
          <w:szCs w:val="24"/>
        </w:rPr>
        <w:t xml:space="preserve">. </w:t>
      </w:r>
      <w:r w:rsidR="00943095" w:rsidRPr="00061A5F">
        <w:rPr>
          <w:rFonts w:ascii="Times New Roman" w:hAnsi="Times New Roman"/>
          <w:sz w:val="24"/>
          <w:szCs w:val="24"/>
        </w:rPr>
        <w:t xml:space="preserve">However, in order to draw final conclusions about the desirability of a CBA, and whether the CBA should be weak or strong, </w:t>
      </w:r>
      <w:r w:rsidR="00001B25" w:rsidRPr="00061A5F">
        <w:rPr>
          <w:rFonts w:ascii="Times New Roman" w:hAnsi="Times New Roman"/>
          <w:sz w:val="24"/>
          <w:szCs w:val="24"/>
        </w:rPr>
        <w:t xml:space="preserve">while </w:t>
      </w:r>
      <w:r w:rsidR="00943095" w:rsidRPr="00061A5F">
        <w:rPr>
          <w:rFonts w:ascii="Times New Roman" w:hAnsi="Times New Roman"/>
          <w:sz w:val="24"/>
          <w:szCs w:val="24"/>
        </w:rPr>
        <w:t xml:space="preserve">taking into account its potentially varying effects in “normal times” and in crisis periods, </w:t>
      </w:r>
      <w:r w:rsidR="00EC3E32" w:rsidRPr="00061A5F">
        <w:rPr>
          <w:rFonts w:ascii="Times New Roman" w:hAnsi="Times New Roman"/>
          <w:sz w:val="24"/>
          <w:szCs w:val="24"/>
        </w:rPr>
        <w:t xml:space="preserve">we need to know more about CBA effects on other </w:t>
      </w:r>
      <w:r w:rsidR="00943095" w:rsidRPr="00061A5F">
        <w:rPr>
          <w:rFonts w:ascii="Times New Roman" w:hAnsi="Times New Roman"/>
          <w:sz w:val="24"/>
          <w:szCs w:val="24"/>
        </w:rPr>
        <w:t xml:space="preserve">macroeconomic variables. </w:t>
      </w:r>
    </w:p>
    <w:p w14:paraId="251F0E74" w14:textId="055F0A88" w:rsidR="009408EE" w:rsidRPr="00061A5F" w:rsidRDefault="009408EE" w:rsidP="007F5D0E">
      <w:pPr>
        <w:spacing w:line="276" w:lineRule="auto"/>
        <w:jc w:val="both"/>
        <w:rPr>
          <w:rFonts w:ascii="Times New Roman" w:hAnsi="Times New Roman"/>
          <w:color w:val="000000"/>
          <w:sz w:val="24"/>
          <w:szCs w:val="24"/>
        </w:rPr>
      </w:pPr>
    </w:p>
    <w:p w14:paraId="67909262" w14:textId="77777777" w:rsidR="006E4FEA" w:rsidRPr="00061A5F" w:rsidRDefault="006E4FEA" w:rsidP="007F5D0E">
      <w:pPr>
        <w:spacing w:line="276" w:lineRule="auto"/>
        <w:jc w:val="both"/>
        <w:rPr>
          <w:rFonts w:ascii="Times New Roman" w:hAnsi="Times New Roman"/>
          <w:sz w:val="24"/>
          <w:szCs w:val="24"/>
        </w:rPr>
      </w:pPr>
    </w:p>
    <w:p w14:paraId="47D6C014" w14:textId="77777777" w:rsidR="00EB4F9A" w:rsidRPr="00061A5F" w:rsidRDefault="00EB4F9A" w:rsidP="007F5D0E">
      <w:pPr>
        <w:spacing w:after="160" w:line="259" w:lineRule="auto"/>
        <w:jc w:val="both"/>
        <w:rPr>
          <w:rFonts w:ascii="Times New Roman" w:hAnsi="Times New Roman"/>
          <w:b/>
          <w:sz w:val="24"/>
          <w:szCs w:val="24"/>
        </w:rPr>
      </w:pPr>
      <w:r w:rsidRPr="00061A5F">
        <w:rPr>
          <w:rFonts w:ascii="Times New Roman" w:hAnsi="Times New Roman"/>
          <w:b/>
          <w:sz w:val="24"/>
          <w:szCs w:val="24"/>
        </w:rPr>
        <w:br w:type="page"/>
      </w:r>
    </w:p>
    <w:p w14:paraId="088CBC04" w14:textId="3EC2878B" w:rsidR="006E4FEA" w:rsidRPr="00061A5F" w:rsidRDefault="006E4FEA" w:rsidP="007F5D0E">
      <w:pPr>
        <w:spacing w:line="276" w:lineRule="auto"/>
        <w:jc w:val="both"/>
        <w:rPr>
          <w:rFonts w:ascii="Times New Roman" w:hAnsi="Times New Roman"/>
          <w:b/>
          <w:sz w:val="24"/>
          <w:szCs w:val="24"/>
        </w:rPr>
      </w:pPr>
      <w:r w:rsidRPr="00061A5F">
        <w:rPr>
          <w:rFonts w:ascii="Times New Roman" w:hAnsi="Times New Roman"/>
          <w:b/>
          <w:sz w:val="24"/>
          <w:szCs w:val="24"/>
        </w:rPr>
        <w:lastRenderedPageBreak/>
        <w:t>References</w:t>
      </w:r>
      <w:r w:rsidR="00AC4C1E" w:rsidRPr="00061A5F">
        <w:rPr>
          <w:rFonts w:ascii="Times New Roman" w:hAnsi="Times New Roman"/>
          <w:b/>
          <w:sz w:val="24"/>
          <w:szCs w:val="24"/>
        </w:rPr>
        <w:t xml:space="preserve"> </w:t>
      </w:r>
    </w:p>
    <w:p w14:paraId="1A158CA5" w14:textId="77777777" w:rsidR="005F3A1D" w:rsidRPr="00061A5F" w:rsidRDefault="005F3A1D" w:rsidP="007F5D0E">
      <w:pPr>
        <w:spacing w:line="276" w:lineRule="auto"/>
        <w:jc w:val="both"/>
        <w:rPr>
          <w:rFonts w:ascii="Times New Roman" w:hAnsi="Times New Roman"/>
          <w:b/>
          <w:sz w:val="24"/>
          <w:szCs w:val="24"/>
        </w:rPr>
      </w:pPr>
    </w:p>
    <w:p w14:paraId="47C14958" w14:textId="30A41AC7" w:rsidR="005F3A1D" w:rsidRPr="00061A5F" w:rsidRDefault="005F3A1D" w:rsidP="007F5D0E">
      <w:pPr>
        <w:autoSpaceDE w:val="0"/>
        <w:autoSpaceDN w:val="0"/>
        <w:adjustRightInd w:val="0"/>
        <w:jc w:val="both"/>
        <w:rPr>
          <w:rFonts w:ascii="Times New Roman" w:hAnsi="Times New Roman"/>
          <w:sz w:val="24"/>
          <w:szCs w:val="24"/>
        </w:rPr>
      </w:pPr>
      <w:r w:rsidRPr="00061A5F">
        <w:rPr>
          <w:rFonts w:ascii="Times New Roman" w:hAnsi="Times New Roman"/>
          <w:sz w:val="24"/>
          <w:szCs w:val="24"/>
        </w:rPr>
        <w:t>Abbott A</w:t>
      </w:r>
      <w:r w:rsidR="00497A0A" w:rsidRPr="00061A5F">
        <w:rPr>
          <w:rFonts w:ascii="Times New Roman" w:hAnsi="Times New Roman"/>
          <w:sz w:val="24"/>
          <w:szCs w:val="24"/>
        </w:rPr>
        <w:t>,</w:t>
      </w:r>
      <w:r w:rsidRPr="00061A5F">
        <w:rPr>
          <w:rFonts w:ascii="Times New Roman" w:hAnsi="Times New Roman"/>
          <w:sz w:val="24"/>
          <w:szCs w:val="24"/>
        </w:rPr>
        <w:t xml:space="preserve"> De Vita G (2011)</w:t>
      </w:r>
      <w:r w:rsidR="00497A0A" w:rsidRPr="00061A5F">
        <w:rPr>
          <w:rFonts w:ascii="Times New Roman" w:hAnsi="Times New Roman"/>
          <w:sz w:val="24"/>
          <w:szCs w:val="24"/>
        </w:rPr>
        <w:t>:</w:t>
      </w:r>
      <w:r w:rsidRPr="00061A5F">
        <w:rPr>
          <w:rFonts w:ascii="Times New Roman" w:hAnsi="Times New Roman"/>
          <w:sz w:val="24"/>
          <w:szCs w:val="24"/>
        </w:rPr>
        <w:t xml:space="preserve"> Revisiting the Relationship between Inflation and Growth:</w:t>
      </w:r>
    </w:p>
    <w:p w14:paraId="5D277FAC" w14:textId="6112A47D" w:rsidR="005F3A1D" w:rsidRPr="00061A5F" w:rsidRDefault="005F3A1D" w:rsidP="007F5D0E">
      <w:pPr>
        <w:autoSpaceDE w:val="0"/>
        <w:autoSpaceDN w:val="0"/>
        <w:adjustRightInd w:val="0"/>
        <w:jc w:val="both"/>
        <w:rPr>
          <w:rFonts w:ascii="Times New Roman" w:hAnsi="Times New Roman"/>
          <w:sz w:val="24"/>
          <w:szCs w:val="24"/>
        </w:rPr>
      </w:pPr>
      <w:r w:rsidRPr="00061A5F">
        <w:rPr>
          <w:rFonts w:ascii="Times New Roman" w:hAnsi="Times New Roman"/>
          <w:sz w:val="24"/>
          <w:szCs w:val="24"/>
        </w:rPr>
        <w:t>A Note on the Role of Exchange Rate Regimes</w:t>
      </w:r>
      <w:r w:rsidR="00497A0A" w:rsidRPr="00061A5F">
        <w:rPr>
          <w:rFonts w:ascii="Times New Roman" w:hAnsi="Times New Roman"/>
          <w:sz w:val="24"/>
          <w:szCs w:val="24"/>
        </w:rPr>
        <w:t xml:space="preserve">. </w:t>
      </w:r>
      <w:r w:rsidRPr="00061A5F">
        <w:rPr>
          <w:rFonts w:ascii="Times New Roman" w:hAnsi="Times New Roman"/>
          <w:i/>
          <w:iCs/>
          <w:sz w:val="24"/>
          <w:szCs w:val="24"/>
        </w:rPr>
        <w:t xml:space="preserve">Economic Issues, </w:t>
      </w:r>
      <w:r w:rsidRPr="00061A5F">
        <w:rPr>
          <w:rFonts w:ascii="Times New Roman" w:hAnsi="Times New Roman"/>
          <w:iCs/>
          <w:sz w:val="24"/>
          <w:szCs w:val="24"/>
        </w:rPr>
        <w:t>16(1):37-52</w:t>
      </w:r>
      <w:r w:rsidR="007C533D" w:rsidRPr="00061A5F">
        <w:rPr>
          <w:rFonts w:ascii="Times New Roman" w:hAnsi="Times New Roman"/>
          <w:iCs/>
          <w:sz w:val="24"/>
          <w:szCs w:val="24"/>
        </w:rPr>
        <w:t>.</w:t>
      </w:r>
    </w:p>
    <w:p w14:paraId="4F59C6FF" w14:textId="62537FD2" w:rsidR="005F3A1D" w:rsidRPr="00061A5F" w:rsidRDefault="005F3A1D" w:rsidP="007F5D0E">
      <w:pPr>
        <w:autoSpaceDE w:val="0"/>
        <w:autoSpaceDN w:val="0"/>
        <w:adjustRightInd w:val="0"/>
        <w:jc w:val="both"/>
        <w:rPr>
          <w:rFonts w:ascii="Times New Roman" w:hAnsi="Times New Roman"/>
          <w:sz w:val="24"/>
          <w:szCs w:val="24"/>
        </w:rPr>
      </w:pPr>
    </w:p>
    <w:p w14:paraId="4233F27D" w14:textId="22A40808" w:rsidR="005F3A1D" w:rsidRPr="00061A5F" w:rsidRDefault="005F3A1D" w:rsidP="007F5D0E">
      <w:pPr>
        <w:jc w:val="both"/>
        <w:rPr>
          <w:rFonts w:ascii="Times New Roman" w:hAnsi="Times New Roman"/>
          <w:sz w:val="24"/>
          <w:szCs w:val="24"/>
        </w:rPr>
      </w:pPr>
      <w:proofErr w:type="spellStart"/>
      <w:r w:rsidRPr="00061A5F">
        <w:rPr>
          <w:rFonts w:ascii="Times New Roman" w:hAnsi="Times New Roman"/>
          <w:sz w:val="24"/>
          <w:szCs w:val="24"/>
        </w:rPr>
        <w:t>Anastassova</w:t>
      </w:r>
      <w:proofErr w:type="spellEnd"/>
      <w:r w:rsidRPr="00061A5F">
        <w:rPr>
          <w:rFonts w:ascii="Times New Roman" w:hAnsi="Times New Roman"/>
          <w:sz w:val="24"/>
          <w:szCs w:val="24"/>
        </w:rPr>
        <w:t xml:space="preserve"> L (1999)</w:t>
      </w:r>
      <w:r w:rsidR="00497A0A" w:rsidRPr="00061A5F">
        <w:rPr>
          <w:rFonts w:ascii="Times New Roman" w:hAnsi="Times New Roman"/>
          <w:sz w:val="24"/>
          <w:szCs w:val="24"/>
        </w:rPr>
        <w:t>:</w:t>
      </w:r>
      <w:r w:rsidRPr="00061A5F">
        <w:rPr>
          <w:rFonts w:ascii="Times New Roman" w:hAnsi="Times New Roman"/>
          <w:sz w:val="24"/>
          <w:szCs w:val="24"/>
        </w:rPr>
        <w:t xml:space="preserve"> Institutional Arrangements of Currency Boards - Comparative Macroeconomic Analysis</w:t>
      </w:r>
      <w:r w:rsidR="00497A0A" w:rsidRPr="00061A5F">
        <w:rPr>
          <w:rFonts w:ascii="Times New Roman" w:hAnsi="Times New Roman"/>
          <w:sz w:val="24"/>
          <w:szCs w:val="24"/>
        </w:rPr>
        <w:t>.</w:t>
      </w:r>
      <w:r w:rsidRPr="00061A5F">
        <w:rPr>
          <w:rFonts w:ascii="Times New Roman" w:hAnsi="Times New Roman"/>
          <w:sz w:val="24"/>
          <w:szCs w:val="24"/>
        </w:rPr>
        <w:t xml:space="preserve"> </w:t>
      </w:r>
      <w:r w:rsidRPr="00061A5F">
        <w:rPr>
          <w:rFonts w:ascii="Times New Roman" w:hAnsi="Times New Roman"/>
          <w:i/>
          <w:sz w:val="24"/>
          <w:szCs w:val="24"/>
        </w:rPr>
        <w:t xml:space="preserve">Studies and Analysis, CASE, </w:t>
      </w:r>
      <w:r w:rsidRPr="00061A5F">
        <w:rPr>
          <w:rFonts w:ascii="Times New Roman" w:hAnsi="Times New Roman"/>
          <w:sz w:val="24"/>
          <w:szCs w:val="24"/>
        </w:rPr>
        <w:t>No. 200</w:t>
      </w:r>
      <w:r w:rsidR="007C533D" w:rsidRPr="00061A5F">
        <w:rPr>
          <w:rFonts w:ascii="Times New Roman" w:hAnsi="Times New Roman"/>
          <w:sz w:val="24"/>
          <w:szCs w:val="24"/>
        </w:rPr>
        <w:t>.</w:t>
      </w:r>
    </w:p>
    <w:p w14:paraId="5DEA74AF" w14:textId="77777777" w:rsidR="005F3A1D" w:rsidRPr="00061A5F" w:rsidRDefault="005F3A1D" w:rsidP="007F5D0E">
      <w:pPr>
        <w:jc w:val="both"/>
        <w:rPr>
          <w:rFonts w:ascii="Times New Roman" w:hAnsi="Times New Roman"/>
          <w:sz w:val="24"/>
          <w:szCs w:val="24"/>
        </w:rPr>
      </w:pPr>
    </w:p>
    <w:p w14:paraId="677E3B75" w14:textId="233D47F9" w:rsidR="00056267" w:rsidRPr="00061A5F" w:rsidRDefault="00056267" w:rsidP="007F5D0E">
      <w:pPr>
        <w:autoSpaceDE w:val="0"/>
        <w:autoSpaceDN w:val="0"/>
        <w:adjustRightInd w:val="0"/>
        <w:jc w:val="both"/>
        <w:rPr>
          <w:rFonts w:ascii="Times New Roman" w:hAnsi="Times New Roman"/>
          <w:sz w:val="24"/>
          <w:szCs w:val="24"/>
        </w:rPr>
      </w:pPr>
      <w:r w:rsidRPr="00061A5F">
        <w:rPr>
          <w:rFonts w:ascii="Times New Roman" w:hAnsi="Times New Roman"/>
          <w:sz w:val="24"/>
          <w:szCs w:val="24"/>
        </w:rPr>
        <w:t xml:space="preserve">Arellano, M, and Bond. </w:t>
      </w:r>
      <w:r w:rsidR="00497A0A" w:rsidRPr="00061A5F">
        <w:rPr>
          <w:rFonts w:ascii="Times New Roman" w:hAnsi="Times New Roman"/>
          <w:sz w:val="24"/>
          <w:szCs w:val="24"/>
        </w:rPr>
        <w:t>S (</w:t>
      </w:r>
      <w:r w:rsidRPr="00061A5F">
        <w:rPr>
          <w:rFonts w:ascii="Times New Roman" w:hAnsi="Times New Roman"/>
          <w:sz w:val="24"/>
          <w:szCs w:val="24"/>
        </w:rPr>
        <w:t>1991</w:t>
      </w:r>
      <w:r w:rsidR="00497A0A" w:rsidRPr="00061A5F">
        <w:rPr>
          <w:rFonts w:ascii="Times New Roman" w:hAnsi="Times New Roman"/>
          <w:sz w:val="24"/>
          <w:szCs w:val="24"/>
        </w:rPr>
        <w:t>):</w:t>
      </w:r>
      <w:r w:rsidRPr="00061A5F">
        <w:rPr>
          <w:rFonts w:ascii="Times New Roman" w:hAnsi="Times New Roman"/>
          <w:sz w:val="24"/>
          <w:szCs w:val="24"/>
        </w:rPr>
        <w:t xml:space="preserve"> Some </w:t>
      </w:r>
      <w:r w:rsidR="00497A0A" w:rsidRPr="00061A5F">
        <w:rPr>
          <w:rFonts w:ascii="Times New Roman" w:hAnsi="Times New Roman"/>
          <w:sz w:val="24"/>
          <w:szCs w:val="24"/>
        </w:rPr>
        <w:t>T</w:t>
      </w:r>
      <w:r w:rsidRPr="00061A5F">
        <w:rPr>
          <w:rFonts w:ascii="Times New Roman" w:hAnsi="Times New Roman"/>
          <w:sz w:val="24"/>
          <w:szCs w:val="24"/>
        </w:rPr>
        <w:t xml:space="preserve">ests of </w:t>
      </w:r>
      <w:r w:rsidR="00497A0A" w:rsidRPr="00061A5F">
        <w:rPr>
          <w:rFonts w:ascii="Times New Roman" w:hAnsi="Times New Roman"/>
          <w:sz w:val="24"/>
          <w:szCs w:val="24"/>
        </w:rPr>
        <w:t>S</w:t>
      </w:r>
      <w:r w:rsidRPr="00061A5F">
        <w:rPr>
          <w:rFonts w:ascii="Times New Roman" w:hAnsi="Times New Roman"/>
          <w:sz w:val="24"/>
          <w:szCs w:val="24"/>
        </w:rPr>
        <w:t xml:space="preserve">pecification for </w:t>
      </w:r>
      <w:r w:rsidR="00497A0A" w:rsidRPr="00061A5F">
        <w:rPr>
          <w:rFonts w:ascii="Times New Roman" w:hAnsi="Times New Roman"/>
          <w:sz w:val="24"/>
          <w:szCs w:val="24"/>
        </w:rPr>
        <w:t>P</w:t>
      </w:r>
      <w:r w:rsidRPr="00061A5F">
        <w:rPr>
          <w:rFonts w:ascii="Times New Roman" w:hAnsi="Times New Roman"/>
          <w:sz w:val="24"/>
          <w:szCs w:val="24"/>
        </w:rPr>
        <w:t xml:space="preserve">anel data: Monte Carlo </w:t>
      </w:r>
      <w:r w:rsidR="00497A0A" w:rsidRPr="00061A5F">
        <w:rPr>
          <w:rFonts w:ascii="Times New Roman" w:hAnsi="Times New Roman"/>
          <w:sz w:val="24"/>
          <w:szCs w:val="24"/>
        </w:rPr>
        <w:t>E</w:t>
      </w:r>
      <w:r w:rsidRPr="00061A5F">
        <w:rPr>
          <w:rFonts w:ascii="Times New Roman" w:hAnsi="Times New Roman"/>
          <w:sz w:val="24"/>
          <w:szCs w:val="24"/>
        </w:rPr>
        <w:t xml:space="preserve">vidence and an </w:t>
      </w:r>
      <w:r w:rsidR="00497A0A" w:rsidRPr="00061A5F">
        <w:rPr>
          <w:rFonts w:ascii="Times New Roman" w:hAnsi="Times New Roman"/>
          <w:sz w:val="24"/>
          <w:szCs w:val="24"/>
        </w:rPr>
        <w:t>A</w:t>
      </w:r>
      <w:r w:rsidRPr="00061A5F">
        <w:rPr>
          <w:rFonts w:ascii="Times New Roman" w:hAnsi="Times New Roman"/>
          <w:sz w:val="24"/>
          <w:szCs w:val="24"/>
        </w:rPr>
        <w:t xml:space="preserve">pplication to </w:t>
      </w:r>
      <w:r w:rsidR="00497A0A" w:rsidRPr="00061A5F">
        <w:rPr>
          <w:rFonts w:ascii="Times New Roman" w:hAnsi="Times New Roman"/>
          <w:sz w:val="24"/>
          <w:szCs w:val="24"/>
        </w:rPr>
        <w:t>E</w:t>
      </w:r>
      <w:r w:rsidRPr="00061A5F">
        <w:rPr>
          <w:rFonts w:ascii="Times New Roman" w:hAnsi="Times New Roman"/>
          <w:sz w:val="24"/>
          <w:szCs w:val="24"/>
        </w:rPr>
        <w:t xml:space="preserve">mployment </w:t>
      </w:r>
      <w:r w:rsidR="00497A0A" w:rsidRPr="00061A5F">
        <w:rPr>
          <w:rFonts w:ascii="Times New Roman" w:hAnsi="Times New Roman"/>
          <w:sz w:val="24"/>
          <w:szCs w:val="24"/>
        </w:rPr>
        <w:t>E</w:t>
      </w:r>
      <w:r w:rsidRPr="00061A5F">
        <w:rPr>
          <w:rFonts w:ascii="Times New Roman" w:hAnsi="Times New Roman"/>
          <w:sz w:val="24"/>
          <w:szCs w:val="24"/>
        </w:rPr>
        <w:t xml:space="preserve">quations. </w:t>
      </w:r>
      <w:r w:rsidRPr="00061A5F">
        <w:rPr>
          <w:rFonts w:ascii="Times New Roman" w:hAnsi="Times New Roman"/>
          <w:i/>
          <w:sz w:val="24"/>
          <w:szCs w:val="24"/>
        </w:rPr>
        <w:t>Review of Economic Studies</w:t>
      </w:r>
      <w:r w:rsidR="007C533D" w:rsidRPr="00061A5F">
        <w:rPr>
          <w:rFonts w:ascii="Times New Roman" w:hAnsi="Times New Roman"/>
          <w:sz w:val="24"/>
          <w:szCs w:val="24"/>
        </w:rPr>
        <w:t xml:space="preserve"> 58:277-</w:t>
      </w:r>
      <w:r w:rsidRPr="00061A5F">
        <w:rPr>
          <w:rFonts w:ascii="Times New Roman" w:hAnsi="Times New Roman"/>
          <w:sz w:val="24"/>
          <w:szCs w:val="24"/>
        </w:rPr>
        <w:t>297.</w:t>
      </w:r>
    </w:p>
    <w:p w14:paraId="1C199AA5" w14:textId="77777777" w:rsidR="00056267" w:rsidRPr="00061A5F" w:rsidRDefault="00056267" w:rsidP="007F5D0E">
      <w:pPr>
        <w:autoSpaceDE w:val="0"/>
        <w:autoSpaceDN w:val="0"/>
        <w:adjustRightInd w:val="0"/>
        <w:jc w:val="both"/>
        <w:rPr>
          <w:rFonts w:ascii="Times New Roman" w:hAnsi="Times New Roman"/>
          <w:sz w:val="24"/>
          <w:szCs w:val="24"/>
        </w:rPr>
      </w:pPr>
    </w:p>
    <w:p w14:paraId="7254D7E0" w14:textId="54FB37ED" w:rsidR="00056267" w:rsidRPr="00061A5F" w:rsidRDefault="00056267" w:rsidP="007F5D0E">
      <w:pPr>
        <w:autoSpaceDE w:val="0"/>
        <w:autoSpaceDN w:val="0"/>
        <w:adjustRightInd w:val="0"/>
        <w:jc w:val="both"/>
        <w:rPr>
          <w:rFonts w:ascii="Times New Roman" w:hAnsi="Times New Roman"/>
          <w:sz w:val="24"/>
          <w:szCs w:val="24"/>
        </w:rPr>
      </w:pPr>
      <w:r w:rsidRPr="00061A5F">
        <w:rPr>
          <w:rFonts w:ascii="Times New Roman" w:hAnsi="Times New Roman"/>
          <w:sz w:val="24"/>
          <w:szCs w:val="24"/>
        </w:rPr>
        <w:t xml:space="preserve">Arellano M., </w:t>
      </w:r>
      <w:proofErr w:type="spellStart"/>
      <w:r w:rsidRPr="00061A5F">
        <w:rPr>
          <w:rFonts w:ascii="Times New Roman" w:hAnsi="Times New Roman"/>
          <w:sz w:val="24"/>
          <w:szCs w:val="24"/>
        </w:rPr>
        <w:t>Bover</w:t>
      </w:r>
      <w:proofErr w:type="spellEnd"/>
      <w:r w:rsidR="00497A0A" w:rsidRPr="00061A5F">
        <w:rPr>
          <w:rFonts w:ascii="Times New Roman" w:hAnsi="Times New Roman"/>
          <w:sz w:val="24"/>
          <w:szCs w:val="24"/>
        </w:rPr>
        <w:t xml:space="preserve"> O</w:t>
      </w:r>
      <w:r w:rsidRPr="00061A5F">
        <w:rPr>
          <w:rFonts w:ascii="Times New Roman" w:hAnsi="Times New Roman"/>
          <w:sz w:val="24"/>
          <w:szCs w:val="24"/>
        </w:rPr>
        <w:t xml:space="preserve"> </w:t>
      </w:r>
      <w:r w:rsidR="00497A0A" w:rsidRPr="00061A5F">
        <w:rPr>
          <w:rFonts w:ascii="Times New Roman" w:hAnsi="Times New Roman"/>
          <w:sz w:val="24"/>
          <w:szCs w:val="24"/>
        </w:rPr>
        <w:t>(</w:t>
      </w:r>
      <w:r w:rsidRPr="00061A5F">
        <w:rPr>
          <w:rFonts w:ascii="Times New Roman" w:hAnsi="Times New Roman"/>
          <w:sz w:val="24"/>
          <w:szCs w:val="24"/>
        </w:rPr>
        <w:t>1995</w:t>
      </w:r>
      <w:r w:rsidR="00497A0A" w:rsidRPr="00061A5F">
        <w:rPr>
          <w:rFonts w:ascii="Times New Roman" w:hAnsi="Times New Roman"/>
          <w:sz w:val="24"/>
          <w:szCs w:val="24"/>
        </w:rPr>
        <w:t>):</w:t>
      </w:r>
      <w:r w:rsidRPr="00061A5F">
        <w:rPr>
          <w:rFonts w:ascii="Times New Roman" w:hAnsi="Times New Roman"/>
          <w:sz w:val="24"/>
          <w:szCs w:val="24"/>
        </w:rPr>
        <w:t xml:space="preserve"> Another </w:t>
      </w:r>
      <w:r w:rsidR="00497A0A" w:rsidRPr="00061A5F">
        <w:rPr>
          <w:rFonts w:ascii="Times New Roman" w:hAnsi="Times New Roman"/>
          <w:sz w:val="24"/>
          <w:szCs w:val="24"/>
        </w:rPr>
        <w:t>L</w:t>
      </w:r>
      <w:r w:rsidRPr="00061A5F">
        <w:rPr>
          <w:rFonts w:ascii="Times New Roman" w:hAnsi="Times New Roman"/>
          <w:sz w:val="24"/>
          <w:szCs w:val="24"/>
        </w:rPr>
        <w:t xml:space="preserve">ook at the </w:t>
      </w:r>
      <w:r w:rsidR="00497A0A" w:rsidRPr="00061A5F">
        <w:rPr>
          <w:rFonts w:ascii="Times New Roman" w:hAnsi="Times New Roman"/>
          <w:sz w:val="24"/>
          <w:szCs w:val="24"/>
        </w:rPr>
        <w:t>I</w:t>
      </w:r>
      <w:r w:rsidRPr="00061A5F">
        <w:rPr>
          <w:rFonts w:ascii="Times New Roman" w:hAnsi="Times New Roman"/>
          <w:sz w:val="24"/>
          <w:szCs w:val="24"/>
        </w:rPr>
        <w:t xml:space="preserve">nstrumental </w:t>
      </w:r>
      <w:r w:rsidR="00497A0A" w:rsidRPr="00061A5F">
        <w:rPr>
          <w:rFonts w:ascii="Times New Roman" w:hAnsi="Times New Roman"/>
          <w:sz w:val="24"/>
          <w:szCs w:val="24"/>
        </w:rPr>
        <w:t>V</w:t>
      </w:r>
      <w:r w:rsidRPr="00061A5F">
        <w:rPr>
          <w:rFonts w:ascii="Times New Roman" w:hAnsi="Times New Roman"/>
          <w:sz w:val="24"/>
          <w:szCs w:val="24"/>
        </w:rPr>
        <w:t xml:space="preserve">ariable </w:t>
      </w:r>
      <w:r w:rsidR="00497A0A" w:rsidRPr="00061A5F">
        <w:rPr>
          <w:rFonts w:ascii="Times New Roman" w:hAnsi="Times New Roman"/>
          <w:sz w:val="24"/>
          <w:szCs w:val="24"/>
        </w:rPr>
        <w:t>E</w:t>
      </w:r>
      <w:r w:rsidRPr="00061A5F">
        <w:rPr>
          <w:rFonts w:ascii="Times New Roman" w:hAnsi="Times New Roman"/>
          <w:sz w:val="24"/>
          <w:szCs w:val="24"/>
        </w:rPr>
        <w:t xml:space="preserve">stimation of </w:t>
      </w:r>
      <w:r w:rsidR="00497A0A" w:rsidRPr="00061A5F">
        <w:rPr>
          <w:rFonts w:ascii="Times New Roman" w:hAnsi="Times New Roman"/>
          <w:sz w:val="24"/>
          <w:szCs w:val="24"/>
        </w:rPr>
        <w:t>E</w:t>
      </w:r>
      <w:r w:rsidRPr="00061A5F">
        <w:rPr>
          <w:rFonts w:ascii="Times New Roman" w:hAnsi="Times New Roman"/>
          <w:sz w:val="24"/>
          <w:szCs w:val="24"/>
        </w:rPr>
        <w:t>rror-</w:t>
      </w:r>
      <w:r w:rsidR="00497A0A" w:rsidRPr="00061A5F">
        <w:rPr>
          <w:rFonts w:ascii="Times New Roman" w:hAnsi="Times New Roman"/>
          <w:sz w:val="24"/>
          <w:szCs w:val="24"/>
        </w:rPr>
        <w:t>C</w:t>
      </w:r>
      <w:r w:rsidRPr="00061A5F">
        <w:rPr>
          <w:rFonts w:ascii="Times New Roman" w:hAnsi="Times New Roman"/>
          <w:sz w:val="24"/>
          <w:szCs w:val="24"/>
        </w:rPr>
        <w:t xml:space="preserve">omponents </w:t>
      </w:r>
      <w:r w:rsidR="00497A0A" w:rsidRPr="00061A5F">
        <w:rPr>
          <w:rFonts w:ascii="Times New Roman" w:hAnsi="Times New Roman"/>
          <w:sz w:val="24"/>
          <w:szCs w:val="24"/>
        </w:rPr>
        <w:t>M</w:t>
      </w:r>
      <w:r w:rsidRPr="00061A5F">
        <w:rPr>
          <w:rFonts w:ascii="Times New Roman" w:hAnsi="Times New Roman"/>
          <w:sz w:val="24"/>
          <w:szCs w:val="24"/>
        </w:rPr>
        <w:t xml:space="preserve">odels. </w:t>
      </w:r>
      <w:r w:rsidRPr="00061A5F">
        <w:rPr>
          <w:rFonts w:ascii="Times New Roman" w:hAnsi="Times New Roman"/>
          <w:i/>
          <w:sz w:val="24"/>
          <w:szCs w:val="24"/>
        </w:rPr>
        <w:t>Journal of Econometrics</w:t>
      </w:r>
      <w:r w:rsidRPr="00061A5F">
        <w:rPr>
          <w:rFonts w:ascii="Times New Roman" w:hAnsi="Times New Roman"/>
          <w:sz w:val="24"/>
          <w:szCs w:val="24"/>
        </w:rPr>
        <w:t xml:space="preserve"> 68:29</w:t>
      </w:r>
      <w:r w:rsidR="00497A0A" w:rsidRPr="00061A5F">
        <w:rPr>
          <w:rFonts w:ascii="Times New Roman" w:hAnsi="Times New Roman"/>
          <w:sz w:val="24"/>
          <w:szCs w:val="24"/>
        </w:rPr>
        <w:t>-</w:t>
      </w:r>
      <w:r w:rsidRPr="00061A5F">
        <w:rPr>
          <w:rFonts w:ascii="Times New Roman" w:hAnsi="Times New Roman"/>
          <w:sz w:val="24"/>
          <w:szCs w:val="24"/>
        </w:rPr>
        <w:t>51.</w:t>
      </w:r>
    </w:p>
    <w:p w14:paraId="575902FE" w14:textId="77777777" w:rsidR="00056267" w:rsidRPr="00061A5F" w:rsidRDefault="00056267" w:rsidP="007F5D0E">
      <w:pPr>
        <w:jc w:val="both"/>
        <w:rPr>
          <w:rFonts w:ascii="Times New Roman" w:hAnsi="Times New Roman"/>
          <w:sz w:val="24"/>
          <w:szCs w:val="24"/>
        </w:rPr>
      </w:pPr>
    </w:p>
    <w:p w14:paraId="7839E5BA" w14:textId="16917CFD" w:rsidR="008A2B4A" w:rsidRPr="00061A5F" w:rsidRDefault="008A2B4A" w:rsidP="007F5D0E">
      <w:pPr>
        <w:jc w:val="both"/>
        <w:rPr>
          <w:rFonts w:ascii="Times New Roman" w:hAnsi="Times New Roman"/>
          <w:sz w:val="24"/>
          <w:szCs w:val="24"/>
        </w:rPr>
      </w:pPr>
      <w:proofErr w:type="spellStart"/>
      <w:r w:rsidRPr="00061A5F">
        <w:rPr>
          <w:rFonts w:ascii="Times New Roman" w:hAnsi="Times New Roman"/>
          <w:sz w:val="24"/>
          <w:szCs w:val="24"/>
        </w:rPr>
        <w:t>Begović</w:t>
      </w:r>
      <w:proofErr w:type="spellEnd"/>
      <w:r w:rsidRPr="00061A5F">
        <w:rPr>
          <w:rFonts w:ascii="Times New Roman" w:hAnsi="Times New Roman"/>
          <w:sz w:val="24"/>
          <w:szCs w:val="24"/>
        </w:rPr>
        <w:t xml:space="preserve"> S, </w:t>
      </w:r>
      <w:proofErr w:type="spellStart"/>
      <w:r w:rsidRPr="00061A5F">
        <w:rPr>
          <w:rFonts w:ascii="Times New Roman" w:hAnsi="Times New Roman"/>
          <w:sz w:val="24"/>
          <w:szCs w:val="24"/>
        </w:rPr>
        <w:t>Adnett</w:t>
      </w:r>
      <w:proofErr w:type="spellEnd"/>
      <w:r w:rsidRPr="00061A5F">
        <w:rPr>
          <w:rFonts w:ascii="Times New Roman" w:hAnsi="Times New Roman"/>
          <w:sz w:val="24"/>
          <w:szCs w:val="24"/>
        </w:rPr>
        <w:t xml:space="preserve"> N</w:t>
      </w:r>
      <w:r w:rsidR="00497A0A" w:rsidRPr="00061A5F">
        <w:rPr>
          <w:rFonts w:ascii="Times New Roman" w:hAnsi="Times New Roman"/>
          <w:sz w:val="24"/>
          <w:szCs w:val="24"/>
        </w:rPr>
        <w:t>,</w:t>
      </w:r>
      <w:r w:rsidRPr="00061A5F">
        <w:rPr>
          <w:rFonts w:ascii="Times New Roman" w:hAnsi="Times New Roman"/>
          <w:sz w:val="24"/>
          <w:szCs w:val="24"/>
        </w:rPr>
        <w:t xml:space="preserve"> Pugh G (2016)</w:t>
      </w:r>
      <w:r w:rsidR="00497A0A" w:rsidRPr="00061A5F">
        <w:rPr>
          <w:rFonts w:ascii="Times New Roman" w:hAnsi="Times New Roman"/>
          <w:sz w:val="24"/>
          <w:szCs w:val="24"/>
        </w:rPr>
        <w:t>:</w:t>
      </w:r>
      <w:r w:rsidRPr="00061A5F">
        <w:rPr>
          <w:rFonts w:ascii="Times New Roman" w:hAnsi="Times New Roman"/>
          <w:sz w:val="24"/>
          <w:szCs w:val="24"/>
        </w:rPr>
        <w:t xml:space="preserve"> An Investigation into the Credibility of Currency Board Arrangements in Bosnia and Herzegovina and Bulgaria</w:t>
      </w:r>
      <w:r w:rsidR="00497A0A" w:rsidRPr="00061A5F">
        <w:rPr>
          <w:rFonts w:ascii="Times New Roman" w:hAnsi="Times New Roman"/>
          <w:sz w:val="24"/>
          <w:szCs w:val="24"/>
        </w:rPr>
        <w:t>.</w:t>
      </w:r>
      <w:r w:rsidRPr="00061A5F">
        <w:rPr>
          <w:rFonts w:ascii="Times New Roman" w:hAnsi="Times New Roman"/>
          <w:sz w:val="24"/>
          <w:szCs w:val="24"/>
        </w:rPr>
        <w:t xml:space="preserve"> </w:t>
      </w:r>
      <w:r w:rsidRPr="00061A5F">
        <w:rPr>
          <w:rFonts w:ascii="Times New Roman" w:hAnsi="Times New Roman"/>
          <w:i/>
          <w:sz w:val="24"/>
          <w:szCs w:val="24"/>
        </w:rPr>
        <w:t>Journal of Comparative Economics</w:t>
      </w:r>
      <w:r w:rsidRPr="00061A5F">
        <w:rPr>
          <w:rFonts w:ascii="Times New Roman" w:hAnsi="Times New Roman"/>
          <w:sz w:val="24"/>
          <w:szCs w:val="24"/>
        </w:rPr>
        <w:t>,</w:t>
      </w:r>
      <w:r w:rsidR="007C533D" w:rsidRPr="00061A5F">
        <w:rPr>
          <w:rFonts w:ascii="Times New Roman" w:hAnsi="Times New Roman"/>
          <w:sz w:val="24"/>
          <w:szCs w:val="24"/>
        </w:rPr>
        <w:t xml:space="preserve"> 44(3):787-799.</w:t>
      </w:r>
    </w:p>
    <w:p w14:paraId="06CEC2AF" w14:textId="77777777" w:rsidR="008A2B4A" w:rsidRPr="00061A5F" w:rsidRDefault="008A2B4A" w:rsidP="007F5D0E">
      <w:pPr>
        <w:jc w:val="both"/>
        <w:rPr>
          <w:rFonts w:ascii="Times New Roman" w:hAnsi="Times New Roman"/>
          <w:sz w:val="24"/>
          <w:szCs w:val="24"/>
        </w:rPr>
      </w:pPr>
    </w:p>
    <w:p w14:paraId="6213E998" w14:textId="6674B4B3" w:rsidR="005F3A1D" w:rsidRPr="00061A5F" w:rsidRDefault="005F3A1D" w:rsidP="007F5D0E">
      <w:pPr>
        <w:jc w:val="both"/>
        <w:rPr>
          <w:rFonts w:ascii="Times New Roman" w:hAnsi="Times New Roman"/>
          <w:sz w:val="24"/>
          <w:szCs w:val="24"/>
        </w:rPr>
      </w:pPr>
      <w:proofErr w:type="spellStart"/>
      <w:r w:rsidRPr="00061A5F">
        <w:rPr>
          <w:rFonts w:ascii="Times New Roman" w:hAnsi="Times New Roman"/>
          <w:sz w:val="24"/>
          <w:szCs w:val="24"/>
        </w:rPr>
        <w:t>Bleaney</w:t>
      </w:r>
      <w:proofErr w:type="spellEnd"/>
      <w:r w:rsidRPr="00061A5F">
        <w:rPr>
          <w:rFonts w:ascii="Times New Roman" w:hAnsi="Times New Roman"/>
          <w:sz w:val="24"/>
          <w:szCs w:val="24"/>
        </w:rPr>
        <w:t xml:space="preserve"> M</w:t>
      </w:r>
      <w:r w:rsidR="00497A0A" w:rsidRPr="00061A5F">
        <w:rPr>
          <w:rFonts w:ascii="Times New Roman" w:hAnsi="Times New Roman"/>
          <w:sz w:val="24"/>
          <w:szCs w:val="24"/>
        </w:rPr>
        <w:t>,</w:t>
      </w:r>
      <w:r w:rsidRPr="00061A5F">
        <w:rPr>
          <w:rFonts w:ascii="Times New Roman" w:hAnsi="Times New Roman"/>
          <w:sz w:val="24"/>
          <w:szCs w:val="24"/>
        </w:rPr>
        <w:t xml:space="preserve"> Francisco M (2005)</w:t>
      </w:r>
      <w:r w:rsidR="00497A0A" w:rsidRPr="00061A5F">
        <w:rPr>
          <w:rFonts w:ascii="Times New Roman" w:hAnsi="Times New Roman"/>
          <w:sz w:val="24"/>
          <w:szCs w:val="24"/>
        </w:rPr>
        <w:t>:</w:t>
      </w:r>
      <w:r w:rsidRPr="00061A5F">
        <w:rPr>
          <w:rFonts w:ascii="Times New Roman" w:hAnsi="Times New Roman"/>
          <w:sz w:val="24"/>
          <w:szCs w:val="24"/>
        </w:rPr>
        <w:t xml:space="preserve"> Exchange Rate Regimes and Inflation: Only Hard Pegs Make a Difference</w:t>
      </w:r>
      <w:r w:rsidR="00497A0A" w:rsidRPr="00061A5F">
        <w:rPr>
          <w:rFonts w:ascii="Times New Roman" w:hAnsi="Times New Roman"/>
          <w:sz w:val="24"/>
          <w:szCs w:val="24"/>
        </w:rPr>
        <w:t>.</w:t>
      </w:r>
      <w:r w:rsidRPr="00061A5F">
        <w:rPr>
          <w:rFonts w:ascii="Times New Roman" w:hAnsi="Times New Roman"/>
          <w:sz w:val="24"/>
          <w:szCs w:val="24"/>
        </w:rPr>
        <w:t xml:space="preserve"> </w:t>
      </w:r>
      <w:r w:rsidRPr="00061A5F">
        <w:rPr>
          <w:rFonts w:ascii="Times New Roman" w:hAnsi="Times New Roman"/>
          <w:i/>
          <w:sz w:val="24"/>
          <w:szCs w:val="24"/>
        </w:rPr>
        <w:t>The Canadian Journal of Economics</w:t>
      </w:r>
      <w:r w:rsidRPr="00061A5F">
        <w:rPr>
          <w:rFonts w:ascii="Times New Roman" w:hAnsi="Times New Roman"/>
          <w:sz w:val="24"/>
          <w:szCs w:val="24"/>
        </w:rPr>
        <w:t>, 38(4):1453-1471</w:t>
      </w:r>
      <w:r w:rsidR="007C533D" w:rsidRPr="00061A5F">
        <w:rPr>
          <w:rFonts w:ascii="Times New Roman" w:hAnsi="Times New Roman"/>
          <w:sz w:val="24"/>
          <w:szCs w:val="24"/>
        </w:rPr>
        <w:t>.</w:t>
      </w:r>
    </w:p>
    <w:p w14:paraId="30F55F76" w14:textId="77777777" w:rsidR="005F3A1D" w:rsidRPr="00061A5F" w:rsidRDefault="005F3A1D" w:rsidP="007F5D0E">
      <w:pPr>
        <w:jc w:val="both"/>
        <w:rPr>
          <w:rFonts w:ascii="Times New Roman" w:hAnsi="Times New Roman"/>
          <w:sz w:val="24"/>
          <w:szCs w:val="24"/>
        </w:rPr>
      </w:pPr>
    </w:p>
    <w:p w14:paraId="505BF347" w14:textId="53204732" w:rsidR="005F3A1D" w:rsidRPr="00061A5F" w:rsidRDefault="005F3A1D" w:rsidP="007F5D0E">
      <w:pPr>
        <w:jc w:val="both"/>
        <w:rPr>
          <w:rFonts w:ascii="Times New Roman" w:hAnsi="Times New Roman"/>
          <w:sz w:val="24"/>
          <w:szCs w:val="24"/>
        </w:rPr>
      </w:pPr>
      <w:proofErr w:type="spellStart"/>
      <w:r w:rsidRPr="00061A5F">
        <w:rPr>
          <w:rFonts w:ascii="Times New Roman" w:hAnsi="Times New Roman"/>
          <w:sz w:val="24"/>
          <w:szCs w:val="24"/>
        </w:rPr>
        <w:t>Bleaney</w:t>
      </w:r>
      <w:proofErr w:type="spellEnd"/>
      <w:r w:rsidRPr="00061A5F">
        <w:rPr>
          <w:rFonts w:ascii="Times New Roman" w:hAnsi="Times New Roman"/>
          <w:sz w:val="24"/>
          <w:szCs w:val="24"/>
        </w:rPr>
        <w:t xml:space="preserve"> M</w:t>
      </w:r>
      <w:r w:rsidR="00497A0A" w:rsidRPr="00061A5F">
        <w:rPr>
          <w:rFonts w:ascii="Times New Roman" w:hAnsi="Times New Roman"/>
          <w:sz w:val="24"/>
          <w:szCs w:val="24"/>
        </w:rPr>
        <w:t>,</w:t>
      </w:r>
      <w:r w:rsidRPr="00061A5F">
        <w:rPr>
          <w:rFonts w:ascii="Times New Roman" w:hAnsi="Times New Roman"/>
          <w:sz w:val="24"/>
          <w:szCs w:val="24"/>
        </w:rPr>
        <w:t xml:space="preserve"> Francisco M (2007)</w:t>
      </w:r>
      <w:r w:rsidR="00497A0A" w:rsidRPr="00061A5F">
        <w:rPr>
          <w:rFonts w:ascii="Times New Roman" w:hAnsi="Times New Roman"/>
          <w:sz w:val="24"/>
          <w:szCs w:val="24"/>
        </w:rPr>
        <w:t>:</w:t>
      </w:r>
      <w:r w:rsidRPr="00061A5F">
        <w:rPr>
          <w:rFonts w:ascii="Times New Roman" w:hAnsi="Times New Roman"/>
          <w:sz w:val="24"/>
          <w:szCs w:val="24"/>
        </w:rPr>
        <w:t xml:space="preserve"> The Performance of Exchange Rate Regimes in Developing Countries – Does the Classification Scheme Matter? </w:t>
      </w:r>
      <w:r w:rsidRPr="00061A5F">
        <w:rPr>
          <w:rFonts w:ascii="Times New Roman" w:hAnsi="Times New Roman"/>
          <w:i/>
          <w:sz w:val="24"/>
          <w:szCs w:val="24"/>
        </w:rPr>
        <w:t>CREDIT Research Paper</w:t>
      </w:r>
      <w:r w:rsidRPr="00061A5F">
        <w:rPr>
          <w:rFonts w:ascii="Times New Roman" w:hAnsi="Times New Roman"/>
          <w:sz w:val="24"/>
          <w:szCs w:val="24"/>
        </w:rPr>
        <w:t>, No. 04</w:t>
      </w:r>
      <w:r w:rsidR="007C533D" w:rsidRPr="00061A5F">
        <w:rPr>
          <w:rFonts w:ascii="Times New Roman" w:hAnsi="Times New Roman"/>
          <w:sz w:val="24"/>
          <w:szCs w:val="24"/>
        </w:rPr>
        <w:t>.</w:t>
      </w:r>
    </w:p>
    <w:p w14:paraId="401FBC1C" w14:textId="77777777" w:rsidR="005F3A1D" w:rsidRPr="00061A5F" w:rsidRDefault="005F3A1D" w:rsidP="007F5D0E">
      <w:pPr>
        <w:jc w:val="both"/>
        <w:rPr>
          <w:rFonts w:ascii="Times New Roman" w:hAnsi="Times New Roman"/>
          <w:sz w:val="24"/>
          <w:szCs w:val="24"/>
        </w:rPr>
      </w:pPr>
    </w:p>
    <w:p w14:paraId="09859FDC" w14:textId="3033D5B6" w:rsidR="00056267" w:rsidRPr="00061A5F" w:rsidRDefault="00056267" w:rsidP="007F5D0E">
      <w:pPr>
        <w:autoSpaceDE w:val="0"/>
        <w:autoSpaceDN w:val="0"/>
        <w:adjustRightInd w:val="0"/>
        <w:jc w:val="both"/>
        <w:rPr>
          <w:rFonts w:ascii="Times New Roman" w:hAnsi="Times New Roman"/>
          <w:sz w:val="24"/>
          <w:szCs w:val="24"/>
        </w:rPr>
      </w:pPr>
      <w:r w:rsidRPr="00061A5F">
        <w:rPr>
          <w:rFonts w:ascii="Times New Roman" w:hAnsi="Times New Roman"/>
          <w:sz w:val="24"/>
          <w:szCs w:val="24"/>
        </w:rPr>
        <w:t>Blundell R, Bond</w:t>
      </w:r>
      <w:r w:rsidR="00497A0A" w:rsidRPr="00061A5F">
        <w:rPr>
          <w:rFonts w:ascii="Times New Roman" w:hAnsi="Times New Roman"/>
          <w:sz w:val="24"/>
          <w:szCs w:val="24"/>
        </w:rPr>
        <w:t xml:space="preserve"> S</w:t>
      </w:r>
      <w:r w:rsidRPr="00061A5F">
        <w:rPr>
          <w:rFonts w:ascii="Times New Roman" w:hAnsi="Times New Roman"/>
          <w:sz w:val="24"/>
          <w:szCs w:val="24"/>
        </w:rPr>
        <w:t xml:space="preserve"> </w:t>
      </w:r>
      <w:r w:rsidR="00497A0A" w:rsidRPr="00061A5F">
        <w:rPr>
          <w:rFonts w:ascii="Times New Roman" w:hAnsi="Times New Roman"/>
          <w:sz w:val="24"/>
          <w:szCs w:val="24"/>
        </w:rPr>
        <w:t>(</w:t>
      </w:r>
      <w:r w:rsidRPr="00061A5F">
        <w:rPr>
          <w:rFonts w:ascii="Times New Roman" w:hAnsi="Times New Roman"/>
          <w:sz w:val="24"/>
          <w:szCs w:val="24"/>
        </w:rPr>
        <w:t>1998</w:t>
      </w:r>
      <w:r w:rsidR="00497A0A" w:rsidRPr="00061A5F">
        <w:rPr>
          <w:rFonts w:ascii="Times New Roman" w:hAnsi="Times New Roman"/>
          <w:sz w:val="24"/>
          <w:szCs w:val="24"/>
        </w:rPr>
        <w:t>):</w:t>
      </w:r>
      <w:r w:rsidRPr="00061A5F">
        <w:rPr>
          <w:rFonts w:ascii="Times New Roman" w:hAnsi="Times New Roman"/>
          <w:sz w:val="24"/>
          <w:szCs w:val="24"/>
        </w:rPr>
        <w:t xml:space="preserve"> Initial </w:t>
      </w:r>
      <w:r w:rsidR="00497A0A" w:rsidRPr="00061A5F">
        <w:rPr>
          <w:rFonts w:ascii="Times New Roman" w:hAnsi="Times New Roman"/>
          <w:sz w:val="24"/>
          <w:szCs w:val="24"/>
        </w:rPr>
        <w:t>C</w:t>
      </w:r>
      <w:r w:rsidRPr="00061A5F">
        <w:rPr>
          <w:rFonts w:ascii="Times New Roman" w:hAnsi="Times New Roman"/>
          <w:sz w:val="24"/>
          <w:szCs w:val="24"/>
        </w:rPr>
        <w:t xml:space="preserve">onditions and </w:t>
      </w:r>
      <w:r w:rsidR="00497A0A" w:rsidRPr="00061A5F">
        <w:rPr>
          <w:rFonts w:ascii="Times New Roman" w:hAnsi="Times New Roman"/>
          <w:sz w:val="24"/>
          <w:szCs w:val="24"/>
        </w:rPr>
        <w:t>M</w:t>
      </w:r>
      <w:r w:rsidRPr="00061A5F">
        <w:rPr>
          <w:rFonts w:ascii="Times New Roman" w:hAnsi="Times New Roman"/>
          <w:sz w:val="24"/>
          <w:szCs w:val="24"/>
        </w:rPr>
        <w:t xml:space="preserve">oment </w:t>
      </w:r>
      <w:r w:rsidR="00497A0A" w:rsidRPr="00061A5F">
        <w:rPr>
          <w:rFonts w:ascii="Times New Roman" w:hAnsi="Times New Roman"/>
          <w:sz w:val="24"/>
          <w:szCs w:val="24"/>
        </w:rPr>
        <w:t>R</w:t>
      </w:r>
      <w:r w:rsidRPr="00061A5F">
        <w:rPr>
          <w:rFonts w:ascii="Times New Roman" w:hAnsi="Times New Roman"/>
          <w:sz w:val="24"/>
          <w:szCs w:val="24"/>
        </w:rPr>
        <w:t xml:space="preserve">estrictions in </w:t>
      </w:r>
      <w:r w:rsidR="00497A0A" w:rsidRPr="00061A5F">
        <w:rPr>
          <w:rFonts w:ascii="Times New Roman" w:hAnsi="Times New Roman"/>
          <w:sz w:val="24"/>
          <w:szCs w:val="24"/>
        </w:rPr>
        <w:t>D</w:t>
      </w:r>
      <w:r w:rsidRPr="00061A5F">
        <w:rPr>
          <w:rFonts w:ascii="Times New Roman" w:hAnsi="Times New Roman"/>
          <w:sz w:val="24"/>
          <w:szCs w:val="24"/>
        </w:rPr>
        <w:t xml:space="preserve">ynamic </w:t>
      </w:r>
      <w:r w:rsidR="00497A0A" w:rsidRPr="00061A5F">
        <w:rPr>
          <w:rFonts w:ascii="Times New Roman" w:hAnsi="Times New Roman"/>
          <w:sz w:val="24"/>
          <w:szCs w:val="24"/>
        </w:rPr>
        <w:t>P</w:t>
      </w:r>
      <w:r w:rsidRPr="00061A5F">
        <w:rPr>
          <w:rFonts w:ascii="Times New Roman" w:hAnsi="Times New Roman"/>
          <w:sz w:val="24"/>
          <w:szCs w:val="24"/>
        </w:rPr>
        <w:t xml:space="preserve">anel </w:t>
      </w:r>
      <w:r w:rsidR="00497A0A" w:rsidRPr="00061A5F">
        <w:rPr>
          <w:rFonts w:ascii="Times New Roman" w:hAnsi="Times New Roman"/>
          <w:sz w:val="24"/>
          <w:szCs w:val="24"/>
        </w:rPr>
        <w:t>D</w:t>
      </w:r>
      <w:r w:rsidRPr="00061A5F">
        <w:rPr>
          <w:rFonts w:ascii="Times New Roman" w:hAnsi="Times New Roman"/>
          <w:sz w:val="24"/>
          <w:szCs w:val="24"/>
        </w:rPr>
        <w:t xml:space="preserve">ata </w:t>
      </w:r>
      <w:r w:rsidR="00497A0A" w:rsidRPr="00061A5F">
        <w:rPr>
          <w:rFonts w:ascii="Times New Roman" w:hAnsi="Times New Roman"/>
          <w:sz w:val="24"/>
          <w:szCs w:val="24"/>
        </w:rPr>
        <w:t>M</w:t>
      </w:r>
      <w:r w:rsidRPr="00061A5F">
        <w:rPr>
          <w:rFonts w:ascii="Times New Roman" w:hAnsi="Times New Roman"/>
          <w:sz w:val="24"/>
          <w:szCs w:val="24"/>
        </w:rPr>
        <w:t xml:space="preserve">odels. </w:t>
      </w:r>
      <w:r w:rsidRPr="00061A5F">
        <w:rPr>
          <w:rFonts w:ascii="Times New Roman" w:hAnsi="Times New Roman"/>
          <w:i/>
          <w:sz w:val="24"/>
          <w:szCs w:val="24"/>
        </w:rPr>
        <w:t>Journal of Econometrics</w:t>
      </w:r>
      <w:r w:rsidRPr="00061A5F">
        <w:rPr>
          <w:rFonts w:ascii="Times New Roman" w:hAnsi="Times New Roman"/>
          <w:sz w:val="24"/>
          <w:szCs w:val="24"/>
        </w:rPr>
        <w:t xml:space="preserve"> 87:115</w:t>
      </w:r>
      <w:r w:rsidR="00497A0A" w:rsidRPr="00061A5F">
        <w:rPr>
          <w:rFonts w:ascii="Times New Roman" w:hAnsi="Times New Roman"/>
          <w:sz w:val="24"/>
          <w:szCs w:val="24"/>
        </w:rPr>
        <w:t>-</w:t>
      </w:r>
      <w:r w:rsidRPr="00061A5F">
        <w:rPr>
          <w:rFonts w:ascii="Times New Roman" w:hAnsi="Times New Roman"/>
          <w:sz w:val="24"/>
          <w:szCs w:val="24"/>
        </w:rPr>
        <w:t>143.</w:t>
      </w:r>
    </w:p>
    <w:p w14:paraId="1BA26A01" w14:textId="77777777" w:rsidR="00056267" w:rsidRPr="00061A5F" w:rsidRDefault="00056267" w:rsidP="007F5D0E">
      <w:pPr>
        <w:autoSpaceDE w:val="0"/>
        <w:autoSpaceDN w:val="0"/>
        <w:adjustRightInd w:val="0"/>
        <w:jc w:val="both"/>
        <w:rPr>
          <w:rFonts w:ascii="Times New Roman" w:hAnsi="Times New Roman"/>
          <w:sz w:val="24"/>
          <w:szCs w:val="24"/>
        </w:rPr>
      </w:pPr>
    </w:p>
    <w:p w14:paraId="1C804E0C" w14:textId="43E11818" w:rsidR="005F3A1D" w:rsidRPr="00061A5F" w:rsidRDefault="005F3A1D" w:rsidP="007F5D0E">
      <w:pPr>
        <w:autoSpaceDE w:val="0"/>
        <w:autoSpaceDN w:val="0"/>
        <w:adjustRightInd w:val="0"/>
        <w:jc w:val="both"/>
        <w:rPr>
          <w:rFonts w:ascii="Times New Roman" w:hAnsi="Times New Roman"/>
          <w:sz w:val="24"/>
          <w:szCs w:val="24"/>
        </w:rPr>
      </w:pPr>
      <w:proofErr w:type="spellStart"/>
      <w:r w:rsidRPr="00061A5F">
        <w:rPr>
          <w:rFonts w:ascii="Times New Roman" w:hAnsi="Times New Roman"/>
          <w:sz w:val="24"/>
          <w:szCs w:val="24"/>
        </w:rPr>
        <w:t>Bogoev</w:t>
      </w:r>
      <w:proofErr w:type="spellEnd"/>
      <w:r w:rsidRPr="00061A5F">
        <w:rPr>
          <w:rFonts w:ascii="Times New Roman" w:hAnsi="Times New Roman"/>
          <w:sz w:val="24"/>
          <w:szCs w:val="24"/>
        </w:rPr>
        <w:t xml:space="preserve"> J, </w:t>
      </w:r>
      <w:proofErr w:type="spellStart"/>
      <w:r w:rsidRPr="00061A5F">
        <w:rPr>
          <w:rFonts w:ascii="Times New Roman" w:hAnsi="Times New Roman"/>
          <w:sz w:val="24"/>
          <w:szCs w:val="24"/>
        </w:rPr>
        <w:t>Petrevski</w:t>
      </w:r>
      <w:proofErr w:type="spellEnd"/>
      <w:r w:rsidRPr="00061A5F">
        <w:rPr>
          <w:rFonts w:ascii="Times New Roman" w:hAnsi="Times New Roman"/>
          <w:sz w:val="24"/>
          <w:szCs w:val="24"/>
        </w:rPr>
        <w:t xml:space="preserve"> G</w:t>
      </w:r>
      <w:r w:rsidR="00497A0A" w:rsidRPr="00061A5F">
        <w:rPr>
          <w:rFonts w:ascii="Times New Roman" w:hAnsi="Times New Roman"/>
          <w:sz w:val="24"/>
          <w:szCs w:val="24"/>
        </w:rPr>
        <w:t>,</w:t>
      </w:r>
      <w:r w:rsidRPr="00061A5F">
        <w:rPr>
          <w:rFonts w:ascii="Times New Roman" w:hAnsi="Times New Roman"/>
          <w:sz w:val="24"/>
          <w:szCs w:val="24"/>
        </w:rPr>
        <w:t xml:space="preserve"> </w:t>
      </w:r>
      <w:proofErr w:type="spellStart"/>
      <w:r w:rsidRPr="00061A5F">
        <w:rPr>
          <w:rFonts w:ascii="Times New Roman" w:hAnsi="Times New Roman"/>
          <w:sz w:val="24"/>
          <w:szCs w:val="24"/>
        </w:rPr>
        <w:t>Sergi</w:t>
      </w:r>
      <w:proofErr w:type="spellEnd"/>
      <w:r w:rsidRPr="00061A5F">
        <w:rPr>
          <w:rFonts w:ascii="Times New Roman" w:hAnsi="Times New Roman"/>
          <w:sz w:val="24"/>
          <w:szCs w:val="24"/>
        </w:rPr>
        <w:t>, B (</w:t>
      </w:r>
      <w:r w:rsidR="00EC1F59" w:rsidRPr="00061A5F">
        <w:rPr>
          <w:rFonts w:ascii="Times New Roman" w:hAnsi="Times New Roman"/>
          <w:sz w:val="24"/>
          <w:szCs w:val="24"/>
        </w:rPr>
        <w:t>2012</w:t>
      </w:r>
      <w:r w:rsidRPr="00061A5F">
        <w:rPr>
          <w:rFonts w:ascii="Times New Roman" w:hAnsi="Times New Roman"/>
          <w:sz w:val="24"/>
          <w:szCs w:val="24"/>
        </w:rPr>
        <w:t>)</w:t>
      </w:r>
      <w:r w:rsidR="00497A0A" w:rsidRPr="00061A5F">
        <w:rPr>
          <w:rFonts w:ascii="Times New Roman" w:hAnsi="Times New Roman"/>
          <w:sz w:val="24"/>
          <w:szCs w:val="24"/>
        </w:rPr>
        <w:t>:</w:t>
      </w:r>
      <w:r w:rsidRPr="00061A5F">
        <w:rPr>
          <w:rFonts w:ascii="Times New Roman" w:hAnsi="Times New Roman"/>
          <w:sz w:val="24"/>
          <w:szCs w:val="24"/>
        </w:rPr>
        <w:t xml:space="preserve"> Investigating the Link between Central Bank Independence and Inflation in Central and Eastern Europe - Evidence from Panel Data Models</w:t>
      </w:r>
      <w:r w:rsidR="00497A0A" w:rsidRPr="00061A5F">
        <w:rPr>
          <w:rFonts w:ascii="Times New Roman" w:hAnsi="Times New Roman"/>
          <w:sz w:val="24"/>
          <w:szCs w:val="24"/>
        </w:rPr>
        <w:t>.</w:t>
      </w:r>
      <w:r w:rsidR="007C533D" w:rsidRPr="00061A5F">
        <w:rPr>
          <w:rFonts w:ascii="Times New Roman" w:hAnsi="Times New Roman"/>
          <w:sz w:val="24"/>
          <w:szCs w:val="24"/>
        </w:rPr>
        <w:t xml:space="preserve"> </w:t>
      </w:r>
      <w:r w:rsidR="007C533D" w:rsidRPr="00061A5F">
        <w:rPr>
          <w:rFonts w:ascii="Times New Roman" w:hAnsi="Times New Roman"/>
          <w:i/>
          <w:sz w:val="24"/>
          <w:szCs w:val="24"/>
        </w:rPr>
        <w:t xml:space="preserve">Eastern European Economics </w:t>
      </w:r>
      <w:r w:rsidR="007C533D" w:rsidRPr="00061A5F">
        <w:rPr>
          <w:rFonts w:ascii="Times New Roman" w:hAnsi="Times New Roman"/>
          <w:sz w:val="24"/>
          <w:szCs w:val="24"/>
        </w:rPr>
        <w:t>50(4):78-96.</w:t>
      </w:r>
    </w:p>
    <w:p w14:paraId="013EEDF7" w14:textId="77777777" w:rsidR="005F3A1D" w:rsidRPr="00061A5F" w:rsidRDefault="005F3A1D" w:rsidP="007F5D0E">
      <w:pPr>
        <w:autoSpaceDE w:val="0"/>
        <w:autoSpaceDN w:val="0"/>
        <w:adjustRightInd w:val="0"/>
        <w:jc w:val="both"/>
        <w:rPr>
          <w:rFonts w:ascii="Times New Roman" w:hAnsi="Times New Roman"/>
          <w:sz w:val="21"/>
          <w:szCs w:val="21"/>
          <w:lang w:eastAsia="bs-Latn-BA"/>
        </w:rPr>
      </w:pPr>
    </w:p>
    <w:p w14:paraId="663BDAC5" w14:textId="4A362EAF" w:rsidR="005F3A1D" w:rsidRPr="00061A5F" w:rsidRDefault="003C7877" w:rsidP="007F5D0E">
      <w:pPr>
        <w:autoSpaceDE w:val="0"/>
        <w:autoSpaceDN w:val="0"/>
        <w:adjustRightInd w:val="0"/>
        <w:jc w:val="both"/>
        <w:rPr>
          <w:rFonts w:ascii="Times New Roman" w:hAnsi="Times New Roman"/>
          <w:sz w:val="24"/>
          <w:szCs w:val="24"/>
        </w:rPr>
      </w:pPr>
      <w:proofErr w:type="spellStart"/>
      <w:r w:rsidRPr="00061A5F">
        <w:rPr>
          <w:rFonts w:ascii="Times New Roman" w:hAnsi="Times New Roman"/>
          <w:sz w:val="24"/>
          <w:szCs w:val="24"/>
        </w:rPr>
        <w:t>Botrić</w:t>
      </w:r>
      <w:proofErr w:type="spellEnd"/>
      <w:r w:rsidRPr="00061A5F" w:rsidDel="003C7877">
        <w:rPr>
          <w:rFonts w:ascii="Times New Roman" w:hAnsi="Times New Roman"/>
          <w:sz w:val="24"/>
          <w:szCs w:val="24"/>
        </w:rPr>
        <w:t xml:space="preserve"> </w:t>
      </w:r>
      <w:r w:rsidRPr="00061A5F">
        <w:rPr>
          <w:rFonts w:ascii="Times New Roman" w:hAnsi="Times New Roman"/>
          <w:sz w:val="24"/>
          <w:szCs w:val="24"/>
        </w:rPr>
        <w:t>V</w:t>
      </w:r>
      <w:r w:rsidR="00497A0A" w:rsidRPr="00061A5F">
        <w:rPr>
          <w:rFonts w:ascii="Times New Roman" w:hAnsi="Times New Roman"/>
          <w:sz w:val="24"/>
          <w:szCs w:val="24"/>
        </w:rPr>
        <w:t>,</w:t>
      </w:r>
      <w:r w:rsidRPr="00061A5F">
        <w:rPr>
          <w:rFonts w:ascii="Times New Roman" w:hAnsi="Times New Roman"/>
          <w:sz w:val="24"/>
          <w:szCs w:val="24"/>
        </w:rPr>
        <w:t xml:space="preserve"> </w:t>
      </w:r>
      <w:r w:rsidR="005F3A1D" w:rsidRPr="00061A5F">
        <w:rPr>
          <w:rFonts w:ascii="Times New Roman" w:hAnsi="Times New Roman"/>
          <w:sz w:val="24"/>
          <w:szCs w:val="24"/>
        </w:rPr>
        <w:t xml:space="preserve">Cota </w:t>
      </w:r>
      <w:r w:rsidRPr="00061A5F">
        <w:rPr>
          <w:rFonts w:ascii="Times New Roman" w:hAnsi="Times New Roman"/>
          <w:sz w:val="24"/>
          <w:szCs w:val="24"/>
        </w:rPr>
        <w:t>B (</w:t>
      </w:r>
      <w:r w:rsidR="005F3A1D" w:rsidRPr="00061A5F">
        <w:rPr>
          <w:rFonts w:ascii="Times New Roman" w:hAnsi="Times New Roman"/>
          <w:sz w:val="24"/>
          <w:szCs w:val="24"/>
        </w:rPr>
        <w:t>2006</w:t>
      </w:r>
      <w:r w:rsidRPr="00061A5F">
        <w:rPr>
          <w:rFonts w:ascii="Times New Roman" w:hAnsi="Times New Roman"/>
          <w:sz w:val="24"/>
          <w:szCs w:val="24"/>
        </w:rPr>
        <w:t>)</w:t>
      </w:r>
      <w:r w:rsidR="00497A0A" w:rsidRPr="00061A5F">
        <w:rPr>
          <w:rFonts w:ascii="Times New Roman" w:hAnsi="Times New Roman"/>
          <w:sz w:val="24"/>
          <w:szCs w:val="24"/>
        </w:rPr>
        <w:t>:</w:t>
      </w:r>
      <w:r w:rsidR="005F3A1D" w:rsidRPr="00061A5F">
        <w:rPr>
          <w:rFonts w:ascii="Times New Roman" w:hAnsi="Times New Roman"/>
          <w:sz w:val="24"/>
          <w:szCs w:val="24"/>
        </w:rPr>
        <w:t xml:space="preserve"> Sources of Inflation in Transition Economy - The Case of Croatia</w:t>
      </w:r>
      <w:r w:rsidR="00497A0A" w:rsidRPr="00061A5F">
        <w:rPr>
          <w:rFonts w:ascii="Times New Roman" w:hAnsi="Times New Roman"/>
          <w:sz w:val="24"/>
          <w:szCs w:val="24"/>
        </w:rPr>
        <w:t>.</w:t>
      </w:r>
      <w:r w:rsidR="005F3A1D" w:rsidRPr="00061A5F">
        <w:rPr>
          <w:rFonts w:ascii="Times New Roman" w:hAnsi="Times New Roman"/>
          <w:sz w:val="24"/>
          <w:szCs w:val="24"/>
        </w:rPr>
        <w:t xml:space="preserve"> </w:t>
      </w:r>
      <w:proofErr w:type="spellStart"/>
      <w:r w:rsidR="005F3A1D" w:rsidRPr="00061A5F">
        <w:rPr>
          <w:rFonts w:ascii="Times New Roman" w:hAnsi="Times New Roman"/>
          <w:i/>
          <w:sz w:val="24"/>
          <w:szCs w:val="24"/>
        </w:rPr>
        <w:t>Ekonomski</w:t>
      </w:r>
      <w:proofErr w:type="spellEnd"/>
      <w:r w:rsidR="005F3A1D" w:rsidRPr="00061A5F">
        <w:rPr>
          <w:rFonts w:ascii="Times New Roman" w:hAnsi="Times New Roman"/>
          <w:i/>
          <w:sz w:val="24"/>
          <w:szCs w:val="24"/>
        </w:rPr>
        <w:t xml:space="preserve"> </w:t>
      </w:r>
      <w:proofErr w:type="spellStart"/>
      <w:r w:rsidR="005F3A1D" w:rsidRPr="00061A5F">
        <w:rPr>
          <w:rFonts w:ascii="Times New Roman" w:hAnsi="Times New Roman"/>
          <w:i/>
          <w:sz w:val="24"/>
          <w:szCs w:val="24"/>
        </w:rPr>
        <w:t>Pregled</w:t>
      </w:r>
      <w:proofErr w:type="spellEnd"/>
      <w:r w:rsidR="005F3A1D" w:rsidRPr="00061A5F">
        <w:rPr>
          <w:rFonts w:ascii="Times New Roman" w:hAnsi="Times New Roman"/>
          <w:sz w:val="24"/>
          <w:szCs w:val="24"/>
        </w:rPr>
        <w:t>, 57(12):835-855</w:t>
      </w:r>
      <w:r w:rsidR="00294B5D" w:rsidRPr="00061A5F">
        <w:rPr>
          <w:rFonts w:ascii="Times New Roman" w:hAnsi="Times New Roman"/>
          <w:sz w:val="24"/>
          <w:szCs w:val="24"/>
        </w:rPr>
        <w:t>.</w:t>
      </w:r>
    </w:p>
    <w:p w14:paraId="7A70AD6F" w14:textId="77777777" w:rsidR="005F3A1D" w:rsidRPr="00061A5F" w:rsidRDefault="005F3A1D" w:rsidP="007F5D0E">
      <w:pPr>
        <w:jc w:val="both"/>
        <w:rPr>
          <w:rFonts w:ascii="Times New Roman" w:hAnsi="Times New Roman"/>
          <w:sz w:val="24"/>
          <w:szCs w:val="24"/>
        </w:rPr>
      </w:pPr>
    </w:p>
    <w:p w14:paraId="41976AFA" w14:textId="659544EB" w:rsidR="005F3A1D" w:rsidRPr="00061A5F" w:rsidRDefault="005F3A1D" w:rsidP="007F5D0E">
      <w:pPr>
        <w:jc w:val="both"/>
        <w:rPr>
          <w:rFonts w:ascii="Times New Roman" w:hAnsi="Times New Roman"/>
          <w:sz w:val="24"/>
          <w:szCs w:val="24"/>
        </w:rPr>
      </w:pPr>
      <w:r w:rsidRPr="00061A5F">
        <w:rPr>
          <w:rFonts w:ascii="Times New Roman" w:hAnsi="Times New Roman"/>
          <w:sz w:val="24"/>
          <w:szCs w:val="24"/>
        </w:rPr>
        <w:t>Bye B, Str</w:t>
      </w:r>
      <w:r w:rsidR="00497A0A" w:rsidRPr="00061A5F">
        <w:rPr>
          <w:rFonts w:ascii="Times New Roman" w:hAnsi="Times New Roman"/>
          <w:sz w:val="24"/>
          <w:szCs w:val="24"/>
        </w:rPr>
        <w:t>o</w:t>
      </w:r>
      <w:r w:rsidRPr="00061A5F">
        <w:rPr>
          <w:rFonts w:ascii="Times New Roman" w:hAnsi="Times New Roman"/>
          <w:sz w:val="24"/>
          <w:szCs w:val="24"/>
        </w:rPr>
        <w:t>m B</w:t>
      </w:r>
      <w:r w:rsidR="00497A0A" w:rsidRPr="00061A5F">
        <w:rPr>
          <w:rFonts w:ascii="Times New Roman" w:hAnsi="Times New Roman"/>
          <w:sz w:val="24"/>
          <w:szCs w:val="24"/>
        </w:rPr>
        <w:t>,</w:t>
      </w:r>
      <w:r w:rsidRPr="00061A5F">
        <w:rPr>
          <w:rFonts w:ascii="Times New Roman" w:hAnsi="Times New Roman"/>
          <w:sz w:val="24"/>
          <w:szCs w:val="24"/>
        </w:rPr>
        <w:t xml:space="preserve"> </w:t>
      </w:r>
      <w:proofErr w:type="spellStart"/>
      <w:r w:rsidR="00497A0A" w:rsidRPr="00061A5F">
        <w:rPr>
          <w:rFonts w:ascii="Times New Roman" w:hAnsi="Times New Roman"/>
          <w:sz w:val="24"/>
          <w:szCs w:val="24"/>
        </w:rPr>
        <w:t>A</w:t>
      </w:r>
      <w:r w:rsidRPr="00061A5F">
        <w:rPr>
          <w:rFonts w:ascii="Times New Roman" w:hAnsi="Times New Roman"/>
          <w:sz w:val="24"/>
          <w:szCs w:val="24"/>
        </w:rPr>
        <w:t>vitsland</w:t>
      </w:r>
      <w:proofErr w:type="spellEnd"/>
      <w:r w:rsidRPr="00061A5F">
        <w:rPr>
          <w:rFonts w:ascii="Times New Roman" w:hAnsi="Times New Roman"/>
          <w:sz w:val="24"/>
          <w:szCs w:val="24"/>
        </w:rPr>
        <w:t xml:space="preserve"> T (2003)</w:t>
      </w:r>
      <w:r w:rsidR="00497A0A" w:rsidRPr="00061A5F">
        <w:rPr>
          <w:rFonts w:ascii="Times New Roman" w:hAnsi="Times New Roman"/>
          <w:sz w:val="24"/>
          <w:szCs w:val="24"/>
        </w:rPr>
        <w:t>:</w:t>
      </w:r>
      <w:r w:rsidRPr="00061A5F">
        <w:rPr>
          <w:rFonts w:ascii="Times New Roman" w:hAnsi="Times New Roman"/>
          <w:sz w:val="24"/>
          <w:szCs w:val="24"/>
        </w:rPr>
        <w:t xml:space="preserve"> Welfare Effects of VAT Reforms: A General Equilibrium Analysis</w:t>
      </w:r>
      <w:r w:rsidR="00497A0A" w:rsidRPr="00061A5F">
        <w:rPr>
          <w:rFonts w:ascii="Times New Roman" w:hAnsi="Times New Roman"/>
          <w:sz w:val="24"/>
          <w:szCs w:val="24"/>
        </w:rPr>
        <w:t>.</w:t>
      </w:r>
      <w:r w:rsidRPr="00061A5F">
        <w:rPr>
          <w:rFonts w:ascii="Times New Roman" w:hAnsi="Times New Roman"/>
          <w:sz w:val="24"/>
          <w:szCs w:val="24"/>
        </w:rPr>
        <w:t xml:space="preserve"> </w:t>
      </w:r>
      <w:r w:rsidRPr="00061A5F">
        <w:rPr>
          <w:rFonts w:ascii="Times New Roman" w:hAnsi="Times New Roman"/>
          <w:i/>
          <w:sz w:val="24"/>
          <w:szCs w:val="24"/>
        </w:rPr>
        <w:t>Statistics Norway, Research Department Discussion Papers,</w:t>
      </w:r>
      <w:r w:rsidR="007C533D" w:rsidRPr="00061A5F">
        <w:rPr>
          <w:rFonts w:ascii="Times New Roman" w:hAnsi="Times New Roman"/>
          <w:sz w:val="24"/>
          <w:szCs w:val="24"/>
        </w:rPr>
        <w:t xml:space="preserve"> No. 343</w:t>
      </w:r>
      <w:r w:rsidR="00294B5D" w:rsidRPr="00061A5F">
        <w:rPr>
          <w:rFonts w:ascii="Times New Roman" w:hAnsi="Times New Roman"/>
          <w:sz w:val="24"/>
          <w:szCs w:val="24"/>
        </w:rPr>
        <w:t>.</w:t>
      </w:r>
    </w:p>
    <w:p w14:paraId="6BE86882" w14:textId="77777777" w:rsidR="005F3A1D" w:rsidRPr="00061A5F" w:rsidRDefault="005F3A1D" w:rsidP="007F5D0E">
      <w:pPr>
        <w:jc w:val="both"/>
        <w:rPr>
          <w:rFonts w:ascii="Times New Roman" w:eastAsia="Times New Roman" w:hAnsi="Times New Roman"/>
          <w:color w:val="000000"/>
          <w:sz w:val="24"/>
          <w:szCs w:val="24"/>
          <w:lang w:eastAsia="bs-Latn-BA"/>
        </w:rPr>
      </w:pPr>
    </w:p>
    <w:p w14:paraId="1E316BC5" w14:textId="208285E2" w:rsidR="005F3A1D" w:rsidRPr="00061A5F" w:rsidRDefault="005F3A1D" w:rsidP="007F5D0E">
      <w:pPr>
        <w:jc w:val="both"/>
        <w:rPr>
          <w:rFonts w:ascii="Times New Roman" w:hAnsi="Times New Roman"/>
          <w:i/>
          <w:sz w:val="24"/>
          <w:szCs w:val="24"/>
        </w:rPr>
      </w:pPr>
      <w:r w:rsidRPr="00061A5F">
        <w:rPr>
          <w:rFonts w:ascii="Times New Roman" w:hAnsi="Times New Roman"/>
          <w:sz w:val="24"/>
          <w:szCs w:val="24"/>
        </w:rPr>
        <w:t>De Grauwe P</w:t>
      </w:r>
      <w:r w:rsidR="00497A0A" w:rsidRPr="00061A5F">
        <w:rPr>
          <w:rFonts w:ascii="Times New Roman" w:hAnsi="Times New Roman"/>
          <w:sz w:val="24"/>
          <w:szCs w:val="24"/>
        </w:rPr>
        <w:t>,</w:t>
      </w:r>
      <w:r w:rsidRPr="00061A5F">
        <w:rPr>
          <w:rFonts w:ascii="Times New Roman" w:hAnsi="Times New Roman"/>
          <w:sz w:val="24"/>
          <w:szCs w:val="24"/>
        </w:rPr>
        <w:t xml:space="preserve"> </w:t>
      </w:r>
      <w:proofErr w:type="spellStart"/>
      <w:r w:rsidRPr="00061A5F">
        <w:rPr>
          <w:rFonts w:ascii="Times New Roman" w:hAnsi="Times New Roman"/>
          <w:sz w:val="24"/>
          <w:szCs w:val="24"/>
        </w:rPr>
        <w:t>Schnabl</w:t>
      </w:r>
      <w:proofErr w:type="spellEnd"/>
      <w:r w:rsidRPr="00061A5F">
        <w:rPr>
          <w:rFonts w:ascii="Times New Roman" w:hAnsi="Times New Roman"/>
          <w:sz w:val="24"/>
          <w:szCs w:val="24"/>
        </w:rPr>
        <w:t xml:space="preserve"> G (2004)</w:t>
      </w:r>
      <w:r w:rsidR="00497A0A" w:rsidRPr="00061A5F">
        <w:rPr>
          <w:rFonts w:ascii="Times New Roman" w:hAnsi="Times New Roman"/>
          <w:sz w:val="24"/>
          <w:szCs w:val="24"/>
        </w:rPr>
        <w:t>:</w:t>
      </w:r>
      <w:r w:rsidRPr="00061A5F">
        <w:rPr>
          <w:rFonts w:ascii="Times New Roman" w:hAnsi="Times New Roman"/>
          <w:sz w:val="24"/>
          <w:szCs w:val="24"/>
        </w:rPr>
        <w:t xml:space="preserve"> Exchange Rates Regimes and Macroeconomic Stability in Central and Eastern Europe</w:t>
      </w:r>
      <w:r w:rsidR="00497A0A" w:rsidRPr="00061A5F">
        <w:rPr>
          <w:rFonts w:ascii="Times New Roman" w:hAnsi="Times New Roman"/>
          <w:sz w:val="24"/>
          <w:szCs w:val="24"/>
        </w:rPr>
        <w:t>.</w:t>
      </w:r>
      <w:r w:rsidRPr="00061A5F">
        <w:rPr>
          <w:rFonts w:ascii="Times New Roman" w:hAnsi="Times New Roman"/>
          <w:sz w:val="24"/>
          <w:szCs w:val="24"/>
        </w:rPr>
        <w:t xml:space="preserve"> </w:t>
      </w:r>
      <w:proofErr w:type="spellStart"/>
      <w:r w:rsidRPr="00061A5F">
        <w:rPr>
          <w:rFonts w:ascii="Times New Roman" w:hAnsi="Times New Roman"/>
          <w:i/>
          <w:sz w:val="24"/>
          <w:szCs w:val="24"/>
        </w:rPr>
        <w:t>CESinfo</w:t>
      </w:r>
      <w:proofErr w:type="spellEnd"/>
      <w:r w:rsidRPr="00061A5F">
        <w:rPr>
          <w:rFonts w:ascii="Times New Roman" w:hAnsi="Times New Roman"/>
          <w:i/>
          <w:sz w:val="24"/>
          <w:szCs w:val="24"/>
        </w:rPr>
        <w:t xml:space="preserve"> Working Paper, </w:t>
      </w:r>
      <w:r w:rsidRPr="00061A5F">
        <w:rPr>
          <w:rFonts w:ascii="Times New Roman" w:hAnsi="Times New Roman"/>
          <w:sz w:val="24"/>
          <w:szCs w:val="24"/>
        </w:rPr>
        <w:t>No. 1182</w:t>
      </w:r>
      <w:r w:rsidR="00294B5D" w:rsidRPr="00061A5F">
        <w:rPr>
          <w:rFonts w:ascii="Times New Roman" w:hAnsi="Times New Roman"/>
          <w:sz w:val="24"/>
          <w:szCs w:val="24"/>
        </w:rPr>
        <w:t>.</w:t>
      </w:r>
    </w:p>
    <w:p w14:paraId="69003629" w14:textId="77777777" w:rsidR="005F3A1D" w:rsidRPr="00061A5F" w:rsidRDefault="005F3A1D" w:rsidP="007F5D0E">
      <w:pPr>
        <w:jc w:val="both"/>
        <w:rPr>
          <w:rFonts w:ascii="Times New Roman" w:hAnsi="Times New Roman"/>
          <w:sz w:val="24"/>
          <w:szCs w:val="24"/>
        </w:rPr>
      </w:pPr>
    </w:p>
    <w:p w14:paraId="0926E630" w14:textId="294228A7" w:rsidR="00917F7B" w:rsidRPr="00061A5F" w:rsidRDefault="00917F7B" w:rsidP="007F5D0E">
      <w:pPr>
        <w:pStyle w:val="Default"/>
        <w:jc w:val="both"/>
        <w:rPr>
          <w:rFonts w:ascii="Times New Roman" w:hAnsi="Times New Roman" w:cs="Times New Roman"/>
          <w:i/>
          <w:iCs/>
          <w:lang w:val="en-GB"/>
        </w:rPr>
      </w:pPr>
      <w:proofErr w:type="spellStart"/>
      <w:r w:rsidRPr="00061A5F">
        <w:rPr>
          <w:rFonts w:ascii="Times New Roman" w:hAnsi="Times New Roman" w:cs="Times New Roman"/>
          <w:lang w:val="en-GB"/>
        </w:rPr>
        <w:t>Dabrowski</w:t>
      </w:r>
      <w:proofErr w:type="spellEnd"/>
      <w:r w:rsidRPr="00061A5F">
        <w:rPr>
          <w:rFonts w:ascii="Times New Roman" w:hAnsi="Times New Roman" w:cs="Times New Roman"/>
          <w:lang w:val="en-GB"/>
        </w:rPr>
        <w:t xml:space="preserve"> M (2013): Monetary policy regimes in CIS economies and their ability </w:t>
      </w:r>
      <w:proofErr w:type="gramStart"/>
      <w:r w:rsidRPr="00061A5F">
        <w:rPr>
          <w:rFonts w:ascii="Times New Roman" w:hAnsi="Times New Roman" w:cs="Times New Roman"/>
          <w:lang w:val="en-GB"/>
        </w:rPr>
        <w:t>to  provide</w:t>
      </w:r>
      <w:proofErr w:type="gramEnd"/>
      <w:r w:rsidRPr="00061A5F">
        <w:rPr>
          <w:rFonts w:ascii="Times New Roman" w:hAnsi="Times New Roman" w:cs="Times New Roman"/>
          <w:lang w:val="en-GB"/>
        </w:rPr>
        <w:t xml:space="preserve"> price and financial stability. </w:t>
      </w:r>
      <w:r w:rsidRPr="00061A5F">
        <w:rPr>
          <w:rFonts w:ascii="Times New Roman" w:hAnsi="Times New Roman" w:cs="Times New Roman"/>
          <w:i/>
          <w:iCs/>
          <w:lang w:val="en-GB"/>
        </w:rPr>
        <w:t>Bank of Finland, BOFIT Institute for Economies in Transition Discussion Papers 8</w:t>
      </w:r>
    </w:p>
    <w:p w14:paraId="6A1E57DF" w14:textId="77777777" w:rsidR="003419A0" w:rsidRPr="00061A5F" w:rsidRDefault="003419A0" w:rsidP="007F5D0E">
      <w:pPr>
        <w:pStyle w:val="Default"/>
        <w:jc w:val="both"/>
        <w:rPr>
          <w:rFonts w:ascii="Times New Roman" w:hAnsi="Times New Roman" w:cs="Times New Roman"/>
          <w:i/>
          <w:iCs/>
          <w:lang w:val="en-GB"/>
        </w:rPr>
      </w:pPr>
    </w:p>
    <w:p w14:paraId="0EBA0D7B" w14:textId="1C627B75" w:rsidR="00094682" w:rsidRPr="00061A5F" w:rsidRDefault="00094682" w:rsidP="007F5D0E">
      <w:pPr>
        <w:pStyle w:val="Default"/>
        <w:jc w:val="both"/>
        <w:rPr>
          <w:rFonts w:ascii="Times New Roman" w:hAnsi="Times New Roman" w:cs="Times New Roman"/>
          <w:lang w:val="en-GB"/>
        </w:rPr>
      </w:pPr>
      <w:proofErr w:type="spellStart"/>
      <w:r w:rsidRPr="00061A5F">
        <w:rPr>
          <w:rFonts w:ascii="Times New Roman" w:hAnsi="Times New Roman" w:cs="Times New Roman"/>
          <w:lang w:val="en-GB"/>
        </w:rPr>
        <w:t>D</w:t>
      </w:r>
      <w:r w:rsidR="00CC15E8" w:rsidRPr="00061A5F">
        <w:rPr>
          <w:rFonts w:ascii="Times New Roman" w:hAnsi="Times New Roman" w:cs="Times New Roman"/>
          <w:lang w:val="en-GB"/>
        </w:rPr>
        <w:t>a</w:t>
      </w:r>
      <w:r w:rsidRPr="00061A5F">
        <w:rPr>
          <w:rFonts w:ascii="Times New Roman" w:hAnsi="Times New Roman" w:cs="Times New Roman"/>
          <w:lang w:val="en-GB"/>
        </w:rPr>
        <w:t>browski</w:t>
      </w:r>
      <w:proofErr w:type="spellEnd"/>
      <w:r w:rsidR="00CC15E8" w:rsidRPr="00061A5F">
        <w:rPr>
          <w:rFonts w:ascii="Times New Roman" w:hAnsi="Times New Roman" w:cs="Times New Roman"/>
          <w:lang w:val="en-GB"/>
        </w:rPr>
        <w:t xml:space="preserve"> M, </w:t>
      </w:r>
      <w:proofErr w:type="spellStart"/>
      <w:r w:rsidR="00CC15E8" w:rsidRPr="00061A5F">
        <w:rPr>
          <w:rFonts w:ascii="Times New Roman" w:hAnsi="Times New Roman" w:cs="Times New Roman"/>
          <w:lang w:val="en-GB"/>
        </w:rPr>
        <w:t>Smiech</w:t>
      </w:r>
      <w:proofErr w:type="spellEnd"/>
      <w:r w:rsidR="00CC15E8" w:rsidRPr="00061A5F">
        <w:rPr>
          <w:rFonts w:ascii="Times New Roman" w:hAnsi="Times New Roman" w:cs="Times New Roman"/>
          <w:lang w:val="en-GB"/>
        </w:rPr>
        <w:t xml:space="preserve"> S</w:t>
      </w:r>
      <w:r w:rsidR="00497A0A" w:rsidRPr="00061A5F">
        <w:rPr>
          <w:rFonts w:ascii="Times New Roman" w:hAnsi="Times New Roman" w:cs="Times New Roman"/>
          <w:lang w:val="en-GB"/>
        </w:rPr>
        <w:t>,</w:t>
      </w:r>
      <w:r w:rsidR="00CC15E8" w:rsidRPr="00061A5F">
        <w:rPr>
          <w:rFonts w:ascii="Times New Roman" w:hAnsi="Times New Roman" w:cs="Times New Roman"/>
          <w:lang w:val="en-GB"/>
        </w:rPr>
        <w:t xml:space="preserve"> </w:t>
      </w:r>
      <w:proofErr w:type="spellStart"/>
      <w:r w:rsidR="00CC15E8" w:rsidRPr="00061A5F">
        <w:rPr>
          <w:rFonts w:ascii="Times New Roman" w:hAnsi="Times New Roman" w:cs="Times New Roman"/>
          <w:lang w:val="en-GB"/>
        </w:rPr>
        <w:t>Papiez</w:t>
      </w:r>
      <w:proofErr w:type="spellEnd"/>
      <w:r w:rsidR="00CC15E8" w:rsidRPr="00061A5F">
        <w:rPr>
          <w:rFonts w:ascii="Times New Roman" w:hAnsi="Times New Roman" w:cs="Times New Roman"/>
          <w:lang w:val="en-GB"/>
        </w:rPr>
        <w:t xml:space="preserve"> M </w:t>
      </w:r>
      <w:r w:rsidRPr="00061A5F">
        <w:rPr>
          <w:rFonts w:ascii="Times New Roman" w:hAnsi="Times New Roman" w:cs="Times New Roman"/>
          <w:lang w:val="en-GB"/>
        </w:rPr>
        <w:t>(2015)</w:t>
      </w:r>
      <w:r w:rsidR="00497A0A" w:rsidRPr="00061A5F">
        <w:rPr>
          <w:rFonts w:ascii="Times New Roman" w:hAnsi="Times New Roman" w:cs="Times New Roman"/>
          <w:lang w:val="en-GB"/>
        </w:rPr>
        <w:t>:</w:t>
      </w:r>
      <w:r w:rsidR="00CC15E8" w:rsidRPr="00061A5F">
        <w:rPr>
          <w:rFonts w:ascii="Times New Roman" w:hAnsi="Times New Roman" w:cs="Times New Roman"/>
          <w:lang w:val="en-GB"/>
        </w:rPr>
        <w:t xml:space="preserve"> Monetary </w:t>
      </w:r>
      <w:r w:rsidR="00497A0A" w:rsidRPr="00061A5F">
        <w:rPr>
          <w:rFonts w:ascii="Times New Roman" w:hAnsi="Times New Roman" w:cs="Times New Roman"/>
          <w:lang w:val="en-GB"/>
        </w:rPr>
        <w:t>P</w:t>
      </w:r>
      <w:r w:rsidR="00CC15E8" w:rsidRPr="00061A5F">
        <w:rPr>
          <w:rFonts w:ascii="Times New Roman" w:hAnsi="Times New Roman" w:cs="Times New Roman"/>
          <w:lang w:val="en-GB"/>
        </w:rPr>
        <w:t xml:space="preserve">olicy </w:t>
      </w:r>
      <w:r w:rsidR="00497A0A" w:rsidRPr="00061A5F">
        <w:rPr>
          <w:rFonts w:ascii="Times New Roman" w:hAnsi="Times New Roman" w:cs="Times New Roman"/>
          <w:lang w:val="en-GB"/>
        </w:rPr>
        <w:t>O</w:t>
      </w:r>
      <w:r w:rsidR="00CC15E8" w:rsidRPr="00061A5F">
        <w:rPr>
          <w:rFonts w:ascii="Times New Roman" w:hAnsi="Times New Roman" w:cs="Times New Roman"/>
          <w:lang w:val="en-GB"/>
        </w:rPr>
        <w:t xml:space="preserve">ptions for </w:t>
      </w:r>
      <w:r w:rsidR="00497A0A" w:rsidRPr="00061A5F">
        <w:rPr>
          <w:rFonts w:ascii="Times New Roman" w:hAnsi="Times New Roman" w:cs="Times New Roman"/>
          <w:lang w:val="en-GB"/>
        </w:rPr>
        <w:t>M</w:t>
      </w:r>
      <w:r w:rsidR="00CC15E8" w:rsidRPr="00061A5F">
        <w:rPr>
          <w:rFonts w:ascii="Times New Roman" w:hAnsi="Times New Roman" w:cs="Times New Roman"/>
          <w:lang w:val="en-GB"/>
        </w:rPr>
        <w:t xml:space="preserve">itigating the </w:t>
      </w:r>
      <w:r w:rsidR="00497A0A" w:rsidRPr="00061A5F">
        <w:rPr>
          <w:rFonts w:ascii="Times New Roman" w:hAnsi="Times New Roman" w:cs="Times New Roman"/>
          <w:lang w:val="en-GB"/>
        </w:rPr>
        <w:t>I</w:t>
      </w:r>
      <w:r w:rsidR="00CC15E8" w:rsidRPr="00061A5F">
        <w:rPr>
          <w:rFonts w:ascii="Times New Roman" w:hAnsi="Times New Roman" w:cs="Times New Roman"/>
          <w:lang w:val="en-GB"/>
        </w:rPr>
        <w:t xml:space="preserve">mpact of the </w:t>
      </w:r>
      <w:r w:rsidR="00497A0A" w:rsidRPr="00061A5F">
        <w:rPr>
          <w:rFonts w:ascii="Times New Roman" w:hAnsi="Times New Roman" w:cs="Times New Roman"/>
          <w:lang w:val="en-GB"/>
        </w:rPr>
        <w:t>G</w:t>
      </w:r>
      <w:r w:rsidR="00CC15E8" w:rsidRPr="00061A5F">
        <w:rPr>
          <w:rFonts w:ascii="Times New Roman" w:hAnsi="Times New Roman" w:cs="Times New Roman"/>
          <w:lang w:val="en-GB"/>
        </w:rPr>
        <w:t xml:space="preserve">lobal </w:t>
      </w:r>
      <w:r w:rsidR="00497A0A" w:rsidRPr="00061A5F">
        <w:rPr>
          <w:rFonts w:ascii="Times New Roman" w:hAnsi="Times New Roman" w:cs="Times New Roman"/>
          <w:lang w:val="en-GB"/>
        </w:rPr>
        <w:t>F</w:t>
      </w:r>
      <w:r w:rsidR="00CC15E8" w:rsidRPr="00061A5F">
        <w:rPr>
          <w:rFonts w:ascii="Times New Roman" w:hAnsi="Times New Roman" w:cs="Times New Roman"/>
          <w:lang w:val="en-GB"/>
        </w:rPr>
        <w:t xml:space="preserve">inancial </w:t>
      </w:r>
      <w:r w:rsidR="00497A0A" w:rsidRPr="00061A5F">
        <w:rPr>
          <w:rFonts w:ascii="Times New Roman" w:hAnsi="Times New Roman" w:cs="Times New Roman"/>
          <w:lang w:val="en-GB"/>
        </w:rPr>
        <w:t>C</w:t>
      </w:r>
      <w:r w:rsidR="00CC15E8" w:rsidRPr="00061A5F">
        <w:rPr>
          <w:rFonts w:ascii="Times New Roman" w:hAnsi="Times New Roman" w:cs="Times New Roman"/>
          <w:lang w:val="en-GB"/>
        </w:rPr>
        <w:t xml:space="preserve">risis on </w:t>
      </w:r>
      <w:r w:rsidR="00497A0A" w:rsidRPr="00061A5F">
        <w:rPr>
          <w:rFonts w:ascii="Times New Roman" w:hAnsi="Times New Roman" w:cs="Times New Roman"/>
          <w:lang w:val="en-GB"/>
        </w:rPr>
        <w:t>E</w:t>
      </w:r>
      <w:r w:rsidR="00CC15E8" w:rsidRPr="00061A5F">
        <w:rPr>
          <w:rFonts w:ascii="Times New Roman" w:hAnsi="Times New Roman" w:cs="Times New Roman"/>
          <w:lang w:val="en-GB"/>
        </w:rPr>
        <w:t xml:space="preserve">merging </w:t>
      </w:r>
      <w:r w:rsidR="00497A0A" w:rsidRPr="00061A5F">
        <w:rPr>
          <w:rFonts w:ascii="Times New Roman" w:hAnsi="Times New Roman" w:cs="Times New Roman"/>
          <w:lang w:val="en-GB"/>
        </w:rPr>
        <w:t>M</w:t>
      </w:r>
      <w:r w:rsidR="00CC15E8" w:rsidRPr="00061A5F">
        <w:rPr>
          <w:rFonts w:ascii="Times New Roman" w:hAnsi="Times New Roman" w:cs="Times New Roman"/>
          <w:lang w:val="en-GB"/>
        </w:rPr>
        <w:t xml:space="preserve">arket </w:t>
      </w:r>
      <w:r w:rsidR="00497A0A" w:rsidRPr="00061A5F">
        <w:rPr>
          <w:rFonts w:ascii="Times New Roman" w:hAnsi="Times New Roman" w:cs="Times New Roman"/>
          <w:lang w:val="en-GB"/>
        </w:rPr>
        <w:t>E</w:t>
      </w:r>
      <w:r w:rsidR="00CC15E8" w:rsidRPr="00061A5F">
        <w:rPr>
          <w:rFonts w:ascii="Times New Roman" w:hAnsi="Times New Roman" w:cs="Times New Roman"/>
          <w:lang w:val="en-GB"/>
        </w:rPr>
        <w:t>conomies</w:t>
      </w:r>
      <w:r w:rsidR="00497A0A" w:rsidRPr="00061A5F">
        <w:rPr>
          <w:rFonts w:ascii="Times New Roman" w:hAnsi="Times New Roman" w:cs="Times New Roman"/>
          <w:lang w:val="en-GB"/>
        </w:rPr>
        <w:t>.</w:t>
      </w:r>
      <w:r w:rsidR="00CC15E8" w:rsidRPr="00061A5F">
        <w:rPr>
          <w:rFonts w:ascii="Times New Roman" w:hAnsi="Times New Roman" w:cs="Times New Roman"/>
          <w:lang w:val="en-GB"/>
        </w:rPr>
        <w:t xml:space="preserve"> </w:t>
      </w:r>
      <w:r w:rsidR="00CC15E8" w:rsidRPr="00061A5F">
        <w:rPr>
          <w:rFonts w:ascii="Times New Roman" w:hAnsi="Times New Roman" w:cs="Times New Roman"/>
          <w:i/>
          <w:lang w:val="en-GB"/>
        </w:rPr>
        <w:t>Journal of International Money and Finance</w:t>
      </w:r>
      <w:r w:rsidR="00CC15E8" w:rsidRPr="00061A5F">
        <w:rPr>
          <w:rFonts w:ascii="Times New Roman" w:hAnsi="Times New Roman" w:cs="Times New Roman"/>
          <w:lang w:val="en-GB"/>
        </w:rPr>
        <w:t>, 51: 409-431</w:t>
      </w:r>
      <w:r w:rsidR="00294B5D" w:rsidRPr="00061A5F">
        <w:rPr>
          <w:rFonts w:ascii="Times New Roman" w:hAnsi="Times New Roman" w:cs="Times New Roman"/>
          <w:lang w:val="en-GB"/>
        </w:rPr>
        <w:t>.</w:t>
      </w:r>
    </w:p>
    <w:p w14:paraId="3482D567" w14:textId="77777777" w:rsidR="00094682" w:rsidRPr="00061A5F" w:rsidRDefault="00094682" w:rsidP="007F5D0E">
      <w:pPr>
        <w:pStyle w:val="Default"/>
        <w:jc w:val="both"/>
        <w:rPr>
          <w:rFonts w:ascii="Times New Roman" w:hAnsi="Times New Roman" w:cs="Times New Roman"/>
          <w:lang w:val="en-GB"/>
        </w:rPr>
      </w:pPr>
    </w:p>
    <w:p w14:paraId="482ABBAE" w14:textId="5BFE4F1A" w:rsidR="005F3A1D" w:rsidRPr="00061A5F" w:rsidRDefault="005F3A1D" w:rsidP="007F5D0E">
      <w:pPr>
        <w:pStyle w:val="Default"/>
        <w:jc w:val="both"/>
        <w:rPr>
          <w:rFonts w:ascii="Times New Roman" w:hAnsi="Times New Roman" w:cs="Times New Roman"/>
          <w:lang w:val="en-GB" w:eastAsia="bs-Latn-BA"/>
        </w:rPr>
      </w:pPr>
      <w:proofErr w:type="spellStart"/>
      <w:r w:rsidRPr="00061A5F">
        <w:rPr>
          <w:rFonts w:ascii="Times New Roman" w:hAnsi="Times New Roman" w:cs="Times New Roman"/>
          <w:lang w:val="en-GB"/>
        </w:rPr>
        <w:lastRenderedPageBreak/>
        <w:t>Domac</w:t>
      </w:r>
      <w:proofErr w:type="spellEnd"/>
      <w:r w:rsidRPr="00061A5F">
        <w:rPr>
          <w:rFonts w:ascii="Times New Roman" w:hAnsi="Times New Roman" w:cs="Times New Roman"/>
          <w:lang w:val="en-GB"/>
        </w:rPr>
        <w:t xml:space="preserve"> I, </w:t>
      </w:r>
      <w:r w:rsidRPr="00061A5F">
        <w:rPr>
          <w:rFonts w:ascii="Times New Roman" w:hAnsi="Times New Roman" w:cs="Times New Roman"/>
          <w:sz w:val="23"/>
          <w:szCs w:val="23"/>
          <w:lang w:val="en-GB" w:eastAsia="bs-Latn-BA"/>
        </w:rPr>
        <w:t>Peters K</w:t>
      </w:r>
      <w:r w:rsidR="00E432BB" w:rsidRPr="00061A5F">
        <w:rPr>
          <w:rFonts w:ascii="Times New Roman" w:hAnsi="Times New Roman" w:cs="Times New Roman"/>
          <w:sz w:val="23"/>
          <w:szCs w:val="23"/>
          <w:lang w:val="en-GB" w:eastAsia="bs-Latn-BA"/>
        </w:rPr>
        <w:t>,</w:t>
      </w:r>
      <w:r w:rsidRPr="00061A5F">
        <w:rPr>
          <w:rFonts w:ascii="Times New Roman" w:hAnsi="Times New Roman" w:cs="Times New Roman"/>
          <w:sz w:val="23"/>
          <w:szCs w:val="23"/>
          <w:lang w:val="en-GB" w:eastAsia="bs-Latn-BA"/>
        </w:rPr>
        <w:t xml:space="preserve"> </w:t>
      </w:r>
      <w:proofErr w:type="spellStart"/>
      <w:r w:rsidRPr="00061A5F">
        <w:rPr>
          <w:rFonts w:ascii="Times New Roman" w:hAnsi="Times New Roman" w:cs="Times New Roman"/>
          <w:sz w:val="23"/>
          <w:szCs w:val="23"/>
          <w:lang w:val="en-GB" w:eastAsia="bs-Latn-BA"/>
        </w:rPr>
        <w:t>Yuzefovich</w:t>
      </w:r>
      <w:proofErr w:type="spellEnd"/>
      <w:r w:rsidRPr="00061A5F">
        <w:rPr>
          <w:rFonts w:ascii="Times New Roman" w:hAnsi="Times New Roman" w:cs="Times New Roman"/>
          <w:sz w:val="23"/>
          <w:szCs w:val="23"/>
          <w:lang w:val="en-GB" w:eastAsia="bs-Latn-BA"/>
        </w:rPr>
        <w:t xml:space="preserve"> Y </w:t>
      </w:r>
      <w:r w:rsidRPr="00061A5F">
        <w:rPr>
          <w:rFonts w:ascii="Times New Roman" w:hAnsi="Times New Roman" w:cs="Times New Roman"/>
          <w:lang w:val="en-GB"/>
        </w:rPr>
        <w:t>(2004)</w:t>
      </w:r>
      <w:r w:rsidR="00E432BB" w:rsidRPr="00061A5F">
        <w:rPr>
          <w:rFonts w:ascii="Times New Roman" w:hAnsi="Times New Roman" w:cs="Times New Roman"/>
          <w:lang w:val="en-GB"/>
        </w:rPr>
        <w:t>:</w:t>
      </w:r>
      <w:r w:rsidRPr="00061A5F">
        <w:rPr>
          <w:rFonts w:ascii="Times New Roman" w:hAnsi="Times New Roman" w:cs="Times New Roman"/>
          <w:lang w:val="en-GB"/>
        </w:rPr>
        <w:t xml:space="preserve"> Does the Exchange Rate Regime Matter for Inflation - Evidence from Transition Economies</w:t>
      </w:r>
      <w:r w:rsidR="00E432BB" w:rsidRPr="00061A5F">
        <w:rPr>
          <w:rFonts w:ascii="Times New Roman" w:hAnsi="Times New Roman" w:cs="Times New Roman"/>
          <w:lang w:val="en-GB"/>
        </w:rPr>
        <w:t>.</w:t>
      </w:r>
      <w:r w:rsidRPr="00061A5F">
        <w:rPr>
          <w:rFonts w:ascii="Times New Roman" w:hAnsi="Times New Roman" w:cs="Times New Roman"/>
          <w:lang w:val="en-GB"/>
        </w:rPr>
        <w:t xml:space="preserve"> </w:t>
      </w:r>
      <w:r w:rsidRPr="00061A5F">
        <w:rPr>
          <w:rFonts w:ascii="Times New Roman" w:hAnsi="Times New Roman" w:cs="Times New Roman"/>
          <w:i/>
          <w:lang w:val="en-GB"/>
        </w:rPr>
        <w:t>Central Bank of the Republic of Turkey, Research and Monetary Policy Department Working Papers</w:t>
      </w:r>
      <w:r w:rsidRPr="00061A5F">
        <w:rPr>
          <w:rFonts w:ascii="Times New Roman" w:hAnsi="Times New Roman" w:cs="Times New Roman"/>
          <w:lang w:val="en-GB"/>
        </w:rPr>
        <w:t>, No. 0304</w:t>
      </w:r>
      <w:r w:rsidR="00294B5D" w:rsidRPr="00061A5F">
        <w:rPr>
          <w:rFonts w:ascii="Times New Roman" w:hAnsi="Times New Roman" w:cs="Times New Roman"/>
          <w:lang w:val="en-GB"/>
        </w:rPr>
        <w:t>.</w:t>
      </w:r>
    </w:p>
    <w:p w14:paraId="2A6ED48F" w14:textId="77777777" w:rsidR="005F3A1D" w:rsidRPr="00061A5F" w:rsidRDefault="005F3A1D" w:rsidP="007F5D0E">
      <w:pPr>
        <w:jc w:val="both"/>
        <w:rPr>
          <w:rFonts w:ascii="Times New Roman" w:hAnsi="Times New Roman"/>
          <w:sz w:val="24"/>
          <w:szCs w:val="24"/>
        </w:rPr>
      </w:pPr>
    </w:p>
    <w:p w14:paraId="78DD3D53" w14:textId="4F774975" w:rsidR="005F3A1D" w:rsidRPr="00061A5F" w:rsidRDefault="005F3A1D" w:rsidP="007F5D0E">
      <w:pPr>
        <w:jc w:val="both"/>
        <w:rPr>
          <w:rFonts w:ascii="Times New Roman" w:hAnsi="Times New Roman"/>
          <w:sz w:val="24"/>
          <w:szCs w:val="24"/>
        </w:rPr>
      </w:pPr>
      <w:r w:rsidRPr="00061A5F">
        <w:rPr>
          <w:rFonts w:ascii="Times New Roman" w:hAnsi="Times New Roman"/>
          <w:sz w:val="24"/>
          <w:szCs w:val="24"/>
        </w:rPr>
        <w:t>Frankel J (2010)</w:t>
      </w:r>
      <w:r w:rsidR="00E432BB" w:rsidRPr="00061A5F">
        <w:rPr>
          <w:rFonts w:ascii="Times New Roman" w:hAnsi="Times New Roman"/>
          <w:sz w:val="24"/>
          <w:szCs w:val="24"/>
        </w:rPr>
        <w:t>:</w:t>
      </w:r>
      <w:r w:rsidRPr="00061A5F">
        <w:rPr>
          <w:rFonts w:ascii="Times New Roman" w:hAnsi="Times New Roman"/>
          <w:sz w:val="24"/>
          <w:szCs w:val="24"/>
        </w:rPr>
        <w:t xml:space="preserve"> A Comparison of Monetary Anchor Options, Including Product Price Targeting, for Commodity-Exporters in Latin America</w:t>
      </w:r>
      <w:r w:rsidR="00E432BB" w:rsidRPr="00061A5F">
        <w:rPr>
          <w:rFonts w:ascii="Times New Roman" w:hAnsi="Times New Roman"/>
          <w:sz w:val="24"/>
          <w:szCs w:val="24"/>
        </w:rPr>
        <w:t>.</w:t>
      </w:r>
      <w:r w:rsidRPr="00061A5F">
        <w:rPr>
          <w:rFonts w:ascii="Times New Roman" w:hAnsi="Times New Roman"/>
          <w:sz w:val="24"/>
          <w:szCs w:val="24"/>
        </w:rPr>
        <w:t xml:space="preserve"> </w:t>
      </w:r>
      <w:r w:rsidRPr="00061A5F">
        <w:rPr>
          <w:rFonts w:ascii="Times New Roman" w:hAnsi="Times New Roman"/>
          <w:i/>
          <w:sz w:val="24"/>
          <w:szCs w:val="24"/>
        </w:rPr>
        <w:t>NBER Working Paper Series</w:t>
      </w:r>
      <w:r w:rsidRPr="00061A5F">
        <w:rPr>
          <w:rFonts w:ascii="Times New Roman" w:hAnsi="Times New Roman"/>
          <w:sz w:val="24"/>
          <w:szCs w:val="24"/>
        </w:rPr>
        <w:t>, No. 16362</w:t>
      </w:r>
      <w:r w:rsidR="00294B5D" w:rsidRPr="00061A5F">
        <w:rPr>
          <w:rFonts w:ascii="Times New Roman" w:hAnsi="Times New Roman"/>
          <w:sz w:val="24"/>
          <w:szCs w:val="24"/>
        </w:rPr>
        <w:t>.</w:t>
      </w:r>
    </w:p>
    <w:p w14:paraId="5A868F03" w14:textId="77777777" w:rsidR="005F3A1D" w:rsidRPr="00061A5F" w:rsidRDefault="005F3A1D" w:rsidP="007F5D0E">
      <w:pPr>
        <w:jc w:val="both"/>
        <w:rPr>
          <w:rFonts w:ascii="Times New Roman" w:hAnsi="Times New Roman"/>
          <w:sz w:val="24"/>
          <w:szCs w:val="24"/>
        </w:rPr>
      </w:pPr>
    </w:p>
    <w:p w14:paraId="77295BA6" w14:textId="196B9050" w:rsidR="005F3A1D" w:rsidRPr="00061A5F" w:rsidRDefault="005F3A1D" w:rsidP="007F5D0E">
      <w:pPr>
        <w:jc w:val="both"/>
        <w:rPr>
          <w:rFonts w:ascii="Times New Roman" w:hAnsi="Times New Roman"/>
          <w:sz w:val="24"/>
          <w:szCs w:val="24"/>
        </w:rPr>
      </w:pPr>
      <w:r w:rsidRPr="00061A5F">
        <w:rPr>
          <w:rFonts w:ascii="Times New Roman" w:hAnsi="Times New Roman"/>
          <w:sz w:val="24"/>
          <w:szCs w:val="24"/>
        </w:rPr>
        <w:t xml:space="preserve">Ghosh A, </w:t>
      </w:r>
      <w:proofErr w:type="spellStart"/>
      <w:r w:rsidRPr="00061A5F">
        <w:rPr>
          <w:rFonts w:ascii="Times New Roman" w:hAnsi="Times New Roman"/>
          <w:sz w:val="24"/>
          <w:szCs w:val="24"/>
        </w:rPr>
        <w:t>Gulde</w:t>
      </w:r>
      <w:proofErr w:type="spellEnd"/>
      <w:r w:rsidRPr="00061A5F">
        <w:rPr>
          <w:rFonts w:ascii="Times New Roman" w:hAnsi="Times New Roman"/>
          <w:sz w:val="24"/>
          <w:szCs w:val="24"/>
        </w:rPr>
        <w:t xml:space="preserve"> A</w:t>
      </w:r>
      <w:r w:rsidR="00E432BB" w:rsidRPr="00061A5F">
        <w:rPr>
          <w:rFonts w:ascii="Times New Roman" w:hAnsi="Times New Roman"/>
          <w:sz w:val="24"/>
          <w:szCs w:val="24"/>
        </w:rPr>
        <w:t>,</w:t>
      </w:r>
      <w:r w:rsidRPr="00061A5F">
        <w:rPr>
          <w:rFonts w:ascii="Times New Roman" w:hAnsi="Times New Roman"/>
          <w:sz w:val="24"/>
          <w:szCs w:val="24"/>
        </w:rPr>
        <w:t xml:space="preserve"> Wolf H (1998)</w:t>
      </w:r>
      <w:r w:rsidR="00E432BB" w:rsidRPr="00061A5F">
        <w:rPr>
          <w:rFonts w:ascii="Times New Roman" w:hAnsi="Times New Roman"/>
          <w:sz w:val="24"/>
          <w:szCs w:val="24"/>
        </w:rPr>
        <w:t>:</w:t>
      </w:r>
      <w:r w:rsidRPr="00061A5F">
        <w:rPr>
          <w:rFonts w:ascii="Times New Roman" w:hAnsi="Times New Roman"/>
          <w:sz w:val="24"/>
          <w:szCs w:val="24"/>
        </w:rPr>
        <w:t xml:space="preserve"> Currency Board: The Ultimate Fix? </w:t>
      </w:r>
      <w:r w:rsidRPr="00061A5F">
        <w:rPr>
          <w:rFonts w:ascii="Times New Roman" w:hAnsi="Times New Roman"/>
          <w:i/>
          <w:sz w:val="24"/>
          <w:szCs w:val="24"/>
        </w:rPr>
        <w:t xml:space="preserve">IMF Working Paper, </w:t>
      </w:r>
      <w:r w:rsidRPr="00061A5F">
        <w:rPr>
          <w:rFonts w:ascii="Times New Roman" w:hAnsi="Times New Roman"/>
          <w:sz w:val="24"/>
          <w:szCs w:val="24"/>
        </w:rPr>
        <w:t>No. 8.</w:t>
      </w:r>
    </w:p>
    <w:p w14:paraId="08ADEF49" w14:textId="77777777" w:rsidR="005F3A1D" w:rsidRPr="00061A5F" w:rsidRDefault="005F3A1D" w:rsidP="007F5D0E">
      <w:pPr>
        <w:jc w:val="both"/>
        <w:rPr>
          <w:rFonts w:ascii="Times New Roman" w:hAnsi="Times New Roman"/>
          <w:i/>
          <w:sz w:val="24"/>
          <w:szCs w:val="24"/>
        </w:rPr>
      </w:pPr>
    </w:p>
    <w:p w14:paraId="13C1804A" w14:textId="53DAB6DE" w:rsidR="005F3A1D" w:rsidRPr="00061A5F" w:rsidRDefault="005F3A1D" w:rsidP="007F5D0E">
      <w:pPr>
        <w:jc w:val="both"/>
        <w:rPr>
          <w:rFonts w:ascii="Times New Roman" w:hAnsi="Times New Roman"/>
          <w:i/>
          <w:sz w:val="24"/>
          <w:szCs w:val="24"/>
        </w:rPr>
      </w:pPr>
      <w:r w:rsidRPr="00061A5F">
        <w:rPr>
          <w:rFonts w:ascii="Times New Roman" w:hAnsi="Times New Roman"/>
          <w:sz w:val="24"/>
          <w:szCs w:val="24"/>
        </w:rPr>
        <w:t xml:space="preserve">Ghosh A, </w:t>
      </w:r>
      <w:proofErr w:type="spellStart"/>
      <w:r w:rsidRPr="00061A5F">
        <w:rPr>
          <w:rFonts w:ascii="Times New Roman" w:hAnsi="Times New Roman"/>
          <w:sz w:val="24"/>
          <w:szCs w:val="24"/>
        </w:rPr>
        <w:t>Gulde</w:t>
      </w:r>
      <w:proofErr w:type="spellEnd"/>
      <w:r w:rsidRPr="00061A5F">
        <w:rPr>
          <w:rFonts w:ascii="Times New Roman" w:hAnsi="Times New Roman"/>
          <w:sz w:val="24"/>
          <w:szCs w:val="24"/>
        </w:rPr>
        <w:t xml:space="preserve"> A, Wolf H, </w:t>
      </w:r>
      <w:proofErr w:type="spellStart"/>
      <w:r w:rsidRPr="00061A5F">
        <w:rPr>
          <w:rFonts w:ascii="Times New Roman" w:hAnsi="Times New Roman"/>
          <w:sz w:val="24"/>
          <w:szCs w:val="24"/>
        </w:rPr>
        <w:t>Haan</w:t>
      </w:r>
      <w:proofErr w:type="spellEnd"/>
      <w:r w:rsidRPr="00061A5F">
        <w:rPr>
          <w:rFonts w:ascii="Times New Roman" w:hAnsi="Times New Roman"/>
          <w:sz w:val="24"/>
          <w:szCs w:val="24"/>
        </w:rPr>
        <w:t xml:space="preserve"> J</w:t>
      </w:r>
      <w:r w:rsidR="00E432BB" w:rsidRPr="00061A5F">
        <w:rPr>
          <w:rFonts w:ascii="Times New Roman" w:hAnsi="Times New Roman"/>
          <w:sz w:val="24"/>
          <w:szCs w:val="24"/>
        </w:rPr>
        <w:t>,</w:t>
      </w:r>
      <w:r w:rsidRPr="00061A5F">
        <w:rPr>
          <w:rFonts w:ascii="Times New Roman" w:hAnsi="Times New Roman"/>
          <w:sz w:val="24"/>
          <w:szCs w:val="24"/>
        </w:rPr>
        <w:t xml:space="preserve"> Pagano M (2000)</w:t>
      </w:r>
      <w:r w:rsidR="00E432BB" w:rsidRPr="00061A5F">
        <w:rPr>
          <w:rFonts w:ascii="Times New Roman" w:hAnsi="Times New Roman"/>
          <w:sz w:val="24"/>
          <w:szCs w:val="24"/>
        </w:rPr>
        <w:t>:</w:t>
      </w:r>
      <w:r w:rsidRPr="00061A5F">
        <w:rPr>
          <w:rFonts w:ascii="Times New Roman" w:hAnsi="Times New Roman"/>
          <w:sz w:val="24"/>
          <w:szCs w:val="24"/>
        </w:rPr>
        <w:t xml:space="preserve"> Currency Boards: More than a Quick Fix? </w:t>
      </w:r>
      <w:r w:rsidRPr="00061A5F">
        <w:rPr>
          <w:rFonts w:ascii="Times New Roman" w:hAnsi="Times New Roman"/>
          <w:i/>
          <w:sz w:val="24"/>
          <w:szCs w:val="24"/>
        </w:rPr>
        <w:t xml:space="preserve">Economic Policy, </w:t>
      </w:r>
      <w:r w:rsidRPr="00061A5F">
        <w:rPr>
          <w:rFonts w:ascii="Times New Roman" w:hAnsi="Times New Roman"/>
          <w:sz w:val="24"/>
          <w:szCs w:val="24"/>
        </w:rPr>
        <w:t>15(31):269-335</w:t>
      </w:r>
      <w:r w:rsidR="00294B5D" w:rsidRPr="00061A5F">
        <w:rPr>
          <w:rFonts w:ascii="Times New Roman" w:hAnsi="Times New Roman"/>
          <w:sz w:val="24"/>
          <w:szCs w:val="24"/>
        </w:rPr>
        <w:t>.</w:t>
      </w:r>
    </w:p>
    <w:p w14:paraId="01635647" w14:textId="77777777" w:rsidR="005F3A1D" w:rsidRPr="00061A5F" w:rsidRDefault="005F3A1D" w:rsidP="007F5D0E">
      <w:pPr>
        <w:jc w:val="both"/>
        <w:rPr>
          <w:rFonts w:ascii="Times New Roman" w:hAnsi="Times New Roman"/>
          <w:i/>
          <w:sz w:val="24"/>
          <w:szCs w:val="24"/>
        </w:rPr>
      </w:pPr>
    </w:p>
    <w:p w14:paraId="5AF18888" w14:textId="605478DD" w:rsidR="005F3A1D" w:rsidRPr="00061A5F" w:rsidRDefault="005F3A1D" w:rsidP="007F5D0E">
      <w:pPr>
        <w:jc w:val="both"/>
        <w:rPr>
          <w:rFonts w:ascii="Times New Roman" w:hAnsi="Times New Roman"/>
          <w:i/>
          <w:sz w:val="24"/>
          <w:szCs w:val="24"/>
        </w:rPr>
      </w:pPr>
      <w:r w:rsidRPr="00061A5F">
        <w:rPr>
          <w:rFonts w:ascii="Times New Roman" w:hAnsi="Times New Roman"/>
          <w:sz w:val="24"/>
          <w:szCs w:val="24"/>
        </w:rPr>
        <w:t>Ghosh A, Qureshi M</w:t>
      </w:r>
      <w:r w:rsidR="00E432BB" w:rsidRPr="00061A5F">
        <w:rPr>
          <w:rFonts w:ascii="Times New Roman" w:hAnsi="Times New Roman"/>
          <w:sz w:val="24"/>
          <w:szCs w:val="24"/>
        </w:rPr>
        <w:t>,</w:t>
      </w:r>
      <w:r w:rsidRPr="00061A5F">
        <w:rPr>
          <w:rFonts w:ascii="Times New Roman" w:hAnsi="Times New Roman"/>
          <w:sz w:val="24"/>
          <w:szCs w:val="24"/>
        </w:rPr>
        <w:t xml:space="preserve"> </w:t>
      </w:r>
      <w:proofErr w:type="spellStart"/>
      <w:r w:rsidRPr="00061A5F">
        <w:rPr>
          <w:rFonts w:ascii="Times New Roman" w:hAnsi="Times New Roman"/>
          <w:sz w:val="24"/>
          <w:szCs w:val="24"/>
        </w:rPr>
        <w:t>Tsangarides</w:t>
      </w:r>
      <w:proofErr w:type="spellEnd"/>
      <w:r w:rsidRPr="00061A5F">
        <w:rPr>
          <w:rFonts w:ascii="Times New Roman" w:hAnsi="Times New Roman"/>
          <w:sz w:val="24"/>
          <w:szCs w:val="24"/>
        </w:rPr>
        <w:t xml:space="preserve"> C (2011)</w:t>
      </w:r>
      <w:r w:rsidR="00E432BB" w:rsidRPr="00061A5F">
        <w:rPr>
          <w:rFonts w:ascii="Times New Roman" w:hAnsi="Times New Roman"/>
          <w:sz w:val="24"/>
          <w:szCs w:val="24"/>
        </w:rPr>
        <w:t>:</w:t>
      </w:r>
      <w:r w:rsidRPr="00061A5F">
        <w:rPr>
          <w:rFonts w:ascii="Times New Roman" w:hAnsi="Times New Roman"/>
          <w:sz w:val="24"/>
          <w:szCs w:val="24"/>
        </w:rPr>
        <w:t xml:space="preserve"> Words vs. Deeds: What Really Matters? </w:t>
      </w:r>
      <w:r w:rsidRPr="00061A5F">
        <w:rPr>
          <w:rFonts w:ascii="Times New Roman" w:hAnsi="Times New Roman"/>
          <w:i/>
          <w:sz w:val="24"/>
          <w:szCs w:val="24"/>
        </w:rPr>
        <w:t xml:space="preserve">IMF Working Paper, </w:t>
      </w:r>
      <w:r w:rsidRPr="00061A5F">
        <w:rPr>
          <w:rFonts w:ascii="Times New Roman" w:hAnsi="Times New Roman"/>
          <w:sz w:val="24"/>
          <w:szCs w:val="24"/>
        </w:rPr>
        <w:t>No. 112</w:t>
      </w:r>
      <w:r w:rsidR="00294B5D" w:rsidRPr="00061A5F">
        <w:rPr>
          <w:rFonts w:ascii="Times New Roman" w:hAnsi="Times New Roman"/>
          <w:sz w:val="24"/>
          <w:szCs w:val="24"/>
        </w:rPr>
        <w:t>.</w:t>
      </w:r>
    </w:p>
    <w:p w14:paraId="7F0F9FB9" w14:textId="77777777" w:rsidR="005F3A1D" w:rsidRPr="00061A5F" w:rsidRDefault="005F3A1D" w:rsidP="007F5D0E">
      <w:pPr>
        <w:jc w:val="both"/>
        <w:rPr>
          <w:rFonts w:ascii="Times New Roman" w:hAnsi="Times New Roman"/>
          <w:sz w:val="24"/>
          <w:szCs w:val="24"/>
        </w:rPr>
      </w:pPr>
    </w:p>
    <w:p w14:paraId="6DCBAF95" w14:textId="2687128A" w:rsidR="005F7086" w:rsidRPr="00061A5F" w:rsidRDefault="005F7086" w:rsidP="00D02E1B">
      <w:pPr>
        <w:pStyle w:val="Default"/>
        <w:jc w:val="both"/>
        <w:rPr>
          <w:rFonts w:ascii="Times New Roman" w:hAnsi="Times New Roman" w:cs="Times New Roman"/>
          <w:bCs/>
          <w:lang w:val="en-GB"/>
        </w:rPr>
      </w:pPr>
      <w:proofErr w:type="spellStart"/>
      <w:r w:rsidRPr="00061A5F">
        <w:rPr>
          <w:rFonts w:ascii="Times New Roman" w:hAnsi="Times New Roman" w:cs="Times New Roman"/>
          <w:lang w:val="en-GB"/>
        </w:rPr>
        <w:t>Gudmundsson</w:t>
      </w:r>
      <w:proofErr w:type="spellEnd"/>
      <w:r w:rsidRPr="00061A5F" w:rsidDel="00361E06">
        <w:rPr>
          <w:rFonts w:ascii="Times New Roman" w:hAnsi="Times New Roman" w:cs="Times New Roman"/>
          <w:bCs/>
          <w:lang w:val="en-GB"/>
        </w:rPr>
        <w:t xml:space="preserve"> </w:t>
      </w:r>
      <w:r w:rsidR="00D02E1B" w:rsidRPr="00061A5F">
        <w:rPr>
          <w:rFonts w:ascii="Times New Roman" w:hAnsi="Times New Roman" w:cs="Times New Roman"/>
          <w:bCs/>
          <w:lang w:val="en-GB"/>
        </w:rPr>
        <w:t>(2006): The choice and design of exchange rate regimes. Central banks and the challenge of development, A special meeting of Governors at the BIS.</w:t>
      </w:r>
    </w:p>
    <w:p w14:paraId="20F8B83D" w14:textId="77777777" w:rsidR="005F7086" w:rsidRPr="00061A5F" w:rsidRDefault="005F7086" w:rsidP="007F5D0E">
      <w:pPr>
        <w:pStyle w:val="Default"/>
        <w:jc w:val="both"/>
        <w:rPr>
          <w:rFonts w:ascii="Times New Roman" w:hAnsi="Times New Roman" w:cs="Times New Roman"/>
          <w:bCs/>
          <w:lang w:val="en-GB"/>
        </w:rPr>
      </w:pPr>
    </w:p>
    <w:p w14:paraId="68759E6E" w14:textId="5C957FC7" w:rsidR="00C13BC1" w:rsidRPr="00061A5F" w:rsidRDefault="00C13BC1" w:rsidP="000F4F63">
      <w:pPr>
        <w:jc w:val="both"/>
        <w:rPr>
          <w:rFonts w:ascii="Times New Roman" w:hAnsi="Times New Roman"/>
          <w:i/>
          <w:iCs/>
          <w:sz w:val="24"/>
          <w:szCs w:val="24"/>
        </w:rPr>
      </w:pPr>
      <w:r w:rsidRPr="00061A5F">
        <w:rPr>
          <w:rFonts w:ascii="Times New Roman" w:hAnsi="Times New Roman"/>
          <w:sz w:val="24"/>
          <w:szCs w:val="24"/>
          <w:lang w:eastAsia="bs-Latn-BA"/>
        </w:rPr>
        <w:t>Hanke and Schuler</w:t>
      </w:r>
      <w:r w:rsidRPr="00061A5F">
        <w:rPr>
          <w:rFonts w:ascii="Times New Roman" w:hAnsi="Times New Roman"/>
          <w:sz w:val="24"/>
          <w:szCs w:val="24"/>
        </w:rPr>
        <w:t xml:space="preserve"> (1994) Currency Boards for Developing Countries: A Handbook. </w:t>
      </w:r>
      <w:r w:rsidRPr="00061A5F">
        <w:rPr>
          <w:rFonts w:ascii="Times New Roman" w:eastAsia="Times New Roman" w:hAnsi="Times New Roman"/>
          <w:i/>
          <w:iCs/>
          <w:color w:val="000000"/>
          <w:sz w:val="24"/>
          <w:szCs w:val="24"/>
          <w:lang w:val="bs-Latn-BA" w:eastAsia="bs-Latn-BA"/>
        </w:rPr>
        <w:t>ICS Press, San Francisco, International Center for Economic Growth.</w:t>
      </w:r>
    </w:p>
    <w:p w14:paraId="229EF5D8" w14:textId="77777777" w:rsidR="00C13BC1" w:rsidRPr="00061A5F" w:rsidRDefault="00C13BC1" w:rsidP="000F4F63">
      <w:pPr>
        <w:jc w:val="both"/>
        <w:rPr>
          <w:rFonts w:ascii="Times New Roman" w:hAnsi="Times New Roman"/>
          <w:sz w:val="24"/>
          <w:szCs w:val="24"/>
        </w:rPr>
      </w:pPr>
    </w:p>
    <w:p w14:paraId="4FE43687" w14:textId="7C8C04BE" w:rsidR="000F4F63" w:rsidRPr="00061A5F" w:rsidRDefault="000F4F63" w:rsidP="000F4F63">
      <w:pPr>
        <w:jc w:val="both"/>
        <w:rPr>
          <w:rFonts w:ascii="Times New Roman" w:hAnsi="Times New Roman"/>
          <w:sz w:val="24"/>
          <w:szCs w:val="24"/>
        </w:rPr>
      </w:pPr>
      <w:r w:rsidRPr="00061A5F">
        <w:rPr>
          <w:rFonts w:ascii="Times New Roman" w:hAnsi="Times New Roman"/>
          <w:sz w:val="24"/>
          <w:szCs w:val="24"/>
        </w:rPr>
        <w:t xml:space="preserve">Horvath R, </w:t>
      </w:r>
      <w:proofErr w:type="spellStart"/>
      <w:r w:rsidRPr="00061A5F">
        <w:rPr>
          <w:rFonts w:ascii="Times New Roman" w:hAnsi="Times New Roman"/>
          <w:sz w:val="24"/>
          <w:szCs w:val="24"/>
        </w:rPr>
        <w:t>Koprnicka</w:t>
      </w:r>
      <w:proofErr w:type="spellEnd"/>
      <w:r w:rsidRPr="00061A5F">
        <w:rPr>
          <w:rFonts w:ascii="Times New Roman" w:hAnsi="Times New Roman"/>
          <w:sz w:val="24"/>
          <w:szCs w:val="24"/>
        </w:rPr>
        <w:t xml:space="preserve"> K. (2008): Inflation Differentials in New EU Member States:  Empirical Evidence, </w:t>
      </w:r>
      <w:r w:rsidRPr="00061A5F">
        <w:rPr>
          <w:rFonts w:ascii="Times New Roman" w:hAnsi="Times New Roman"/>
          <w:i/>
          <w:iCs/>
          <w:sz w:val="24"/>
          <w:szCs w:val="24"/>
        </w:rPr>
        <w:t xml:space="preserve">Finance a </w:t>
      </w:r>
      <w:proofErr w:type="spellStart"/>
      <w:r w:rsidRPr="00061A5F">
        <w:rPr>
          <w:rFonts w:ascii="Times New Roman" w:hAnsi="Times New Roman"/>
          <w:i/>
          <w:iCs/>
          <w:sz w:val="24"/>
          <w:szCs w:val="24"/>
        </w:rPr>
        <w:t>úvěr</w:t>
      </w:r>
      <w:proofErr w:type="spellEnd"/>
      <w:r w:rsidRPr="00061A5F">
        <w:rPr>
          <w:rFonts w:ascii="Times New Roman" w:hAnsi="Times New Roman"/>
          <w:i/>
          <w:iCs/>
          <w:sz w:val="24"/>
          <w:szCs w:val="24"/>
        </w:rPr>
        <w:t>-Czech Journal of Economics and Financ</w:t>
      </w:r>
      <w:r w:rsidRPr="00061A5F">
        <w:rPr>
          <w:rFonts w:ascii="Times New Roman" w:hAnsi="Times New Roman"/>
          <w:sz w:val="24"/>
          <w:szCs w:val="24"/>
        </w:rPr>
        <w:t>e, 58(7-8):318-328.</w:t>
      </w:r>
    </w:p>
    <w:p w14:paraId="23D6E6BF" w14:textId="77777777" w:rsidR="000F4F63" w:rsidRPr="00061A5F" w:rsidRDefault="000F4F63" w:rsidP="000F4F63">
      <w:pPr>
        <w:jc w:val="both"/>
        <w:rPr>
          <w:rFonts w:ascii="Times New Roman" w:hAnsi="Times New Roman"/>
          <w:sz w:val="24"/>
          <w:szCs w:val="24"/>
        </w:rPr>
      </w:pPr>
    </w:p>
    <w:p w14:paraId="76986834" w14:textId="4316771C" w:rsidR="005F3A1D" w:rsidRPr="00061A5F" w:rsidRDefault="005F3A1D" w:rsidP="000F4F63">
      <w:pPr>
        <w:jc w:val="both"/>
        <w:rPr>
          <w:rFonts w:ascii="Times New Roman" w:hAnsi="Times New Roman"/>
          <w:sz w:val="24"/>
          <w:szCs w:val="24"/>
        </w:rPr>
      </w:pPr>
      <w:proofErr w:type="spellStart"/>
      <w:r w:rsidRPr="00061A5F">
        <w:rPr>
          <w:rFonts w:ascii="Times New Roman" w:hAnsi="Times New Roman"/>
          <w:sz w:val="24"/>
          <w:szCs w:val="24"/>
        </w:rPr>
        <w:t>Kuttner</w:t>
      </w:r>
      <w:proofErr w:type="spellEnd"/>
      <w:r w:rsidRPr="00061A5F">
        <w:rPr>
          <w:rFonts w:ascii="Times New Roman" w:hAnsi="Times New Roman"/>
          <w:sz w:val="24"/>
          <w:szCs w:val="24"/>
        </w:rPr>
        <w:t xml:space="preserve"> K.</w:t>
      </w:r>
      <w:r w:rsidR="00E432BB" w:rsidRPr="00061A5F">
        <w:rPr>
          <w:rFonts w:ascii="Times New Roman" w:hAnsi="Times New Roman"/>
          <w:sz w:val="24"/>
          <w:szCs w:val="24"/>
        </w:rPr>
        <w:t xml:space="preserve">, </w:t>
      </w:r>
      <w:r w:rsidRPr="00061A5F">
        <w:rPr>
          <w:rFonts w:ascii="Times New Roman" w:hAnsi="Times New Roman"/>
          <w:sz w:val="24"/>
          <w:szCs w:val="24"/>
        </w:rPr>
        <w:t>Posen A (2001)</w:t>
      </w:r>
      <w:r w:rsidR="00E432BB" w:rsidRPr="00061A5F">
        <w:rPr>
          <w:rFonts w:ascii="Times New Roman" w:hAnsi="Times New Roman"/>
          <w:sz w:val="24"/>
          <w:szCs w:val="24"/>
        </w:rPr>
        <w:t>:</w:t>
      </w:r>
      <w:r w:rsidRPr="00061A5F">
        <w:rPr>
          <w:rFonts w:ascii="Times New Roman" w:hAnsi="Times New Roman"/>
          <w:sz w:val="24"/>
          <w:szCs w:val="24"/>
        </w:rPr>
        <w:t xml:space="preserve"> Beyond Bipolar: A Three-Dimensional Assessment of Monetary Frameworks</w:t>
      </w:r>
      <w:r w:rsidR="00E432BB" w:rsidRPr="00061A5F">
        <w:rPr>
          <w:rFonts w:ascii="Times New Roman" w:hAnsi="Times New Roman"/>
          <w:sz w:val="24"/>
          <w:szCs w:val="24"/>
        </w:rPr>
        <w:t>.</w:t>
      </w:r>
      <w:r w:rsidRPr="00061A5F">
        <w:rPr>
          <w:rFonts w:ascii="Times New Roman" w:hAnsi="Times New Roman"/>
          <w:sz w:val="24"/>
          <w:szCs w:val="24"/>
        </w:rPr>
        <w:t xml:space="preserve"> </w:t>
      </w:r>
      <w:proofErr w:type="spellStart"/>
      <w:r w:rsidRPr="00061A5F">
        <w:rPr>
          <w:rFonts w:ascii="Times New Roman" w:hAnsi="Times New Roman"/>
          <w:i/>
          <w:sz w:val="24"/>
          <w:szCs w:val="24"/>
        </w:rPr>
        <w:t>Oesterreichische</w:t>
      </w:r>
      <w:proofErr w:type="spellEnd"/>
      <w:r w:rsidRPr="00061A5F">
        <w:rPr>
          <w:rFonts w:ascii="Times New Roman" w:hAnsi="Times New Roman"/>
          <w:i/>
          <w:sz w:val="24"/>
          <w:szCs w:val="24"/>
        </w:rPr>
        <w:t xml:space="preserve"> </w:t>
      </w:r>
      <w:proofErr w:type="spellStart"/>
      <w:r w:rsidRPr="00061A5F">
        <w:rPr>
          <w:rFonts w:ascii="Times New Roman" w:hAnsi="Times New Roman"/>
          <w:i/>
          <w:sz w:val="24"/>
          <w:szCs w:val="24"/>
        </w:rPr>
        <w:t>Nationalbank</w:t>
      </w:r>
      <w:proofErr w:type="spellEnd"/>
      <w:r w:rsidRPr="00061A5F">
        <w:rPr>
          <w:rFonts w:ascii="Times New Roman" w:hAnsi="Times New Roman"/>
          <w:i/>
          <w:sz w:val="24"/>
          <w:szCs w:val="24"/>
        </w:rPr>
        <w:t xml:space="preserve"> Working Paper</w:t>
      </w:r>
      <w:r w:rsidRPr="00061A5F">
        <w:rPr>
          <w:rFonts w:ascii="Times New Roman" w:hAnsi="Times New Roman"/>
          <w:sz w:val="24"/>
          <w:szCs w:val="24"/>
        </w:rPr>
        <w:t>, No. 52</w:t>
      </w:r>
      <w:r w:rsidR="00294B5D" w:rsidRPr="00061A5F">
        <w:rPr>
          <w:rFonts w:ascii="Times New Roman" w:hAnsi="Times New Roman"/>
          <w:sz w:val="24"/>
          <w:szCs w:val="24"/>
        </w:rPr>
        <w:t>.</w:t>
      </w:r>
    </w:p>
    <w:p w14:paraId="4FE296B0" w14:textId="77777777" w:rsidR="005F3A1D" w:rsidRPr="00061A5F" w:rsidRDefault="005F3A1D" w:rsidP="007F5D0E">
      <w:pPr>
        <w:jc w:val="both"/>
        <w:rPr>
          <w:rFonts w:ascii="Times New Roman" w:hAnsi="Times New Roman"/>
          <w:sz w:val="24"/>
          <w:szCs w:val="24"/>
        </w:rPr>
      </w:pPr>
    </w:p>
    <w:p w14:paraId="42BBCB42" w14:textId="4CB1D8D8" w:rsidR="005F3A1D" w:rsidRPr="00061A5F" w:rsidRDefault="005F3A1D" w:rsidP="007F5D0E">
      <w:pPr>
        <w:autoSpaceDE w:val="0"/>
        <w:autoSpaceDN w:val="0"/>
        <w:adjustRightInd w:val="0"/>
        <w:jc w:val="both"/>
        <w:rPr>
          <w:rFonts w:ascii="Times New Roman" w:hAnsi="Times New Roman"/>
          <w:sz w:val="24"/>
          <w:szCs w:val="24"/>
        </w:rPr>
      </w:pPr>
      <w:r w:rsidRPr="00061A5F">
        <w:rPr>
          <w:rFonts w:ascii="Times New Roman" w:hAnsi="Times New Roman"/>
          <w:sz w:val="24"/>
          <w:szCs w:val="24"/>
        </w:rPr>
        <w:t>Kwan Y</w:t>
      </w:r>
      <w:r w:rsidR="00E432BB" w:rsidRPr="00061A5F">
        <w:rPr>
          <w:rFonts w:ascii="Times New Roman" w:hAnsi="Times New Roman"/>
          <w:sz w:val="24"/>
          <w:szCs w:val="24"/>
        </w:rPr>
        <w:t>,</w:t>
      </w:r>
      <w:r w:rsidRPr="00061A5F">
        <w:rPr>
          <w:rFonts w:ascii="Times New Roman" w:hAnsi="Times New Roman"/>
          <w:sz w:val="24"/>
          <w:szCs w:val="24"/>
        </w:rPr>
        <w:t xml:space="preserve"> Lui F (1999)</w:t>
      </w:r>
      <w:r w:rsidR="00E432BB" w:rsidRPr="00061A5F">
        <w:rPr>
          <w:rFonts w:ascii="Times New Roman" w:hAnsi="Times New Roman"/>
          <w:sz w:val="24"/>
          <w:szCs w:val="24"/>
        </w:rPr>
        <w:t>:</w:t>
      </w:r>
      <w:r w:rsidRPr="00061A5F">
        <w:rPr>
          <w:rFonts w:ascii="Times New Roman" w:hAnsi="Times New Roman"/>
          <w:sz w:val="24"/>
          <w:szCs w:val="24"/>
        </w:rPr>
        <w:t xml:space="preserve"> Hong Kong's Currency Board and Changing Monetary Regimes. In: Ito, T and Krueger, A.(eds.) Theory</w:t>
      </w:r>
      <w:r w:rsidRPr="00061A5F">
        <w:rPr>
          <w:rFonts w:ascii="Times New Roman" w:hAnsi="Times New Roman"/>
          <w:i/>
          <w:sz w:val="24"/>
          <w:szCs w:val="24"/>
        </w:rPr>
        <w:t>, Practice, and Policy Issues</w:t>
      </w:r>
      <w:r w:rsidRPr="00061A5F">
        <w:rPr>
          <w:rFonts w:ascii="Times New Roman" w:hAnsi="Times New Roman"/>
          <w:sz w:val="24"/>
          <w:szCs w:val="24"/>
        </w:rPr>
        <w:t xml:space="preserve"> (NBER-EASE volume 7), Chicago: University of Chicago Press, 403-436</w:t>
      </w:r>
      <w:r w:rsidR="00294B5D" w:rsidRPr="00061A5F">
        <w:rPr>
          <w:rFonts w:ascii="Times New Roman" w:hAnsi="Times New Roman"/>
          <w:sz w:val="24"/>
          <w:szCs w:val="24"/>
        </w:rPr>
        <w:t>.</w:t>
      </w:r>
    </w:p>
    <w:p w14:paraId="39717D57" w14:textId="77777777" w:rsidR="005F3A1D" w:rsidRPr="00061A5F" w:rsidRDefault="005F3A1D" w:rsidP="007F5D0E">
      <w:pPr>
        <w:jc w:val="both"/>
        <w:rPr>
          <w:rFonts w:ascii="Times New Roman" w:hAnsi="Times New Roman"/>
          <w:sz w:val="24"/>
          <w:szCs w:val="24"/>
        </w:rPr>
      </w:pPr>
    </w:p>
    <w:p w14:paraId="51E24EB1" w14:textId="6177A601" w:rsidR="005F3A1D" w:rsidRPr="00061A5F" w:rsidRDefault="005F3A1D" w:rsidP="007F5D0E">
      <w:pPr>
        <w:jc w:val="both"/>
        <w:rPr>
          <w:rFonts w:ascii="Times New Roman" w:hAnsi="Times New Roman"/>
        </w:rPr>
      </w:pPr>
      <w:r w:rsidRPr="00061A5F">
        <w:rPr>
          <w:rFonts w:ascii="Times New Roman" w:hAnsi="Times New Roman"/>
          <w:sz w:val="24"/>
          <w:szCs w:val="24"/>
        </w:rPr>
        <w:t>Levy-</w:t>
      </w:r>
      <w:proofErr w:type="spellStart"/>
      <w:r w:rsidRPr="00061A5F">
        <w:rPr>
          <w:rFonts w:ascii="Times New Roman" w:hAnsi="Times New Roman"/>
          <w:sz w:val="24"/>
          <w:szCs w:val="24"/>
        </w:rPr>
        <w:t>Yeyati</w:t>
      </w:r>
      <w:proofErr w:type="spellEnd"/>
      <w:r w:rsidRPr="00061A5F">
        <w:rPr>
          <w:rFonts w:ascii="Times New Roman" w:hAnsi="Times New Roman"/>
          <w:sz w:val="24"/>
          <w:szCs w:val="24"/>
        </w:rPr>
        <w:t xml:space="preserve"> E</w:t>
      </w:r>
      <w:r w:rsidR="00E432BB" w:rsidRPr="00061A5F">
        <w:rPr>
          <w:rFonts w:ascii="Times New Roman" w:hAnsi="Times New Roman"/>
          <w:sz w:val="24"/>
          <w:szCs w:val="24"/>
        </w:rPr>
        <w:t>,</w:t>
      </w:r>
      <w:r w:rsidRPr="00061A5F">
        <w:rPr>
          <w:rFonts w:ascii="Times New Roman" w:hAnsi="Times New Roman"/>
          <w:sz w:val="24"/>
          <w:szCs w:val="24"/>
        </w:rPr>
        <w:t xml:space="preserve"> </w:t>
      </w:r>
      <w:proofErr w:type="spellStart"/>
      <w:r w:rsidRPr="00061A5F">
        <w:rPr>
          <w:rFonts w:ascii="Times New Roman" w:hAnsi="Times New Roman"/>
          <w:sz w:val="24"/>
          <w:szCs w:val="24"/>
        </w:rPr>
        <w:t>Sturzenegger</w:t>
      </w:r>
      <w:proofErr w:type="spellEnd"/>
      <w:r w:rsidRPr="00061A5F">
        <w:rPr>
          <w:rFonts w:ascii="Times New Roman" w:hAnsi="Times New Roman"/>
          <w:sz w:val="24"/>
          <w:szCs w:val="24"/>
        </w:rPr>
        <w:t xml:space="preserve"> F (2001)</w:t>
      </w:r>
      <w:r w:rsidR="00E432BB" w:rsidRPr="00061A5F">
        <w:rPr>
          <w:rFonts w:ascii="Times New Roman" w:hAnsi="Times New Roman"/>
          <w:sz w:val="24"/>
          <w:szCs w:val="24"/>
        </w:rPr>
        <w:t>:</w:t>
      </w:r>
      <w:r w:rsidRPr="00061A5F">
        <w:rPr>
          <w:rFonts w:ascii="Times New Roman" w:hAnsi="Times New Roman"/>
          <w:sz w:val="24"/>
          <w:szCs w:val="24"/>
        </w:rPr>
        <w:t xml:space="preserve"> Exchange Rate Regimes and Economic Performance, </w:t>
      </w:r>
      <w:r w:rsidRPr="00061A5F">
        <w:rPr>
          <w:rFonts w:ascii="Times New Roman" w:hAnsi="Times New Roman"/>
          <w:i/>
          <w:sz w:val="24"/>
          <w:szCs w:val="24"/>
        </w:rPr>
        <w:t>IMF Staff Paper</w:t>
      </w:r>
      <w:r w:rsidRPr="00061A5F">
        <w:rPr>
          <w:rFonts w:ascii="Times New Roman" w:hAnsi="Times New Roman"/>
          <w:sz w:val="24"/>
          <w:szCs w:val="24"/>
        </w:rPr>
        <w:t>, No. 47</w:t>
      </w:r>
      <w:r w:rsidR="00294B5D" w:rsidRPr="00061A5F">
        <w:rPr>
          <w:rFonts w:ascii="Times New Roman" w:hAnsi="Times New Roman"/>
          <w:sz w:val="24"/>
          <w:szCs w:val="24"/>
        </w:rPr>
        <w:t>.</w:t>
      </w:r>
    </w:p>
    <w:p w14:paraId="111B8F9B" w14:textId="77777777" w:rsidR="005F3A1D" w:rsidRPr="00061A5F" w:rsidRDefault="005F3A1D" w:rsidP="007F5D0E">
      <w:pPr>
        <w:jc w:val="both"/>
        <w:rPr>
          <w:rFonts w:ascii="Times New Roman" w:hAnsi="Times New Roman"/>
          <w:sz w:val="24"/>
          <w:szCs w:val="24"/>
        </w:rPr>
      </w:pPr>
    </w:p>
    <w:p w14:paraId="315A8022" w14:textId="77777777" w:rsidR="005F3A1D" w:rsidRPr="00061A5F" w:rsidRDefault="005F3A1D" w:rsidP="007F5D0E">
      <w:pPr>
        <w:jc w:val="both"/>
        <w:rPr>
          <w:rFonts w:ascii="Times New Roman" w:eastAsia="Times New Roman" w:hAnsi="Times New Roman"/>
          <w:noProof/>
          <w:color w:val="000000"/>
          <w:sz w:val="24"/>
          <w:szCs w:val="24"/>
          <w:lang w:eastAsia="bs-Latn-BA"/>
        </w:rPr>
      </w:pPr>
    </w:p>
    <w:p w14:paraId="2C544C04" w14:textId="6EAC18A4" w:rsidR="00D02E1B" w:rsidRPr="00061A5F" w:rsidRDefault="00D02E1B" w:rsidP="00D02E1B">
      <w:pPr>
        <w:autoSpaceDE w:val="0"/>
        <w:autoSpaceDN w:val="0"/>
        <w:adjustRightInd w:val="0"/>
        <w:jc w:val="both"/>
        <w:rPr>
          <w:rFonts w:ascii="Times New Roman" w:hAnsi="Times New Roman"/>
          <w:sz w:val="24"/>
          <w:szCs w:val="24"/>
          <w:lang w:eastAsia="bs-Latn-BA"/>
        </w:rPr>
      </w:pPr>
      <w:r w:rsidRPr="00061A5F">
        <w:rPr>
          <w:rFonts w:ascii="Times New Roman" w:hAnsi="Times New Roman"/>
          <w:sz w:val="24"/>
          <w:szCs w:val="24"/>
          <w:lang w:eastAsia="bs-Latn-BA"/>
        </w:rPr>
        <w:t xml:space="preserve">Rose A (2011): Exchange Rate Regimes in the Modern Era: Fixed, Floating, and Flaky. </w:t>
      </w:r>
      <w:r w:rsidRPr="00061A5F">
        <w:rPr>
          <w:rFonts w:ascii="Times New Roman" w:hAnsi="Times New Roman"/>
          <w:i/>
          <w:iCs/>
          <w:sz w:val="24"/>
          <w:szCs w:val="24"/>
          <w:lang w:eastAsia="bs-Latn-BA"/>
        </w:rPr>
        <w:t>Journal of Economic Literature</w:t>
      </w:r>
      <w:r w:rsidRPr="00061A5F">
        <w:rPr>
          <w:rFonts w:ascii="Times New Roman" w:hAnsi="Times New Roman"/>
          <w:sz w:val="24"/>
          <w:szCs w:val="24"/>
          <w:lang w:eastAsia="bs-Latn-BA"/>
        </w:rPr>
        <w:t>, 49(3):652-72.</w:t>
      </w:r>
    </w:p>
    <w:p w14:paraId="74907385" w14:textId="77777777" w:rsidR="00D02E1B" w:rsidRPr="00061A5F" w:rsidRDefault="00D02E1B" w:rsidP="007F5D0E">
      <w:pPr>
        <w:autoSpaceDE w:val="0"/>
        <w:autoSpaceDN w:val="0"/>
        <w:adjustRightInd w:val="0"/>
        <w:jc w:val="both"/>
        <w:rPr>
          <w:rFonts w:ascii="Times New Roman" w:hAnsi="Times New Roman"/>
          <w:sz w:val="24"/>
          <w:szCs w:val="24"/>
          <w:lang w:eastAsia="bs-Latn-BA"/>
        </w:rPr>
      </w:pPr>
    </w:p>
    <w:p w14:paraId="3866572D" w14:textId="6303E752" w:rsidR="0055096B" w:rsidRPr="00061A5F" w:rsidRDefault="0055096B" w:rsidP="007F5D0E">
      <w:pPr>
        <w:autoSpaceDE w:val="0"/>
        <w:autoSpaceDN w:val="0"/>
        <w:adjustRightInd w:val="0"/>
        <w:jc w:val="both"/>
        <w:rPr>
          <w:rFonts w:ascii="Times New Roman" w:hAnsi="Times New Roman"/>
          <w:sz w:val="24"/>
          <w:szCs w:val="24"/>
          <w:lang w:eastAsia="bs-Latn-BA"/>
        </w:rPr>
      </w:pPr>
      <w:proofErr w:type="spellStart"/>
      <w:r w:rsidRPr="00061A5F">
        <w:rPr>
          <w:rFonts w:ascii="Times New Roman" w:hAnsi="Times New Roman"/>
          <w:sz w:val="24"/>
          <w:szCs w:val="24"/>
          <w:lang w:eastAsia="bs-Latn-BA"/>
        </w:rPr>
        <w:t>Nenovsky</w:t>
      </w:r>
      <w:proofErr w:type="spellEnd"/>
      <w:r w:rsidRPr="00061A5F">
        <w:rPr>
          <w:rFonts w:ascii="Times New Roman" w:hAnsi="Times New Roman"/>
          <w:sz w:val="24"/>
          <w:szCs w:val="24"/>
          <w:lang w:eastAsia="bs-Latn-BA"/>
        </w:rPr>
        <w:t xml:space="preserve"> N (2009): Monetary Regimes in Post-Communist Countries. Some Long-Term Reflections," </w:t>
      </w:r>
      <w:r w:rsidRPr="00061A5F">
        <w:rPr>
          <w:rFonts w:ascii="Times New Roman" w:hAnsi="Times New Roman"/>
          <w:i/>
          <w:iCs/>
          <w:sz w:val="24"/>
          <w:szCs w:val="24"/>
          <w:lang w:eastAsia="bs-Latn-BA"/>
        </w:rPr>
        <w:t>Working paper series 12009en, Agency for Economic Analysis and Forecasting</w:t>
      </w:r>
      <w:r w:rsidR="00D02E1B" w:rsidRPr="00061A5F">
        <w:rPr>
          <w:rFonts w:ascii="Times New Roman" w:hAnsi="Times New Roman"/>
          <w:i/>
          <w:iCs/>
          <w:sz w:val="24"/>
          <w:szCs w:val="24"/>
          <w:lang w:eastAsia="bs-Latn-BA"/>
        </w:rPr>
        <w:t>.</w:t>
      </w:r>
    </w:p>
    <w:p w14:paraId="19350BAA" w14:textId="77777777" w:rsidR="0055096B" w:rsidRPr="00061A5F" w:rsidRDefault="0055096B" w:rsidP="007F5D0E">
      <w:pPr>
        <w:autoSpaceDE w:val="0"/>
        <w:autoSpaceDN w:val="0"/>
        <w:adjustRightInd w:val="0"/>
        <w:jc w:val="both"/>
        <w:rPr>
          <w:rFonts w:ascii="Times New Roman" w:hAnsi="Times New Roman"/>
          <w:sz w:val="24"/>
          <w:szCs w:val="24"/>
          <w:lang w:eastAsia="bs-Latn-BA"/>
        </w:rPr>
      </w:pPr>
    </w:p>
    <w:p w14:paraId="7E3CE03C" w14:textId="492B324A" w:rsidR="005F3A1D" w:rsidRPr="00061A5F" w:rsidRDefault="005F3A1D" w:rsidP="007F5D0E">
      <w:pPr>
        <w:autoSpaceDE w:val="0"/>
        <w:autoSpaceDN w:val="0"/>
        <w:adjustRightInd w:val="0"/>
        <w:jc w:val="both"/>
        <w:rPr>
          <w:rFonts w:ascii="Times New Roman" w:hAnsi="Times New Roman"/>
          <w:sz w:val="24"/>
          <w:szCs w:val="24"/>
          <w:lang w:eastAsia="bs-Latn-BA"/>
        </w:rPr>
      </w:pPr>
      <w:r w:rsidRPr="00061A5F">
        <w:rPr>
          <w:rFonts w:ascii="Times New Roman" w:hAnsi="Times New Roman"/>
          <w:sz w:val="24"/>
          <w:szCs w:val="24"/>
          <w:lang w:eastAsia="bs-Latn-BA"/>
        </w:rPr>
        <w:t>Sargent T</w:t>
      </w:r>
      <w:r w:rsidR="00E432BB" w:rsidRPr="00061A5F">
        <w:rPr>
          <w:rFonts w:ascii="Times New Roman" w:hAnsi="Times New Roman"/>
          <w:sz w:val="24"/>
          <w:szCs w:val="24"/>
          <w:lang w:eastAsia="bs-Latn-BA"/>
        </w:rPr>
        <w:t>,</w:t>
      </w:r>
      <w:r w:rsidRPr="00061A5F">
        <w:rPr>
          <w:rFonts w:ascii="Times New Roman" w:hAnsi="Times New Roman"/>
          <w:sz w:val="24"/>
          <w:szCs w:val="24"/>
          <w:lang w:eastAsia="bs-Latn-BA"/>
        </w:rPr>
        <w:t xml:space="preserve"> Wallace</w:t>
      </w:r>
      <w:r w:rsidR="00E432BB" w:rsidRPr="00061A5F">
        <w:rPr>
          <w:rFonts w:ascii="Times New Roman" w:hAnsi="Times New Roman"/>
          <w:sz w:val="24"/>
          <w:szCs w:val="24"/>
          <w:lang w:eastAsia="bs-Latn-BA"/>
        </w:rPr>
        <w:t xml:space="preserve"> </w:t>
      </w:r>
      <w:r w:rsidRPr="00061A5F">
        <w:rPr>
          <w:rFonts w:ascii="Times New Roman" w:hAnsi="Times New Roman"/>
          <w:sz w:val="24"/>
          <w:szCs w:val="24"/>
          <w:lang w:eastAsia="bs-Latn-BA"/>
        </w:rPr>
        <w:t>N (1981)</w:t>
      </w:r>
      <w:r w:rsidR="00E432BB" w:rsidRPr="00061A5F">
        <w:rPr>
          <w:rFonts w:ascii="Times New Roman" w:hAnsi="Times New Roman"/>
          <w:sz w:val="24"/>
          <w:szCs w:val="24"/>
          <w:lang w:eastAsia="bs-Latn-BA"/>
        </w:rPr>
        <w:t>:</w:t>
      </w:r>
      <w:r w:rsidRPr="00061A5F">
        <w:rPr>
          <w:rFonts w:ascii="Times New Roman" w:hAnsi="Times New Roman"/>
          <w:sz w:val="24"/>
          <w:szCs w:val="24"/>
          <w:lang w:eastAsia="bs-Latn-BA"/>
        </w:rPr>
        <w:t xml:space="preserve"> Some Unpleasant Monetarist Arithmetic</w:t>
      </w:r>
      <w:r w:rsidR="00E432BB" w:rsidRPr="00061A5F">
        <w:rPr>
          <w:rFonts w:ascii="Times New Roman" w:hAnsi="Times New Roman"/>
          <w:sz w:val="24"/>
          <w:szCs w:val="24"/>
          <w:lang w:eastAsia="bs-Latn-BA"/>
        </w:rPr>
        <w:t>.</w:t>
      </w:r>
      <w:r w:rsidRPr="00061A5F">
        <w:rPr>
          <w:rFonts w:ascii="Times New Roman" w:hAnsi="Times New Roman"/>
          <w:sz w:val="24"/>
          <w:szCs w:val="24"/>
          <w:lang w:eastAsia="bs-Latn-BA"/>
        </w:rPr>
        <w:t xml:space="preserve"> </w:t>
      </w:r>
      <w:r w:rsidRPr="00061A5F">
        <w:rPr>
          <w:rFonts w:ascii="Times New Roman" w:hAnsi="Times New Roman"/>
          <w:i/>
          <w:iCs/>
          <w:sz w:val="24"/>
          <w:szCs w:val="24"/>
          <w:lang w:eastAsia="bs-Latn-BA"/>
        </w:rPr>
        <w:t xml:space="preserve">Federal Reserve Bank of Minneapolis Quarterly Review, </w:t>
      </w:r>
      <w:r w:rsidRPr="00061A5F">
        <w:rPr>
          <w:rFonts w:ascii="Times New Roman" w:hAnsi="Times New Roman"/>
          <w:sz w:val="24"/>
          <w:szCs w:val="24"/>
          <w:lang w:eastAsia="bs-Latn-BA"/>
        </w:rPr>
        <w:t>5:1‐17</w:t>
      </w:r>
      <w:r w:rsidR="00294B5D" w:rsidRPr="00061A5F">
        <w:rPr>
          <w:rFonts w:ascii="Times New Roman" w:hAnsi="Times New Roman"/>
          <w:sz w:val="24"/>
          <w:szCs w:val="24"/>
          <w:lang w:eastAsia="bs-Latn-BA"/>
        </w:rPr>
        <w:t>.</w:t>
      </w:r>
    </w:p>
    <w:p w14:paraId="00734726" w14:textId="77777777" w:rsidR="005F3A1D" w:rsidRPr="00061A5F" w:rsidRDefault="005F3A1D" w:rsidP="007F5D0E">
      <w:pPr>
        <w:jc w:val="both"/>
        <w:rPr>
          <w:rFonts w:ascii="Times New Roman" w:hAnsi="Times New Roman"/>
          <w:sz w:val="24"/>
          <w:szCs w:val="24"/>
          <w:lang w:eastAsia="bs-Latn-BA"/>
        </w:rPr>
      </w:pPr>
    </w:p>
    <w:p w14:paraId="7C06159F" w14:textId="45CF815E" w:rsidR="00AB55DF" w:rsidRPr="00061A5F" w:rsidRDefault="005F3A1D" w:rsidP="007F5D0E">
      <w:pPr>
        <w:jc w:val="both"/>
        <w:rPr>
          <w:rFonts w:ascii="Times New Roman" w:eastAsia="Times New Roman" w:hAnsi="Times New Roman"/>
          <w:color w:val="000000"/>
          <w:sz w:val="24"/>
          <w:szCs w:val="24"/>
          <w:lang w:eastAsia="bs-Latn-BA"/>
        </w:rPr>
      </w:pPr>
      <w:r w:rsidRPr="00061A5F">
        <w:rPr>
          <w:rFonts w:ascii="Times New Roman" w:eastAsia="Times New Roman" w:hAnsi="Times New Roman"/>
          <w:color w:val="000000"/>
          <w:sz w:val="24"/>
          <w:szCs w:val="24"/>
          <w:lang w:eastAsia="bs-Latn-BA"/>
        </w:rPr>
        <w:t>Wolf H, Ghosh A, Berger H</w:t>
      </w:r>
      <w:r w:rsidR="00E432BB" w:rsidRPr="00061A5F">
        <w:rPr>
          <w:rFonts w:ascii="Times New Roman" w:eastAsia="Times New Roman" w:hAnsi="Times New Roman"/>
          <w:color w:val="000000"/>
          <w:sz w:val="24"/>
          <w:szCs w:val="24"/>
          <w:lang w:eastAsia="bs-Latn-BA"/>
        </w:rPr>
        <w:t>,</w:t>
      </w:r>
      <w:r w:rsidRPr="00061A5F">
        <w:rPr>
          <w:rFonts w:ascii="Times New Roman" w:eastAsia="Times New Roman" w:hAnsi="Times New Roman"/>
          <w:color w:val="000000"/>
          <w:sz w:val="24"/>
          <w:szCs w:val="24"/>
          <w:lang w:eastAsia="bs-Latn-BA"/>
        </w:rPr>
        <w:t xml:space="preserve"> </w:t>
      </w:r>
      <w:proofErr w:type="spellStart"/>
      <w:r w:rsidRPr="00061A5F">
        <w:rPr>
          <w:rFonts w:ascii="Times New Roman" w:eastAsia="Times New Roman" w:hAnsi="Times New Roman"/>
          <w:color w:val="000000"/>
          <w:sz w:val="24"/>
          <w:szCs w:val="24"/>
          <w:lang w:eastAsia="bs-Latn-BA"/>
        </w:rPr>
        <w:t>Gulde</w:t>
      </w:r>
      <w:proofErr w:type="spellEnd"/>
      <w:r w:rsidRPr="00061A5F">
        <w:rPr>
          <w:rFonts w:ascii="Times New Roman" w:eastAsia="Times New Roman" w:hAnsi="Times New Roman"/>
          <w:color w:val="000000"/>
          <w:sz w:val="24"/>
          <w:szCs w:val="24"/>
          <w:lang w:eastAsia="bs-Latn-BA"/>
        </w:rPr>
        <w:t xml:space="preserve"> A (2008)</w:t>
      </w:r>
      <w:r w:rsidR="00E432BB" w:rsidRPr="00061A5F">
        <w:rPr>
          <w:rFonts w:ascii="Times New Roman" w:eastAsia="Times New Roman" w:hAnsi="Times New Roman"/>
          <w:color w:val="000000"/>
          <w:sz w:val="24"/>
          <w:szCs w:val="24"/>
          <w:lang w:eastAsia="bs-Latn-BA"/>
        </w:rPr>
        <w:t>:</w:t>
      </w:r>
      <w:r w:rsidRPr="00061A5F">
        <w:rPr>
          <w:rFonts w:ascii="Times New Roman" w:eastAsia="Times New Roman" w:hAnsi="Times New Roman"/>
          <w:color w:val="000000"/>
          <w:sz w:val="24"/>
          <w:szCs w:val="24"/>
          <w:lang w:eastAsia="bs-Latn-BA"/>
        </w:rPr>
        <w:t xml:space="preserve"> </w:t>
      </w:r>
      <w:r w:rsidRPr="00061A5F">
        <w:rPr>
          <w:rFonts w:ascii="Times New Roman" w:eastAsia="Times New Roman" w:hAnsi="Times New Roman"/>
          <w:iCs/>
          <w:color w:val="000000"/>
          <w:sz w:val="24"/>
          <w:szCs w:val="24"/>
          <w:lang w:eastAsia="bs-Latn-BA"/>
        </w:rPr>
        <w:t>Currency Boards in Retrospect and Prospect</w:t>
      </w:r>
      <w:r w:rsidR="00B22EDC" w:rsidRPr="00061A5F">
        <w:rPr>
          <w:rFonts w:ascii="Times New Roman" w:eastAsia="Times New Roman" w:hAnsi="Times New Roman"/>
          <w:color w:val="000000"/>
          <w:sz w:val="24"/>
          <w:szCs w:val="24"/>
          <w:lang w:eastAsia="bs-Latn-BA"/>
        </w:rPr>
        <w:t>. London</w:t>
      </w:r>
      <w:r w:rsidR="00294B5D" w:rsidRPr="00061A5F">
        <w:rPr>
          <w:rFonts w:ascii="Times New Roman" w:eastAsia="Times New Roman" w:hAnsi="Times New Roman"/>
          <w:color w:val="000000"/>
          <w:sz w:val="24"/>
          <w:szCs w:val="24"/>
          <w:lang w:eastAsia="bs-Latn-BA"/>
        </w:rPr>
        <w:t>.</w:t>
      </w:r>
    </w:p>
    <w:p w14:paraId="1798009E" w14:textId="7DEDE8A0" w:rsidR="005F3A1D" w:rsidRPr="00061A5F" w:rsidRDefault="00AB55DF" w:rsidP="007F5D0E">
      <w:pPr>
        <w:spacing w:after="160" w:line="259" w:lineRule="auto"/>
        <w:jc w:val="both"/>
        <w:rPr>
          <w:rFonts w:ascii="Times New Roman" w:eastAsia="Times New Roman" w:hAnsi="Times New Roman"/>
          <w:b/>
          <w:color w:val="000000"/>
          <w:sz w:val="24"/>
          <w:szCs w:val="24"/>
          <w:lang w:eastAsia="bs-Latn-BA"/>
        </w:rPr>
      </w:pPr>
      <w:r w:rsidRPr="00061A5F">
        <w:rPr>
          <w:rFonts w:ascii="Times New Roman" w:eastAsia="Times New Roman" w:hAnsi="Times New Roman"/>
          <w:color w:val="000000"/>
          <w:sz w:val="24"/>
          <w:szCs w:val="24"/>
          <w:lang w:eastAsia="bs-Latn-BA"/>
        </w:rPr>
        <w:br w:type="page"/>
      </w:r>
      <w:r w:rsidRPr="00061A5F">
        <w:rPr>
          <w:rFonts w:ascii="Times New Roman" w:eastAsia="Times New Roman" w:hAnsi="Times New Roman"/>
          <w:b/>
          <w:color w:val="000000"/>
          <w:sz w:val="24"/>
          <w:szCs w:val="24"/>
          <w:lang w:eastAsia="bs-Latn-BA"/>
        </w:rPr>
        <w:lastRenderedPageBreak/>
        <w:t>Figures</w:t>
      </w:r>
    </w:p>
    <w:p w14:paraId="23C765CC" w14:textId="5AB80830" w:rsidR="00AD63DD" w:rsidRPr="00061A5F" w:rsidRDefault="00AD63DD" w:rsidP="007F5D0E">
      <w:pPr>
        <w:jc w:val="both"/>
        <w:rPr>
          <w:rFonts w:ascii="Times New Roman" w:hAnsi="Times New Roman"/>
          <w:sz w:val="24"/>
          <w:szCs w:val="24"/>
        </w:rPr>
      </w:pPr>
      <w:r w:rsidRPr="00061A5F">
        <w:rPr>
          <w:rFonts w:ascii="Times New Roman" w:hAnsi="Times New Roman"/>
          <w:sz w:val="24"/>
          <w:szCs w:val="24"/>
        </w:rPr>
        <w:t>Figure 1</w:t>
      </w:r>
      <w:r w:rsidR="00657613" w:rsidRPr="00061A5F">
        <w:rPr>
          <w:rFonts w:ascii="Times New Roman" w:hAnsi="Times New Roman"/>
          <w:sz w:val="24"/>
          <w:szCs w:val="24"/>
        </w:rPr>
        <w:t>.</w:t>
      </w:r>
      <w:r w:rsidRPr="00061A5F">
        <w:rPr>
          <w:rFonts w:ascii="Times New Roman" w:hAnsi="Times New Roman"/>
          <w:sz w:val="24"/>
          <w:szCs w:val="24"/>
        </w:rPr>
        <w:t xml:space="preserve"> Average inflation rate across different types of regimes</w:t>
      </w:r>
    </w:p>
    <w:p w14:paraId="3398F889" w14:textId="77777777" w:rsidR="00AD63DD" w:rsidRPr="00061A5F" w:rsidRDefault="00AD63DD" w:rsidP="007F5D0E">
      <w:pPr>
        <w:jc w:val="both"/>
      </w:pPr>
      <w:r w:rsidRPr="00061A5F">
        <w:rPr>
          <w:noProof/>
          <w:lang w:eastAsia="en-GB"/>
        </w:rPr>
        <w:drawing>
          <wp:inline distT="0" distB="0" distL="0" distR="0" wp14:anchorId="522E1B35" wp14:editId="4DD6A3CC">
            <wp:extent cx="5731510" cy="3971643"/>
            <wp:effectExtent l="0" t="0" r="2540" b="10160"/>
            <wp:docPr id="7" name="Chart 7">
              <a:extLst xmlns:a="http://schemas.openxmlformats.org/drawingml/2006/main">
                <a:ext uri="{FF2B5EF4-FFF2-40B4-BE49-F238E27FC236}">
                  <a16:creationId xmlns:a16="http://schemas.microsoft.com/office/drawing/2014/main" id="{E2076138-B208-456E-A268-4FA8FB36AD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0BA7CE" w14:textId="1338859D" w:rsidR="00AD63DD" w:rsidRPr="00061A5F" w:rsidRDefault="00AD63DD" w:rsidP="007F5D0E">
      <w:pPr>
        <w:spacing w:line="276" w:lineRule="auto"/>
        <w:jc w:val="both"/>
        <w:rPr>
          <w:rFonts w:ascii="Times New Roman" w:hAnsi="Times New Roman"/>
          <w:sz w:val="24"/>
          <w:szCs w:val="24"/>
        </w:rPr>
      </w:pPr>
      <w:r w:rsidRPr="00061A5F">
        <w:rPr>
          <w:rFonts w:ascii="Times New Roman" w:hAnsi="Times New Roman"/>
        </w:rPr>
        <w:t>Source: Chart based on data from World Development Indicator</w:t>
      </w:r>
    </w:p>
    <w:p w14:paraId="64B4EA70" w14:textId="77777777" w:rsidR="00284F4D" w:rsidRPr="00061A5F" w:rsidRDefault="00284F4D" w:rsidP="007F5D0E">
      <w:pPr>
        <w:spacing w:line="276" w:lineRule="auto"/>
        <w:jc w:val="both"/>
        <w:rPr>
          <w:rFonts w:ascii="Times New Roman" w:hAnsi="Times New Roman"/>
          <w:sz w:val="24"/>
          <w:szCs w:val="24"/>
        </w:rPr>
      </w:pPr>
    </w:p>
    <w:p w14:paraId="2581D8C1" w14:textId="611F070E" w:rsidR="00AD63DD" w:rsidRPr="00061A5F" w:rsidRDefault="00AD63DD" w:rsidP="007F5D0E">
      <w:pPr>
        <w:spacing w:line="276" w:lineRule="auto"/>
        <w:jc w:val="both"/>
        <w:rPr>
          <w:rFonts w:ascii="Times New Roman" w:hAnsi="Times New Roman"/>
          <w:sz w:val="24"/>
          <w:szCs w:val="24"/>
        </w:rPr>
      </w:pPr>
      <w:r w:rsidRPr="00061A5F">
        <w:rPr>
          <w:rFonts w:ascii="Times New Roman" w:hAnsi="Times New Roman"/>
          <w:sz w:val="24"/>
          <w:szCs w:val="24"/>
        </w:rPr>
        <w:t>Figure 2</w:t>
      </w:r>
      <w:r w:rsidR="00657613" w:rsidRPr="00061A5F">
        <w:rPr>
          <w:rFonts w:ascii="Times New Roman" w:hAnsi="Times New Roman"/>
          <w:sz w:val="24"/>
          <w:szCs w:val="24"/>
        </w:rPr>
        <w:t>.</w:t>
      </w:r>
      <w:r w:rsidRPr="00061A5F">
        <w:rPr>
          <w:rFonts w:ascii="Times New Roman" w:hAnsi="Times New Roman"/>
          <w:sz w:val="24"/>
          <w:szCs w:val="24"/>
        </w:rPr>
        <w:t xml:space="preserve"> </w:t>
      </w:r>
      <w:r w:rsidR="00832081" w:rsidRPr="00061A5F">
        <w:rPr>
          <w:rFonts w:ascii="Times New Roman" w:hAnsi="Times New Roman"/>
          <w:sz w:val="24"/>
          <w:szCs w:val="24"/>
        </w:rPr>
        <w:t xml:space="preserve">Average inflation rate across </w:t>
      </w:r>
      <w:r w:rsidRPr="00061A5F">
        <w:rPr>
          <w:rFonts w:ascii="Times New Roman" w:hAnsi="Times New Roman"/>
          <w:sz w:val="24"/>
          <w:szCs w:val="24"/>
        </w:rPr>
        <w:t>different types of "fixers"</w:t>
      </w:r>
    </w:p>
    <w:p w14:paraId="01653185" w14:textId="77777777" w:rsidR="00AD63DD" w:rsidRPr="00061A5F" w:rsidRDefault="00AD63DD" w:rsidP="007F5D0E">
      <w:pPr>
        <w:jc w:val="both"/>
      </w:pPr>
      <w:r w:rsidRPr="00061A5F">
        <w:rPr>
          <w:noProof/>
          <w:lang w:eastAsia="en-GB"/>
        </w:rPr>
        <w:drawing>
          <wp:inline distT="0" distB="0" distL="0" distR="0" wp14:anchorId="3E569BAE" wp14:editId="1B9F427F">
            <wp:extent cx="5731510" cy="3500752"/>
            <wp:effectExtent l="0" t="0" r="2540" b="5080"/>
            <wp:docPr id="9" name="Chart 9">
              <a:extLst xmlns:a="http://schemas.openxmlformats.org/drawingml/2006/main">
                <a:ext uri="{FF2B5EF4-FFF2-40B4-BE49-F238E27FC236}">
                  <a16:creationId xmlns:a16="http://schemas.microsoft.com/office/drawing/2014/main" id="{DF628121-B66D-4C07-A186-CE7FB052F8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022FAC" w14:textId="7A6AA4FC" w:rsidR="00AD63DD" w:rsidRPr="00061A5F" w:rsidRDefault="00AD63DD" w:rsidP="007F5D0E">
      <w:pPr>
        <w:spacing w:after="160" w:line="259" w:lineRule="auto"/>
        <w:jc w:val="both"/>
        <w:rPr>
          <w:rFonts w:ascii="Times New Roman" w:eastAsia="Times New Roman" w:hAnsi="Times New Roman"/>
          <w:color w:val="000000"/>
          <w:sz w:val="24"/>
          <w:szCs w:val="24"/>
          <w:lang w:eastAsia="bs-Latn-BA"/>
        </w:rPr>
      </w:pPr>
      <w:r w:rsidRPr="00061A5F">
        <w:rPr>
          <w:rFonts w:ascii="Times New Roman" w:hAnsi="Times New Roman"/>
        </w:rPr>
        <w:t>Source: Chart based on data from World Development Indicator</w:t>
      </w:r>
    </w:p>
    <w:p w14:paraId="204A6BCB" w14:textId="7E5E9A52" w:rsidR="00AB55DF" w:rsidRPr="00061A5F" w:rsidRDefault="00AB55DF" w:rsidP="007F5D0E">
      <w:pPr>
        <w:pStyle w:val="Figures"/>
        <w:spacing w:line="276" w:lineRule="auto"/>
        <w:rPr>
          <w:rFonts w:cs="Times New Roman"/>
        </w:rPr>
      </w:pPr>
      <w:r w:rsidRPr="00061A5F">
        <w:rPr>
          <w:rFonts w:cs="Times New Roman"/>
        </w:rPr>
        <w:lastRenderedPageBreak/>
        <w:t xml:space="preserve">Figure </w:t>
      </w:r>
      <w:r w:rsidR="00AD63DD" w:rsidRPr="00061A5F">
        <w:rPr>
          <w:rFonts w:cs="Times New Roman"/>
        </w:rPr>
        <w:t>3</w:t>
      </w:r>
      <w:r w:rsidR="00657613" w:rsidRPr="00061A5F">
        <w:rPr>
          <w:rFonts w:cs="Times New Roman"/>
        </w:rPr>
        <w:t>.</w:t>
      </w:r>
      <w:r w:rsidRPr="00061A5F">
        <w:rPr>
          <w:rFonts w:cs="Times New Roman"/>
        </w:rPr>
        <w:t xml:space="preserve"> </w:t>
      </w:r>
      <w:r w:rsidR="00832081" w:rsidRPr="00061A5F">
        <w:rPr>
          <w:rFonts w:cs="Times New Roman"/>
        </w:rPr>
        <w:t>Average i</w:t>
      </w:r>
      <w:r w:rsidRPr="00061A5F">
        <w:rPr>
          <w:rFonts w:cs="Times New Roman"/>
        </w:rPr>
        <w:t xml:space="preserve">nflation rates (measured as percentage changes in consumer price index) in CEB, SEE and CIS countries </w:t>
      </w:r>
    </w:p>
    <w:p w14:paraId="621605B7" w14:textId="77777777" w:rsidR="00AB55DF" w:rsidRPr="00061A5F" w:rsidRDefault="00AB55DF" w:rsidP="007F5D0E">
      <w:pPr>
        <w:spacing w:line="276" w:lineRule="auto"/>
        <w:jc w:val="both"/>
        <w:rPr>
          <w:rFonts w:ascii="Times New Roman" w:hAnsi="Times New Roman"/>
          <w:sz w:val="24"/>
          <w:szCs w:val="24"/>
        </w:rPr>
      </w:pPr>
      <w:r w:rsidRPr="00061A5F">
        <w:rPr>
          <w:rFonts w:ascii="Times New Roman" w:hAnsi="Times New Roman"/>
          <w:noProof/>
          <w:lang w:eastAsia="en-GB"/>
        </w:rPr>
        <w:drawing>
          <wp:inline distT="0" distB="0" distL="0" distR="0" wp14:anchorId="72D199B1" wp14:editId="4ACD14A8">
            <wp:extent cx="5685790" cy="2832027"/>
            <wp:effectExtent l="0" t="0" r="10160" b="69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E61573" w14:textId="1577DB2A" w:rsidR="00AB55DF" w:rsidRPr="00061A5F" w:rsidRDefault="00AB55DF" w:rsidP="007F5D0E">
      <w:pPr>
        <w:spacing w:line="276" w:lineRule="auto"/>
        <w:jc w:val="both"/>
        <w:rPr>
          <w:rFonts w:ascii="Times New Roman" w:hAnsi="Times New Roman"/>
        </w:rPr>
      </w:pPr>
      <w:r w:rsidRPr="00061A5F">
        <w:rPr>
          <w:rFonts w:ascii="Times New Roman" w:hAnsi="Times New Roman"/>
        </w:rPr>
        <w:t xml:space="preserve">Source: </w:t>
      </w:r>
      <w:r w:rsidR="009A40F5" w:rsidRPr="00061A5F">
        <w:rPr>
          <w:rFonts w:ascii="Times New Roman" w:hAnsi="Times New Roman"/>
        </w:rPr>
        <w:t>Chart b</w:t>
      </w:r>
      <w:r w:rsidRPr="00061A5F">
        <w:rPr>
          <w:rFonts w:ascii="Times New Roman" w:hAnsi="Times New Roman"/>
        </w:rPr>
        <w:t xml:space="preserve">ased </w:t>
      </w:r>
      <w:r w:rsidR="00AD63DD" w:rsidRPr="00061A5F">
        <w:rPr>
          <w:rFonts w:ascii="Times New Roman" w:hAnsi="Times New Roman"/>
        </w:rPr>
        <w:t xml:space="preserve">on data from </w:t>
      </w:r>
      <w:r w:rsidRPr="00061A5F">
        <w:rPr>
          <w:rFonts w:ascii="Times New Roman" w:hAnsi="Times New Roman"/>
        </w:rPr>
        <w:t xml:space="preserve">the World </w:t>
      </w:r>
      <w:r w:rsidR="00AD63DD" w:rsidRPr="00061A5F">
        <w:rPr>
          <w:rFonts w:ascii="Times New Roman" w:hAnsi="Times New Roman"/>
        </w:rPr>
        <w:t xml:space="preserve">Development </w:t>
      </w:r>
      <w:r w:rsidRPr="00061A5F">
        <w:rPr>
          <w:rFonts w:ascii="Times New Roman" w:hAnsi="Times New Roman"/>
        </w:rPr>
        <w:t xml:space="preserve">Indicator </w:t>
      </w:r>
    </w:p>
    <w:p w14:paraId="34D02E39" w14:textId="77777777" w:rsidR="00AB55DF" w:rsidRPr="00061A5F" w:rsidRDefault="00AB55DF" w:rsidP="007F5D0E">
      <w:pPr>
        <w:jc w:val="both"/>
        <w:rPr>
          <w:rFonts w:ascii="Times New Roman" w:eastAsia="Times New Roman" w:hAnsi="Times New Roman"/>
          <w:color w:val="000000"/>
          <w:sz w:val="24"/>
          <w:szCs w:val="24"/>
          <w:lang w:eastAsia="bs-Latn-BA"/>
        </w:rPr>
      </w:pPr>
    </w:p>
    <w:p w14:paraId="318A1D9F" w14:textId="0E532DC2" w:rsidR="00AB55DF" w:rsidRPr="00061A5F" w:rsidRDefault="00AB55DF" w:rsidP="007F5D0E">
      <w:pPr>
        <w:pStyle w:val="Figures"/>
        <w:spacing w:line="276" w:lineRule="auto"/>
        <w:rPr>
          <w:rFonts w:cs="Times New Roman"/>
        </w:rPr>
      </w:pPr>
      <w:r w:rsidRPr="00061A5F">
        <w:rPr>
          <w:rFonts w:cs="Times New Roman"/>
        </w:rPr>
        <w:t xml:space="preserve">Figure </w:t>
      </w:r>
      <w:r w:rsidR="00AD63DD" w:rsidRPr="00061A5F">
        <w:rPr>
          <w:rFonts w:cs="Times New Roman"/>
        </w:rPr>
        <w:t>4</w:t>
      </w:r>
      <w:r w:rsidR="00657613" w:rsidRPr="00061A5F">
        <w:rPr>
          <w:rFonts w:cs="Times New Roman"/>
        </w:rPr>
        <w:t>.</w:t>
      </w:r>
      <w:r w:rsidRPr="00061A5F">
        <w:rPr>
          <w:rFonts w:cs="Times New Roman"/>
        </w:rPr>
        <w:t xml:space="preserve"> The average marginal effect of CBA on inflation conditional on money supply growth</w:t>
      </w:r>
    </w:p>
    <w:p w14:paraId="1A9F193B" w14:textId="77777777" w:rsidR="00AB55DF" w:rsidRPr="00061A5F" w:rsidRDefault="00AB55DF" w:rsidP="007F5D0E">
      <w:pPr>
        <w:autoSpaceDE w:val="0"/>
        <w:autoSpaceDN w:val="0"/>
        <w:adjustRightInd w:val="0"/>
        <w:spacing w:line="276" w:lineRule="auto"/>
        <w:jc w:val="both"/>
        <w:rPr>
          <w:rFonts w:ascii="Times New Roman" w:hAnsi="Times New Roman"/>
          <w:sz w:val="24"/>
          <w:szCs w:val="24"/>
        </w:rPr>
      </w:pPr>
      <w:r w:rsidRPr="00061A5F">
        <w:rPr>
          <w:rFonts w:ascii="Courier New" w:hAnsi="Courier New" w:cs="Courier New"/>
          <w:noProof/>
          <w:sz w:val="18"/>
          <w:szCs w:val="18"/>
          <w:lang w:eastAsia="en-GB"/>
        </w:rPr>
        <w:drawing>
          <wp:inline distT="0" distB="0" distL="0" distR="0" wp14:anchorId="6497B650" wp14:editId="3915E964">
            <wp:extent cx="5206506" cy="381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5092" cy="3823600"/>
                    </a:xfrm>
                    <a:prstGeom prst="rect">
                      <a:avLst/>
                    </a:prstGeom>
                    <a:noFill/>
                    <a:ln>
                      <a:noFill/>
                    </a:ln>
                  </pic:spPr>
                </pic:pic>
              </a:graphicData>
            </a:graphic>
          </wp:inline>
        </w:drawing>
      </w:r>
    </w:p>
    <w:p w14:paraId="63949397" w14:textId="6F71AE6E" w:rsidR="00AB55DF" w:rsidRPr="00061A5F" w:rsidRDefault="009A40F5" w:rsidP="007F5D0E">
      <w:pPr>
        <w:jc w:val="both"/>
        <w:rPr>
          <w:rFonts w:ascii="Times New Roman" w:eastAsia="Times New Roman" w:hAnsi="Times New Roman"/>
          <w:color w:val="000000"/>
          <w:lang w:eastAsia="bs-Latn-BA"/>
        </w:rPr>
      </w:pPr>
      <w:r w:rsidRPr="00061A5F">
        <w:rPr>
          <w:rFonts w:ascii="Times New Roman" w:eastAsia="Times New Roman" w:hAnsi="Times New Roman"/>
          <w:color w:val="000000"/>
          <w:lang w:eastAsia="bs-Latn-BA"/>
        </w:rPr>
        <w:t>Source: Post</w:t>
      </w:r>
      <w:r w:rsidR="000D4C39" w:rsidRPr="00061A5F">
        <w:rPr>
          <w:rFonts w:ascii="Times New Roman" w:eastAsia="Times New Roman" w:hAnsi="Times New Roman"/>
          <w:color w:val="000000"/>
          <w:lang w:eastAsia="bs-Latn-BA"/>
        </w:rPr>
        <w:t>-</w:t>
      </w:r>
      <w:r w:rsidRPr="00061A5F">
        <w:rPr>
          <w:rFonts w:ascii="Times New Roman" w:eastAsia="Times New Roman" w:hAnsi="Times New Roman"/>
          <w:color w:val="000000"/>
          <w:lang w:eastAsia="bs-Latn-BA"/>
        </w:rPr>
        <w:t>estimation results (</w:t>
      </w:r>
      <w:proofErr w:type="spellStart"/>
      <w:r w:rsidRPr="00061A5F">
        <w:rPr>
          <w:rFonts w:ascii="Times New Roman" w:eastAsia="Times New Roman" w:hAnsi="Times New Roman"/>
          <w:color w:val="000000"/>
          <w:lang w:eastAsia="bs-Latn-BA"/>
        </w:rPr>
        <w:t>marginsplot</w:t>
      </w:r>
      <w:proofErr w:type="spellEnd"/>
      <w:r w:rsidRPr="00061A5F">
        <w:rPr>
          <w:rFonts w:ascii="Times New Roman" w:eastAsia="Times New Roman" w:hAnsi="Times New Roman"/>
          <w:color w:val="000000"/>
          <w:lang w:eastAsia="bs-Latn-BA"/>
        </w:rPr>
        <w:t xml:space="preserve">) after the Equation </w:t>
      </w:r>
      <w:r w:rsidR="00F70DF3" w:rsidRPr="00061A5F">
        <w:rPr>
          <w:rFonts w:ascii="Times New Roman" w:eastAsia="Times New Roman" w:hAnsi="Times New Roman"/>
          <w:color w:val="000000"/>
          <w:lang w:eastAsia="bs-Latn-BA"/>
        </w:rPr>
        <w:t>2</w:t>
      </w:r>
    </w:p>
    <w:p w14:paraId="59FE8A32" w14:textId="77777777" w:rsidR="00284F4D" w:rsidRPr="00061A5F" w:rsidRDefault="00284F4D" w:rsidP="007F5D0E">
      <w:pPr>
        <w:pStyle w:val="Figures"/>
        <w:spacing w:line="276" w:lineRule="auto"/>
        <w:rPr>
          <w:rFonts w:cs="Times New Roman"/>
        </w:rPr>
      </w:pPr>
      <w:bookmarkStart w:id="93" w:name="_Toc418095718"/>
    </w:p>
    <w:p w14:paraId="0303759B" w14:textId="77777777" w:rsidR="00284F4D" w:rsidRPr="00061A5F" w:rsidRDefault="00284F4D" w:rsidP="007F5D0E">
      <w:pPr>
        <w:pStyle w:val="Figures"/>
        <w:spacing w:line="276" w:lineRule="auto"/>
        <w:rPr>
          <w:rFonts w:cs="Times New Roman"/>
        </w:rPr>
      </w:pPr>
    </w:p>
    <w:p w14:paraId="0294E5AA" w14:textId="77777777" w:rsidR="00284F4D" w:rsidRPr="00061A5F" w:rsidRDefault="00284F4D" w:rsidP="007F5D0E">
      <w:pPr>
        <w:pStyle w:val="Figures"/>
        <w:spacing w:line="276" w:lineRule="auto"/>
        <w:rPr>
          <w:rFonts w:cs="Times New Roman"/>
        </w:rPr>
      </w:pPr>
    </w:p>
    <w:p w14:paraId="700B6772" w14:textId="77777777" w:rsidR="00284F4D" w:rsidRPr="00061A5F" w:rsidRDefault="00284F4D" w:rsidP="007F5D0E">
      <w:pPr>
        <w:pStyle w:val="Figures"/>
        <w:spacing w:line="276" w:lineRule="auto"/>
        <w:rPr>
          <w:rFonts w:cs="Times New Roman"/>
        </w:rPr>
      </w:pPr>
    </w:p>
    <w:p w14:paraId="266BDEF6" w14:textId="77777777" w:rsidR="00284F4D" w:rsidRPr="00061A5F" w:rsidRDefault="00284F4D" w:rsidP="007F5D0E">
      <w:pPr>
        <w:pStyle w:val="Figures"/>
        <w:spacing w:line="276" w:lineRule="auto"/>
        <w:rPr>
          <w:rFonts w:cs="Times New Roman"/>
        </w:rPr>
      </w:pPr>
    </w:p>
    <w:p w14:paraId="36FBE7B6" w14:textId="008C6E30" w:rsidR="00A52A5B" w:rsidRPr="00061A5F" w:rsidRDefault="00A52A5B" w:rsidP="007F5D0E">
      <w:pPr>
        <w:pStyle w:val="Figures"/>
        <w:spacing w:line="276" w:lineRule="auto"/>
        <w:rPr>
          <w:rFonts w:cs="Times New Roman"/>
        </w:rPr>
      </w:pPr>
      <w:r w:rsidRPr="00061A5F">
        <w:rPr>
          <w:rFonts w:cs="Times New Roman"/>
        </w:rPr>
        <w:lastRenderedPageBreak/>
        <w:t xml:space="preserve">Figure 5. The average marginal effect of CBA on inflation conditional on crisis </w:t>
      </w:r>
    </w:p>
    <w:p w14:paraId="2EE9A95F" w14:textId="77777777" w:rsidR="009211B3" w:rsidRPr="00061A5F" w:rsidRDefault="00A52A5B" w:rsidP="007F5D0E">
      <w:pPr>
        <w:pStyle w:val="Figures"/>
        <w:spacing w:line="276" w:lineRule="auto"/>
        <w:rPr>
          <w:rFonts w:cs="Times New Roman"/>
        </w:rPr>
      </w:pPr>
      <w:r w:rsidRPr="00061A5F">
        <w:rPr>
          <w:noProof/>
        </w:rPr>
        <w:drawing>
          <wp:inline distT="0" distB="0" distL="0" distR="0" wp14:anchorId="04371690" wp14:editId="3305A106">
            <wp:extent cx="5254171" cy="3845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3633" cy="3859665"/>
                    </a:xfrm>
                    <a:prstGeom prst="rect">
                      <a:avLst/>
                    </a:prstGeom>
                    <a:noFill/>
                    <a:ln>
                      <a:noFill/>
                    </a:ln>
                  </pic:spPr>
                </pic:pic>
              </a:graphicData>
            </a:graphic>
          </wp:inline>
        </w:drawing>
      </w:r>
    </w:p>
    <w:p w14:paraId="1A122EB7" w14:textId="2BADEADB" w:rsidR="009211B3" w:rsidRPr="00061A5F" w:rsidRDefault="009211B3" w:rsidP="009211B3">
      <w:pPr>
        <w:jc w:val="both"/>
        <w:rPr>
          <w:rFonts w:ascii="Times New Roman" w:eastAsia="Times New Roman" w:hAnsi="Times New Roman"/>
          <w:color w:val="000000"/>
          <w:lang w:eastAsia="bs-Latn-BA"/>
        </w:rPr>
      </w:pPr>
      <w:r w:rsidRPr="00061A5F">
        <w:rPr>
          <w:rFonts w:ascii="Times New Roman" w:eastAsia="Times New Roman" w:hAnsi="Times New Roman"/>
          <w:color w:val="000000"/>
          <w:lang w:eastAsia="bs-Latn-BA"/>
        </w:rPr>
        <w:t>Source: Post</w:t>
      </w:r>
      <w:r w:rsidR="00F70DF3" w:rsidRPr="00061A5F">
        <w:rPr>
          <w:rFonts w:ascii="Times New Roman" w:eastAsia="Times New Roman" w:hAnsi="Times New Roman"/>
          <w:color w:val="000000"/>
          <w:lang w:eastAsia="bs-Latn-BA"/>
        </w:rPr>
        <w:t>-</w:t>
      </w:r>
      <w:r w:rsidRPr="00061A5F">
        <w:rPr>
          <w:rFonts w:ascii="Times New Roman" w:eastAsia="Times New Roman" w:hAnsi="Times New Roman"/>
          <w:color w:val="000000"/>
          <w:lang w:eastAsia="bs-Latn-BA"/>
        </w:rPr>
        <w:t>estimation results (</w:t>
      </w:r>
      <w:proofErr w:type="spellStart"/>
      <w:r w:rsidRPr="00061A5F">
        <w:rPr>
          <w:rFonts w:ascii="Times New Roman" w:eastAsia="Times New Roman" w:hAnsi="Times New Roman"/>
          <w:color w:val="000000"/>
          <w:lang w:eastAsia="bs-Latn-BA"/>
        </w:rPr>
        <w:t>marginsplot</w:t>
      </w:r>
      <w:proofErr w:type="spellEnd"/>
      <w:r w:rsidRPr="00061A5F">
        <w:rPr>
          <w:rFonts w:ascii="Times New Roman" w:eastAsia="Times New Roman" w:hAnsi="Times New Roman"/>
          <w:color w:val="000000"/>
          <w:lang w:eastAsia="bs-Latn-BA"/>
        </w:rPr>
        <w:t xml:space="preserve">) after the Equation </w:t>
      </w:r>
      <w:r w:rsidR="00F70DF3" w:rsidRPr="00061A5F">
        <w:rPr>
          <w:rFonts w:ascii="Times New Roman" w:eastAsia="Times New Roman" w:hAnsi="Times New Roman"/>
          <w:color w:val="000000"/>
          <w:lang w:eastAsia="bs-Latn-BA"/>
        </w:rPr>
        <w:t>2</w:t>
      </w:r>
    </w:p>
    <w:p w14:paraId="67282099" w14:textId="77777777" w:rsidR="009211B3" w:rsidRPr="00061A5F" w:rsidRDefault="009211B3" w:rsidP="007F5D0E">
      <w:pPr>
        <w:pStyle w:val="Figures"/>
        <w:spacing w:line="276" w:lineRule="auto"/>
        <w:rPr>
          <w:rFonts w:cs="Times New Roman"/>
        </w:rPr>
      </w:pPr>
    </w:p>
    <w:p w14:paraId="6E609970" w14:textId="280F2998" w:rsidR="00AB55DF" w:rsidRPr="00061A5F" w:rsidRDefault="00AB55DF" w:rsidP="00284F4D">
      <w:pPr>
        <w:pStyle w:val="Figures"/>
        <w:spacing w:line="276" w:lineRule="auto"/>
        <w:rPr>
          <w:rFonts w:cs="Times New Roman"/>
        </w:rPr>
      </w:pPr>
      <w:r w:rsidRPr="00061A5F">
        <w:rPr>
          <w:rFonts w:cs="Times New Roman"/>
        </w:rPr>
        <w:t xml:space="preserve">Figure </w:t>
      </w:r>
      <w:r w:rsidR="009211B3" w:rsidRPr="00061A5F">
        <w:rPr>
          <w:rFonts w:cs="Times New Roman"/>
        </w:rPr>
        <w:t>6</w:t>
      </w:r>
      <w:r w:rsidR="00284F4D" w:rsidRPr="00061A5F">
        <w:rPr>
          <w:rFonts w:cs="Times New Roman"/>
        </w:rPr>
        <w:t>a</w:t>
      </w:r>
      <w:r w:rsidR="00657613" w:rsidRPr="00061A5F">
        <w:rPr>
          <w:rFonts w:cs="Times New Roman"/>
        </w:rPr>
        <w:t>.</w:t>
      </w:r>
      <w:r w:rsidRPr="00061A5F">
        <w:rPr>
          <w:rFonts w:cs="Times New Roman"/>
        </w:rPr>
        <w:t xml:space="preserve"> The average marginal effect of a “strong” CBA on inflation conditional on money supply growth</w:t>
      </w:r>
      <w:bookmarkEnd w:id="93"/>
    </w:p>
    <w:p w14:paraId="0AEB5D5E" w14:textId="587C081B" w:rsidR="00AB55DF" w:rsidRPr="00061A5F" w:rsidRDefault="00AB55DF" w:rsidP="007F5D0E">
      <w:pPr>
        <w:spacing w:line="276" w:lineRule="auto"/>
        <w:jc w:val="both"/>
      </w:pPr>
      <w:r w:rsidRPr="00061A5F">
        <w:rPr>
          <w:rFonts w:ascii="Courier New" w:hAnsi="Courier New" w:cs="Courier New"/>
          <w:noProof/>
          <w:sz w:val="18"/>
          <w:szCs w:val="18"/>
          <w:lang w:eastAsia="en-GB"/>
        </w:rPr>
        <w:drawing>
          <wp:inline distT="0" distB="0" distL="0" distR="0" wp14:anchorId="2A21B3A8" wp14:editId="4DEDE13E">
            <wp:extent cx="5111108" cy="37401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5330" cy="3750598"/>
                    </a:xfrm>
                    <a:prstGeom prst="rect">
                      <a:avLst/>
                    </a:prstGeom>
                    <a:noFill/>
                    <a:ln>
                      <a:noFill/>
                    </a:ln>
                  </pic:spPr>
                </pic:pic>
              </a:graphicData>
            </a:graphic>
          </wp:inline>
        </w:drawing>
      </w:r>
    </w:p>
    <w:p w14:paraId="60378080" w14:textId="47AE7B82" w:rsidR="00710B07" w:rsidRPr="00061A5F" w:rsidRDefault="00710B07" w:rsidP="007F5D0E">
      <w:pPr>
        <w:spacing w:line="276" w:lineRule="auto"/>
        <w:jc w:val="both"/>
        <w:rPr>
          <w:rFonts w:ascii="Times New Roman" w:eastAsia="Times New Roman" w:hAnsi="Times New Roman"/>
          <w:color w:val="000000"/>
          <w:lang w:eastAsia="bs-Latn-BA"/>
        </w:rPr>
      </w:pPr>
      <w:r w:rsidRPr="00061A5F">
        <w:rPr>
          <w:rFonts w:ascii="Times New Roman" w:eastAsia="Times New Roman" w:hAnsi="Times New Roman"/>
          <w:color w:val="000000"/>
          <w:lang w:eastAsia="bs-Latn-BA"/>
        </w:rPr>
        <w:t>Source: Post</w:t>
      </w:r>
      <w:r w:rsidR="00DB5033" w:rsidRPr="00061A5F">
        <w:rPr>
          <w:rFonts w:ascii="Times New Roman" w:eastAsia="Times New Roman" w:hAnsi="Times New Roman"/>
          <w:color w:val="000000"/>
          <w:lang w:eastAsia="bs-Latn-BA"/>
        </w:rPr>
        <w:t>-</w:t>
      </w:r>
      <w:r w:rsidRPr="00061A5F">
        <w:rPr>
          <w:rFonts w:ascii="Times New Roman" w:eastAsia="Times New Roman" w:hAnsi="Times New Roman"/>
          <w:color w:val="000000"/>
          <w:lang w:eastAsia="bs-Latn-BA"/>
        </w:rPr>
        <w:t>estimation results (</w:t>
      </w:r>
      <w:proofErr w:type="spellStart"/>
      <w:r w:rsidRPr="00061A5F">
        <w:rPr>
          <w:rFonts w:ascii="Times New Roman" w:eastAsia="Times New Roman" w:hAnsi="Times New Roman"/>
          <w:color w:val="000000"/>
          <w:lang w:eastAsia="bs-Latn-BA"/>
        </w:rPr>
        <w:t>marginsplot</w:t>
      </w:r>
      <w:proofErr w:type="spellEnd"/>
      <w:r w:rsidRPr="00061A5F">
        <w:rPr>
          <w:rFonts w:ascii="Times New Roman" w:eastAsia="Times New Roman" w:hAnsi="Times New Roman"/>
          <w:color w:val="000000"/>
          <w:lang w:eastAsia="bs-Latn-BA"/>
        </w:rPr>
        <w:t xml:space="preserve">) after the Equation </w:t>
      </w:r>
      <w:r w:rsidR="004136E9" w:rsidRPr="00061A5F">
        <w:rPr>
          <w:rFonts w:ascii="Times New Roman" w:eastAsia="Times New Roman" w:hAnsi="Times New Roman"/>
          <w:color w:val="000000"/>
          <w:lang w:eastAsia="bs-Latn-BA"/>
        </w:rPr>
        <w:t>2</w:t>
      </w:r>
      <w:r w:rsidRPr="00061A5F">
        <w:rPr>
          <w:rFonts w:ascii="Times New Roman" w:eastAsia="Times New Roman" w:hAnsi="Times New Roman"/>
          <w:color w:val="000000"/>
          <w:lang w:eastAsia="bs-Latn-BA"/>
        </w:rPr>
        <w:t xml:space="preserve"> (in which strong and weak CBA’s are separated)</w:t>
      </w:r>
    </w:p>
    <w:p w14:paraId="0BC51707" w14:textId="68BB75F2" w:rsidR="00284F4D" w:rsidRPr="00061A5F" w:rsidRDefault="00284F4D" w:rsidP="00284F4D">
      <w:pPr>
        <w:pStyle w:val="Figures"/>
        <w:spacing w:line="276" w:lineRule="auto"/>
        <w:rPr>
          <w:rFonts w:cs="Times New Roman"/>
        </w:rPr>
      </w:pPr>
      <w:r w:rsidRPr="00061A5F">
        <w:rPr>
          <w:rFonts w:cs="Times New Roman"/>
        </w:rPr>
        <w:lastRenderedPageBreak/>
        <w:t>Figure 6b</w:t>
      </w:r>
      <w:r w:rsidR="00657613" w:rsidRPr="00061A5F">
        <w:rPr>
          <w:rFonts w:cs="Times New Roman"/>
        </w:rPr>
        <w:t>.</w:t>
      </w:r>
      <w:r w:rsidRPr="00061A5F">
        <w:rPr>
          <w:rFonts w:cs="Times New Roman"/>
        </w:rPr>
        <w:t xml:space="preserve"> The average marginal effect of a “weak” CBA on inflation conditional on money supply growth</w:t>
      </w:r>
    </w:p>
    <w:p w14:paraId="6DD8911C" w14:textId="5719CC29" w:rsidR="0007085A" w:rsidRPr="00061A5F" w:rsidRDefault="00284F4D" w:rsidP="007F5D0E">
      <w:pPr>
        <w:spacing w:line="276" w:lineRule="auto"/>
        <w:jc w:val="both"/>
        <w:rPr>
          <w:rFonts w:ascii="Times New Roman" w:eastAsia="Times New Roman" w:hAnsi="Times New Roman"/>
          <w:color w:val="000000"/>
          <w:lang w:eastAsia="bs-Latn-BA"/>
        </w:rPr>
      </w:pPr>
      <w:r w:rsidRPr="00061A5F">
        <w:rPr>
          <w:rFonts w:ascii="Times New Roman" w:eastAsia="Times New Roman" w:hAnsi="Times New Roman"/>
          <w:noProof/>
          <w:color w:val="000000"/>
          <w:lang w:eastAsia="bs-Latn-BA"/>
        </w:rPr>
        <w:drawing>
          <wp:inline distT="0" distB="0" distL="0" distR="0" wp14:anchorId="3B04A811" wp14:editId="09BAE915">
            <wp:extent cx="5124450" cy="3752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24450" cy="3752850"/>
                    </a:xfrm>
                    <a:prstGeom prst="rect">
                      <a:avLst/>
                    </a:prstGeom>
                    <a:noFill/>
                    <a:ln>
                      <a:noFill/>
                    </a:ln>
                  </pic:spPr>
                </pic:pic>
              </a:graphicData>
            </a:graphic>
          </wp:inline>
        </w:drawing>
      </w:r>
    </w:p>
    <w:p w14:paraId="6A0CFD03" w14:textId="77777777" w:rsidR="00284F4D" w:rsidRPr="00061A5F" w:rsidRDefault="00284F4D" w:rsidP="00284F4D">
      <w:pPr>
        <w:spacing w:line="276" w:lineRule="auto"/>
        <w:jc w:val="both"/>
        <w:rPr>
          <w:rFonts w:ascii="Times New Roman" w:eastAsia="Times New Roman" w:hAnsi="Times New Roman"/>
          <w:color w:val="000000"/>
          <w:lang w:eastAsia="bs-Latn-BA"/>
        </w:rPr>
      </w:pPr>
      <w:r w:rsidRPr="00061A5F">
        <w:rPr>
          <w:rFonts w:ascii="Times New Roman" w:eastAsia="Times New Roman" w:hAnsi="Times New Roman"/>
          <w:color w:val="000000"/>
          <w:lang w:eastAsia="bs-Latn-BA"/>
        </w:rPr>
        <w:t>Source: Post-estimation results (</w:t>
      </w:r>
      <w:proofErr w:type="spellStart"/>
      <w:r w:rsidRPr="00061A5F">
        <w:rPr>
          <w:rFonts w:ascii="Times New Roman" w:eastAsia="Times New Roman" w:hAnsi="Times New Roman"/>
          <w:color w:val="000000"/>
          <w:lang w:eastAsia="bs-Latn-BA"/>
        </w:rPr>
        <w:t>marginsplot</w:t>
      </w:r>
      <w:proofErr w:type="spellEnd"/>
      <w:r w:rsidRPr="00061A5F">
        <w:rPr>
          <w:rFonts w:ascii="Times New Roman" w:eastAsia="Times New Roman" w:hAnsi="Times New Roman"/>
          <w:color w:val="000000"/>
          <w:lang w:eastAsia="bs-Latn-BA"/>
        </w:rPr>
        <w:t>) after the Equation 2 (in which strong and weak CBA’s are separated)</w:t>
      </w:r>
    </w:p>
    <w:p w14:paraId="13BA3842" w14:textId="77777777" w:rsidR="00284F4D" w:rsidRPr="00061A5F" w:rsidRDefault="00284F4D" w:rsidP="007F5D0E">
      <w:pPr>
        <w:spacing w:line="276" w:lineRule="auto"/>
        <w:jc w:val="both"/>
        <w:rPr>
          <w:rFonts w:ascii="Times New Roman" w:eastAsia="Times New Roman" w:hAnsi="Times New Roman"/>
          <w:color w:val="000000"/>
          <w:lang w:eastAsia="bs-Latn-BA"/>
        </w:rPr>
      </w:pPr>
    </w:p>
    <w:p w14:paraId="19E60383" w14:textId="0F534F68" w:rsidR="0007085A" w:rsidRPr="00061A5F" w:rsidRDefault="0007085A" w:rsidP="00284F4D">
      <w:pPr>
        <w:pStyle w:val="Figures"/>
        <w:spacing w:line="276" w:lineRule="auto"/>
        <w:rPr>
          <w:rFonts w:cs="Times New Roman"/>
        </w:rPr>
      </w:pPr>
      <w:bookmarkStart w:id="94" w:name="_Hlk21376161"/>
      <w:r w:rsidRPr="00061A5F">
        <w:rPr>
          <w:rFonts w:eastAsia="Times New Roman"/>
          <w:color w:val="000000"/>
          <w:lang w:eastAsia="bs-Latn-BA"/>
        </w:rPr>
        <w:t>Figure 7a</w:t>
      </w:r>
      <w:r w:rsidR="00494406" w:rsidRPr="00061A5F">
        <w:rPr>
          <w:rFonts w:eastAsia="Times New Roman"/>
          <w:color w:val="000000"/>
          <w:lang w:eastAsia="bs-Latn-BA"/>
        </w:rPr>
        <w:t xml:space="preserve">. </w:t>
      </w:r>
      <w:r w:rsidR="00494406" w:rsidRPr="00061A5F">
        <w:rPr>
          <w:rFonts w:cs="Times New Roman"/>
        </w:rPr>
        <w:t>The average marginal effect of a “strong” CBA on inflation conditional on crisis</w:t>
      </w:r>
    </w:p>
    <w:p w14:paraId="3F3C03F8" w14:textId="1E909AEE" w:rsidR="0007085A" w:rsidRPr="00061A5F" w:rsidRDefault="0007085A" w:rsidP="007F5D0E">
      <w:pPr>
        <w:spacing w:line="276" w:lineRule="auto"/>
        <w:jc w:val="both"/>
      </w:pPr>
      <w:r w:rsidRPr="00061A5F">
        <w:rPr>
          <w:noProof/>
        </w:rPr>
        <w:drawing>
          <wp:inline distT="0" distB="0" distL="0" distR="0" wp14:anchorId="4DBDDDEE" wp14:editId="1D4874E2">
            <wp:extent cx="5121910" cy="3753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21910" cy="3753485"/>
                    </a:xfrm>
                    <a:prstGeom prst="rect">
                      <a:avLst/>
                    </a:prstGeom>
                    <a:noFill/>
                    <a:ln>
                      <a:noFill/>
                    </a:ln>
                  </pic:spPr>
                </pic:pic>
              </a:graphicData>
            </a:graphic>
          </wp:inline>
        </w:drawing>
      </w:r>
    </w:p>
    <w:p w14:paraId="25113D92" w14:textId="77777777" w:rsidR="00284F4D" w:rsidRPr="00061A5F" w:rsidRDefault="00284F4D" w:rsidP="00284F4D">
      <w:pPr>
        <w:spacing w:line="276" w:lineRule="auto"/>
        <w:jc w:val="both"/>
        <w:rPr>
          <w:rFonts w:ascii="Times New Roman" w:eastAsia="Times New Roman" w:hAnsi="Times New Roman"/>
          <w:color w:val="000000"/>
          <w:lang w:eastAsia="bs-Latn-BA"/>
        </w:rPr>
      </w:pPr>
      <w:r w:rsidRPr="00061A5F">
        <w:rPr>
          <w:rFonts w:ascii="Times New Roman" w:eastAsia="Times New Roman" w:hAnsi="Times New Roman"/>
          <w:color w:val="000000"/>
          <w:lang w:eastAsia="bs-Latn-BA"/>
        </w:rPr>
        <w:t>Source: Post-estimation results (</w:t>
      </w:r>
      <w:proofErr w:type="spellStart"/>
      <w:r w:rsidRPr="00061A5F">
        <w:rPr>
          <w:rFonts w:ascii="Times New Roman" w:eastAsia="Times New Roman" w:hAnsi="Times New Roman"/>
          <w:color w:val="000000"/>
          <w:lang w:eastAsia="bs-Latn-BA"/>
        </w:rPr>
        <w:t>marginsplot</w:t>
      </w:r>
      <w:proofErr w:type="spellEnd"/>
      <w:r w:rsidRPr="00061A5F">
        <w:rPr>
          <w:rFonts w:ascii="Times New Roman" w:eastAsia="Times New Roman" w:hAnsi="Times New Roman"/>
          <w:color w:val="000000"/>
          <w:lang w:eastAsia="bs-Latn-BA"/>
        </w:rPr>
        <w:t>) after the Equation 2 (in which strong and weak CBA’s are separated)</w:t>
      </w:r>
    </w:p>
    <w:p w14:paraId="6E23E4E1" w14:textId="67128EA7" w:rsidR="0007085A" w:rsidRPr="00061A5F" w:rsidRDefault="0007085A" w:rsidP="007F5D0E">
      <w:pPr>
        <w:spacing w:line="276" w:lineRule="auto"/>
        <w:jc w:val="both"/>
      </w:pPr>
    </w:p>
    <w:p w14:paraId="417C9C17" w14:textId="3B7351AB" w:rsidR="00494406" w:rsidRPr="00061A5F" w:rsidRDefault="00494406" w:rsidP="00494406">
      <w:pPr>
        <w:pStyle w:val="Figures"/>
        <w:spacing w:line="276" w:lineRule="auto"/>
        <w:rPr>
          <w:rFonts w:cs="Times New Roman"/>
        </w:rPr>
      </w:pPr>
      <w:r w:rsidRPr="00061A5F">
        <w:rPr>
          <w:rFonts w:eastAsia="Times New Roman"/>
          <w:color w:val="000000"/>
          <w:lang w:eastAsia="bs-Latn-BA"/>
        </w:rPr>
        <w:lastRenderedPageBreak/>
        <w:t xml:space="preserve">Figure 7b. </w:t>
      </w:r>
      <w:r w:rsidRPr="00061A5F">
        <w:rPr>
          <w:rFonts w:cs="Times New Roman"/>
        </w:rPr>
        <w:t>The average marginal effect of a “weak” CBA on inflation conditional on crisis</w:t>
      </w:r>
    </w:p>
    <w:p w14:paraId="44137271" w14:textId="72565905" w:rsidR="0007085A" w:rsidRPr="00061A5F" w:rsidRDefault="0007085A" w:rsidP="007F5D0E">
      <w:pPr>
        <w:spacing w:line="276" w:lineRule="auto"/>
        <w:jc w:val="both"/>
      </w:pPr>
      <w:r w:rsidRPr="00061A5F">
        <w:rPr>
          <w:noProof/>
        </w:rPr>
        <w:drawing>
          <wp:inline distT="0" distB="0" distL="0" distR="0" wp14:anchorId="7908BB03" wp14:editId="197D2DE5">
            <wp:extent cx="5121910" cy="3753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21910" cy="3753485"/>
                    </a:xfrm>
                    <a:prstGeom prst="rect">
                      <a:avLst/>
                    </a:prstGeom>
                    <a:noFill/>
                    <a:ln>
                      <a:noFill/>
                    </a:ln>
                  </pic:spPr>
                </pic:pic>
              </a:graphicData>
            </a:graphic>
          </wp:inline>
        </w:drawing>
      </w:r>
    </w:p>
    <w:p w14:paraId="2173BE31" w14:textId="77777777" w:rsidR="00284F4D" w:rsidRPr="00061A5F" w:rsidRDefault="00284F4D" w:rsidP="00284F4D">
      <w:pPr>
        <w:spacing w:line="276" w:lineRule="auto"/>
        <w:jc w:val="both"/>
        <w:rPr>
          <w:rFonts w:ascii="Times New Roman" w:eastAsia="Times New Roman" w:hAnsi="Times New Roman"/>
          <w:color w:val="000000"/>
          <w:lang w:eastAsia="bs-Latn-BA"/>
        </w:rPr>
      </w:pPr>
      <w:r w:rsidRPr="00061A5F">
        <w:rPr>
          <w:rFonts w:ascii="Times New Roman" w:eastAsia="Times New Roman" w:hAnsi="Times New Roman"/>
          <w:color w:val="000000"/>
          <w:lang w:eastAsia="bs-Latn-BA"/>
        </w:rPr>
        <w:t>Source: Post-estimation results (</w:t>
      </w:r>
      <w:proofErr w:type="spellStart"/>
      <w:r w:rsidRPr="00061A5F">
        <w:rPr>
          <w:rFonts w:ascii="Times New Roman" w:eastAsia="Times New Roman" w:hAnsi="Times New Roman"/>
          <w:color w:val="000000"/>
          <w:lang w:eastAsia="bs-Latn-BA"/>
        </w:rPr>
        <w:t>marginsplot</w:t>
      </w:r>
      <w:proofErr w:type="spellEnd"/>
      <w:r w:rsidRPr="00061A5F">
        <w:rPr>
          <w:rFonts w:ascii="Times New Roman" w:eastAsia="Times New Roman" w:hAnsi="Times New Roman"/>
          <w:color w:val="000000"/>
          <w:lang w:eastAsia="bs-Latn-BA"/>
        </w:rPr>
        <w:t>) after the Equation 2 (in which strong and weak CBA’s are separated)</w:t>
      </w:r>
    </w:p>
    <w:p w14:paraId="3EDC070E" w14:textId="55EF013D" w:rsidR="00AB55DF" w:rsidRPr="00061A5F" w:rsidRDefault="00AB55DF" w:rsidP="007F5D0E">
      <w:pPr>
        <w:jc w:val="both"/>
        <w:rPr>
          <w:rFonts w:ascii="Times New Roman" w:eastAsia="Times New Roman" w:hAnsi="Times New Roman"/>
          <w:color w:val="000000"/>
          <w:sz w:val="24"/>
          <w:szCs w:val="24"/>
          <w:lang w:eastAsia="bs-Latn-BA"/>
        </w:rPr>
        <w:sectPr w:rsidR="00AB55DF" w:rsidRPr="00061A5F" w:rsidSect="009408EE">
          <w:footerReference w:type="default" r:id="rId17"/>
          <w:pgSz w:w="11906" w:h="16838"/>
          <w:pgMar w:top="1440" w:right="1440" w:bottom="1440" w:left="1440" w:header="706" w:footer="706" w:gutter="0"/>
          <w:cols w:space="708"/>
          <w:docGrid w:linePitch="360"/>
        </w:sectPr>
      </w:pPr>
    </w:p>
    <w:p w14:paraId="2558951C" w14:textId="77777777" w:rsidR="001C729B" w:rsidRPr="00061A5F" w:rsidRDefault="001C729B" w:rsidP="007F5D0E">
      <w:pPr>
        <w:autoSpaceDE w:val="0"/>
        <w:autoSpaceDN w:val="0"/>
        <w:adjustRightInd w:val="0"/>
        <w:spacing w:line="276" w:lineRule="auto"/>
        <w:jc w:val="both"/>
        <w:rPr>
          <w:rFonts w:ascii="Times New Roman" w:hAnsi="Times New Roman"/>
          <w:b/>
          <w:sz w:val="24"/>
          <w:szCs w:val="24"/>
          <w:lang w:eastAsia="en-GB"/>
        </w:rPr>
      </w:pPr>
      <w:bookmarkStart w:id="95" w:name="_Toc418088428"/>
      <w:bookmarkEnd w:id="94"/>
      <w:r w:rsidRPr="00061A5F">
        <w:rPr>
          <w:rFonts w:ascii="Times New Roman" w:hAnsi="Times New Roman"/>
          <w:b/>
          <w:sz w:val="24"/>
          <w:szCs w:val="24"/>
          <w:lang w:eastAsia="en-GB"/>
        </w:rPr>
        <w:lastRenderedPageBreak/>
        <w:t>Appendix 1</w:t>
      </w:r>
    </w:p>
    <w:p w14:paraId="525D1063" w14:textId="77777777" w:rsidR="001C729B" w:rsidRPr="00061A5F" w:rsidRDefault="001C729B" w:rsidP="007F5D0E">
      <w:pPr>
        <w:autoSpaceDE w:val="0"/>
        <w:autoSpaceDN w:val="0"/>
        <w:adjustRightInd w:val="0"/>
        <w:spacing w:line="276" w:lineRule="auto"/>
        <w:jc w:val="both"/>
        <w:rPr>
          <w:rFonts w:ascii="Times New Roman" w:hAnsi="Times New Roman"/>
          <w:sz w:val="24"/>
          <w:szCs w:val="24"/>
          <w:lang w:eastAsia="en-GB"/>
        </w:rPr>
      </w:pPr>
    </w:p>
    <w:p w14:paraId="574A8F2A" w14:textId="4062E01C" w:rsidR="001C729B" w:rsidRPr="00061A5F" w:rsidRDefault="001C729B" w:rsidP="007F5D0E">
      <w:pPr>
        <w:autoSpaceDE w:val="0"/>
        <w:autoSpaceDN w:val="0"/>
        <w:adjustRightInd w:val="0"/>
        <w:spacing w:line="276" w:lineRule="auto"/>
        <w:jc w:val="both"/>
        <w:rPr>
          <w:rFonts w:ascii="Times New Roman" w:hAnsi="Times New Roman"/>
          <w:sz w:val="24"/>
          <w:szCs w:val="24"/>
          <w:lang w:eastAsia="en-GB"/>
        </w:rPr>
      </w:pPr>
      <w:r w:rsidRPr="00061A5F">
        <w:rPr>
          <w:rFonts w:ascii="Times New Roman" w:hAnsi="Times New Roman"/>
          <w:sz w:val="24"/>
          <w:szCs w:val="24"/>
          <w:lang w:eastAsia="en-GB"/>
        </w:rPr>
        <w:t>Table 1A Inflation regression variables – label, description, expected sign and data source</w:t>
      </w:r>
      <w:bookmarkEnd w:id="95"/>
    </w:p>
    <w:p w14:paraId="626318FF" w14:textId="77777777" w:rsidR="001C729B" w:rsidRPr="00061A5F" w:rsidRDefault="001C729B" w:rsidP="007F5D0E">
      <w:pPr>
        <w:autoSpaceDE w:val="0"/>
        <w:autoSpaceDN w:val="0"/>
        <w:adjustRightInd w:val="0"/>
        <w:spacing w:after="160" w:line="276" w:lineRule="auto"/>
        <w:jc w:val="both"/>
        <w:outlineLvl w:val="2"/>
        <w:rPr>
          <w:rFonts w:ascii="Times New Roman" w:hAnsi="Times New Roman" w:cstheme="minorBidi"/>
          <w:sz w:val="10"/>
          <w:szCs w:val="10"/>
          <w:lang w:eastAsia="en-GB"/>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7"/>
        <w:gridCol w:w="1252"/>
        <w:gridCol w:w="3969"/>
        <w:gridCol w:w="1276"/>
        <w:gridCol w:w="1153"/>
        <w:gridCol w:w="3383"/>
      </w:tblGrid>
      <w:tr w:rsidR="001C729B" w:rsidRPr="00061A5F" w14:paraId="12BCF989" w14:textId="77777777" w:rsidTr="00557899">
        <w:trPr>
          <w:trHeight w:val="573"/>
        </w:trPr>
        <w:tc>
          <w:tcPr>
            <w:tcW w:w="1867" w:type="dxa"/>
            <w:shd w:val="clear" w:color="auto" w:fill="FBD4B4"/>
            <w:vAlign w:val="center"/>
          </w:tcPr>
          <w:p w14:paraId="0EC2C735" w14:textId="77777777" w:rsidR="001C729B" w:rsidRPr="00061A5F" w:rsidRDefault="001C729B" w:rsidP="00657613">
            <w:pPr>
              <w:autoSpaceDE w:val="0"/>
              <w:autoSpaceDN w:val="0"/>
              <w:adjustRightInd w:val="0"/>
              <w:spacing w:line="276" w:lineRule="auto"/>
              <w:rPr>
                <w:rFonts w:ascii="Times New Roman" w:hAnsi="Times New Roman" w:cstheme="minorBidi"/>
                <w:b/>
                <w:sz w:val="22"/>
                <w:szCs w:val="22"/>
              </w:rPr>
            </w:pPr>
            <w:r w:rsidRPr="00061A5F">
              <w:rPr>
                <w:rFonts w:ascii="Times New Roman" w:hAnsi="Times New Roman" w:cstheme="minorBidi"/>
                <w:b/>
                <w:sz w:val="22"/>
                <w:szCs w:val="22"/>
              </w:rPr>
              <w:t>Variable name</w:t>
            </w:r>
          </w:p>
        </w:tc>
        <w:tc>
          <w:tcPr>
            <w:tcW w:w="1252" w:type="dxa"/>
            <w:shd w:val="clear" w:color="auto" w:fill="FBD4B4"/>
            <w:vAlign w:val="center"/>
          </w:tcPr>
          <w:p w14:paraId="6160E430" w14:textId="77777777" w:rsidR="001C729B" w:rsidRPr="00061A5F" w:rsidRDefault="001C729B" w:rsidP="007F5D0E">
            <w:pPr>
              <w:autoSpaceDE w:val="0"/>
              <w:autoSpaceDN w:val="0"/>
              <w:adjustRightInd w:val="0"/>
              <w:spacing w:line="276" w:lineRule="auto"/>
              <w:jc w:val="both"/>
              <w:rPr>
                <w:rFonts w:ascii="Times New Roman" w:hAnsi="Times New Roman" w:cstheme="minorBidi"/>
                <w:b/>
                <w:sz w:val="22"/>
                <w:szCs w:val="22"/>
              </w:rPr>
            </w:pPr>
            <w:r w:rsidRPr="00061A5F">
              <w:rPr>
                <w:rFonts w:ascii="Times New Roman" w:hAnsi="Times New Roman" w:cstheme="minorBidi"/>
                <w:b/>
                <w:sz w:val="22"/>
                <w:szCs w:val="22"/>
              </w:rPr>
              <w:t>Label</w:t>
            </w:r>
          </w:p>
        </w:tc>
        <w:tc>
          <w:tcPr>
            <w:tcW w:w="3969" w:type="dxa"/>
            <w:shd w:val="clear" w:color="auto" w:fill="FBD4B4"/>
            <w:vAlign w:val="center"/>
          </w:tcPr>
          <w:p w14:paraId="5D1EFE85" w14:textId="77777777" w:rsidR="001C729B" w:rsidRPr="00061A5F" w:rsidRDefault="001C729B" w:rsidP="007F5D0E">
            <w:pPr>
              <w:autoSpaceDE w:val="0"/>
              <w:autoSpaceDN w:val="0"/>
              <w:adjustRightInd w:val="0"/>
              <w:spacing w:line="276" w:lineRule="auto"/>
              <w:jc w:val="both"/>
              <w:rPr>
                <w:rFonts w:ascii="Times New Roman" w:hAnsi="Times New Roman" w:cstheme="minorBidi"/>
                <w:b/>
                <w:sz w:val="22"/>
                <w:szCs w:val="22"/>
              </w:rPr>
            </w:pPr>
            <w:r w:rsidRPr="00061A5F">
              <w:rPr>
                <w:rFonts w:ascii="Times New Roman" w:hAnsi="Times New Roman" w:cstheme="minorBidi"/>
                <w:b/>
                <w:sz w:val="22"/>
                <w:szCs w:val="22"/>
              </w:rPr>
              <w:t xml:space="preserve">Description </w:t>
            </w:r>
          </w:p>
        </w:tc>
        <w:tc>
          <w:tcPr>
            <w:tcW w:w="1276" w:type="dxa"/>
            <w:shd w:val="clear" w:color="auto" w:fill="FBD4B4"/>
            <w:vAlign w:val="center"/>
          </w:tcPr>
          <w:p w14:paraId="0917228A" w14:textId="77777777" w:rsidR="001C729B" w:rsidRPr="00061A5F" w:rsidRDefault="001C729B" w:rsidP="007F5D0E">
            <w:pPr>
              <w:autoSpaceDE w:val="0"/>
              <w:autoSpaceDN w:val="0"/>
              <w:adjustRightInd w:val="0"/>
              <w:spacing w:line="276" w:lineRule="auto"/>
              <w:jc w:val="both"/>
              <w:rPr>
                <w:rFonts w:ascii="Times New Roman" w:hAnsi="Times New Roman" w:cstheme="minorBidi"/>
                <w:b/>
                <w:sz w:val="22"/>
                <w:szCs w:val="22"/>
              </w:rPr>
            </w:pPr>
            <w:r w:rsidRPr="00061A5F">
              <w:rPr>
                <w:rFonts w:ascii="Times New Roman" w:hAnsi="Times New Roman" w:cstheme="minorBidi"/>
                <w:b/>
                <w:sz w:val="22"/>
                <w:szCs w:val="22"/>
              </w:rPr>
              <w:t>Expected sign</w:t>
            </w:r>
          </w:p>
        </w:tc>
        <w:tc>
          <w:tcPr>
            <w:tcW w:w="1153" w:type="dxa"/>
            <w:shd w:val="clear" w:color="auto" w:fill="FBD4B4"/>
            <w:vAlign w:val="center"/>
          </w:tcPr>
          <w:p w14:paraId="5794C306" w14:textId="77777777" w:rsidR="001C729B" w:rsidRPr="00061A5F" w:rsidRDefault="001C729B" w:rsidP="007F5D0E">
            <w:pPr>
              <w:autoSpaceDE w:val="0"/>
              <w:autoSpaceDN w:val="0"/>
              <w:adjustRightInd w:val="0"/>
              <w:spacing w:line="276" w:lineRule="auto"/>
              <w:jc w:val="both"/>
              <w:rPr>
                <w:rFonts w:ascii="Times New Roman" w:hAnsi="Times New Roman" w:cstheme="minorBidi"/>
                <w:b/>
                <w:sz w:val="22"/>
                <w:szCs w:val="22"/>
              </w:rPr>
            </w:pPr>
            <w:r w:rsidRPr="00061A5F">
              <w:rPr>
                <w:rFonts w:ascii="Times New Roman" w:hAnsi="Times New Roman" w:cstheme="minorBidi"/>
                <w:b/>
                <w:sz w:val="22"/>
                <w:szCs w:val="22"/>
              </w:rPr>
              <w:t>Data source</w:t>
            </w:r>
          </w:p>
        </w:tc>
        <w:tc>
          <w:tcPr>
            <w:tcW w:w="3383" w:type="dxa"/>
            <w:shd w:val="clear" w:color="auto" w:fill="FBD4B4"/>
            <w:vAlign w:val="center"/>
          </w:tcPr>
          <w:p w14:paraId="010AB48B" w14:textId="77777777" w:rsidR="001C729B" w:rsidRPr="00061A5F" w:rsidRDefault="001C729B" w:rsidP="007F5D0E">
            <w:pPr>
              <w:autoSpaceDE w:val="0"/>
              <w:autoSpaceDN w:val="0"/>
              <w:adjustRightInd w:val="0"/>
              <w:spacing w:line="276" w:lineRule="auto"/>
              <w:jc w:val="both"/>
              <w:rPr>
                <w:rFonts w:ascii="Times New Roman" w:hAnsi="Times New Roman" w:cstheme="minorBidi"/>
                <w:b/>
                <w:sz w:val="22"/>
                <w:szCs w:val="22"/>
              </w:rPr>
            </w:pPr>
            <w:r w:rsidRPr="00061A5F">
              <w:rPr>
                <w:rFonts w:ascii="Times New Roman" w:hAnsi="Times New Roman" w:cstheme="minorBidi"/>
                <w:b/>
                <w:sz w:val="22"/>
                <w:szCs w:val="22"/>
              </w:rPr>
              <w:t>Notes</w:t>
            </w:r>
          </w:p>
        </w:tc>
      </w:tr>
      <w:tr w:rsidR="001C729B" w:rsidRPr="00061A5F" w14:paraId="337EFD95" w14:textId="77777777" w:rsidTr="00557899">
        <w:trPr>
          <w:trHeight w:val="1350"/>
        </w:trPr>
        <w:tc>
          <w:tcPr>
            <w:tcW w:w="1867" w:type="dxa"/>
            <w:vAlign w:val="center"/>
          </w:tcPr>
          <w:p w14:paraId="76BDC9B8" w14:textId="77777777" w:rsidR="001C729B" w:rsidRPr="00061A5F" w:rsidRDefault="001C729B" w:rsidP="00657613">
            <w:pPr>
              <w:autoSpaceDE w:val="0"/>
              <w:autoSpaceDN w:val="0"/>
              <w:adjustRightInd w:val="0"/>
              <w:spacing w:line="276" w:lineRule="auto"/>
              <w:rPr>
                <w:rFonts w:ascii="Times New Roman" w:hAnsi="Times New Roman" w:cstheme="minorBidi"/>
                <w:sz w:val="22"/>
                <w:szCs w:val="22"/>
              </w:rPr>
            </w:pPr>
            <w:r w:rsidRPr="00061A5F">
              <w:rPr>
                <w:rFonts w:ascii="Times New Roman" w:hAnsi="Times New Roman" w:cstheme="minorBidi"/>
                <w:sz w:val="22"/>
                <w:szCs w:val="22"/>
              </w:rPr>
              <w:t xml:space="preserve">Inflation </w:t>
            </w:r>
          </w:p>
        </w:tc>
        <w:tc>
          <w:tcPr>
            <w:tcW w:w="1252" w:type="dxa"/>
            <w:vAlign w:val="center"/>
          </w:tcPr>
          <w:p w14:paraId="69F09216"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proofErr w:type="spellStart"/>
            <w:r w:rsidRPr="00061A5F">
              <w:rPr>
                <w:rFonts w:ascii="Times New Roman" w:hAnsi="Times New Roman" w:cstheme="minorBidi"/>
                <w:sz w:val="22"/>
                <w:szCs w:val="22"/>
              </w:rPr>
              <w:t>lnINF</w:t>
            </w:r>
            <w:proofErr w:type="spellEnd"/>
          </w:p>
        </w:tc>
        <w:tc>
          <w:tcPr>
            <w:tcW w:w="3969" w:type="dxa"/>
            <w:vAlign w:val="center"/>
          </w:tcPr>
          <w:p w14:paraId="4D215059" w14:textId="18DB2AF8"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Natural log of inflation (which is measured as annual percentage change in consumer price index</w:t>
            </w:r>
            <w:r w:rsidR="00114FBD" w:rsidRPr="00061A5F">
              <w:rPr>
                <w:rFonts w:ascii="Times New Roman" w:hAnsi="Times New Roman" w:cstheme="minorBidi"/>
                <w:sz w:val="22"/>
                <w:szCs w:val="22"/>
              </w:rPr>
              <w:t>)</w:t>
            </w:r>
            <w:r w:rsidRPr="00061A5F">
              <w:rPr>
                <w:rFonts w:ascii="Times New Roman" w:hAnsi="Times New Roman" w:cstheme="minorBidi"/>
                <w:sz w:val="22"/>
                <w:szCs w:val="22"/>
              </w:rPr>
              <w:t xml:space="preserve"> </w:t>
            </w:r>
          </w:p>
          <w:p w14:paraId="121457ED"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p>
        </w:tc>
        <w:tc>
          <w:tcPr>
            <w:tcW w:w="1276" w:type="dxa"/>
            <w:vAlign w:val="center"/>
          </w:tcPr>
          <w:p w14:paraId="317DE0A9"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Dependent variable</w:t>
            </w:r>
          </w:p>
        </w:tc>
        <w:tc>
          <w:tcPr>
            <w:tcW w:w="1153" w:type="dxa"/>
            <w:vAlign w:val="center"/>
          </w:tcPr>
          <w:p w14:paraId="45208AC3"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WDI</w:t>
            </w:r>
          </w:p>
        </w:tc>
        <w:tc>
          <w:tcPr>
            <w:tcW w:w="3383" w:type="dxa"/>
            <w:vAlign w:val="center"/>
          </w:tcPr>
          <w:p w14:paraId="0C782CBD"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For BH national statistics is used; inflation in BH is measured by using the retail price index until 2007</w:t>
            </w:r>
          </w:p>
          <w:p w14:paraId="79591697"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p>
          <w:p w14:paraId="69C48714" w14:textId="3652B8CF" w:rsidR="001C729B" w:rsidRPr="00061A5F" w:rsidRDefault="007C533D"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Since some</w:t>
            </w:r>
            <w:r w:rsidR="001C729B" w:rsidRPr="00061A5F">
              <w:rPr>
                <w:rFonts w:ascii="Times New Roman" w:hAnsi="Times New Roman" w:cstheme="minorBidi"/>
                <w:sz w:val="22"/>
                <w:szCs w:val="22"/>
              </w:rPr>
              <w:t xml:space="preserve"> observation</w:t>
            </w:r>
            <w:r w:rsidRPr="00061A5F">
              <w:rPr>
                <w:rFonts w:ascii="Times New Roman" w:hAnsi="Times New Roman" w:cstheme="minorBidi"/>
                <w:sz w:val="22"/>
                <w:szCs w:val="22"/>
              </w:rPr>
              <w:t>s have negative inflation</w:t>
            </w:r>
            <w:r w:rsidR="001C729B" w:rsidRPr="00061A5F">
              <w:rPr>
                <w:rFonts w:ascii="Times New Roman" w:hAnsi="Times New Roman" w:cstheme="minorBidi"/>
                <w:sz w:val="22"/>
                <w:szCs w:val="22"/>
              </w:rPr>
              <w:t xml:space="preserve"> in order to calculate logs </w:t>
            </w:r>
            <w:r w:rsidRPr="00061A5F">
              <w:rPr>
                <w:rFonts w:ascii="Times New Roman" w:hAnsi="Times New Roman" w:cstheme="minorBidi"/>
                <w:sz w:val="22"/>
                <w:szCs w:val="22"/>
              </w:rPr>
              <w:t>number 10 is added to all values of inflation</w:t>
            </w:r>
          </w:p>
        </w:tc>
      </w:tr>
      <w:tr w:rsidR="001C729B" w:rsidRPr="00061A5F" w14:paraId="4D0EE27A" w14:textId="77777777" w:rsidTr="00557899">
        <w:trPr>
          <w:trHeight w:val="700"/>
        </w:trPr>
        <w:tc>
          <w:tcPr>
            <w:tcW w:w="1867" w:type="dxa"/>
            <w:vAlign w:val="center"/>
          </w:tcPr>
          <w:p w14:paraId="29D30583" w14:textId="77777777" w:rsidR="001C729B" w:rsidRPr="00061A5F" w:rsidRDefault="001C729B" w:rsidP="00657613">
            <w:pPr>
              <w:autoSpaceDE w:val="0"/>
              <w:autoSpaceDN w:val="0"/>
              <w:adjustRightInd w:val="0"/>
              <w:spacing w:line="276" w:lineRule="auto"/>
              <w:rPr>
                <w:rFonts w:ascii="Times New Roman" w:hAnsi="Times New Roman" w:cstheme="minorBidi"/>
                <w:sz w:val="22"/>
                <w:szCs w:val="22"/>
              </w:rPr>
            </w:pPr>
            <w:r w:rsidRPr="00061A5F">
              <w:rPr>
                <w:rFonts w:ascii="Times New Roman" w:hAnsi="Times New Roman" w:cstheme="minorBidi"/>
                <w:sz w:val="22"/>
                <w:szCs w:val="22"/>
              </w:rPr>
              <w:t>Countries with currency board arrangement</w:t>
            </w:r>
          </w:p>
        </w:tc>
        <w:tc>
          <w:tcPr>
            <w:tcW w:w="1252" w:type="dxa"/>
            <w:vAlign w:val="center"/>
          </w:tcPr>
          <w:p w14:paraId="1F8737E7"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CBA</w:t>
            </w:r>
          </w:p>
        </w:tc>
        <w:tc>
          <w:tcPr>
            <w:tcW w:w="3969" w:type="dxa"/>
            <w:vAlign w:val="center"/>
          </w:tcPr>
          <w:p w14:paraId="21784D12"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Dummy variable for countries with a CBA</w:t>
            </w:r>
          </w:p>
        </w:tc>
        <w:tc>
          <w:tcPr>
            <w:tcW w:w="1276" w:type="dxa"/>
            <w:vAlign w:val="center"/>
          </w:tcPr>
          <w:p w14:paraId="1F316F34"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w:t>
            </w:r>
          </w:p>
        </w:tc>
        <w:tc>
          <w:tcPr>
            <w:tcW w:w="1153" w:type="dxa"/>
            <w:vAlign w:val="center"/>
          </w:tcPr>
          <w:p w14:paraId="4683D231"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p>
        </w:tc>
        <w:tc>
          <w:tcPr>
            <w:tcW w:w="3383" w:type="dxa"/>
            <w:vAlign w:val="center"/>
          </w:tcPr>
          <w:p w14:paraId="4A237366"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p>
        </w:tc>
      </w:tr>
      <w:tr w:rsidR="001C729B" w:rsidRPr="00061A5F" w14:paraId="5EC728CD" w14:textId="77777777" w:rsidTr="00557899">
        <w:trPr>
          <w:trHeight w:val="606"/>
        </w:trPr>
        <w:tc>
          <w:tcPr>
            <w:tcW w:w="1867" w:type="dxa"/>
            <w:vAlign w:val="center"/>
          </w:tcPr>
          <w:p w14:paraId="4F1334AA" w14:textId="77777777" w:rsidR="001C729B" w:rsidRPr="00061A5F" w:rsidRDefault="001C729B" w:rsidP="00657613">
            <w:pPr>
              <w:autoSpaceDE w:val="0"/>
              <w:autoSpaceDN w:val="0"/>
              <w:adjustRightInd w:val="0"/>
              <w:spacing w:line="276" w:lineRule="auto"/>
              <w:rPr>
                <w:rFonts w:ascii="Times New Roman" w:hAnsi="Times New Roman" w:cstheme="minorBidi"/>
                <w:sz w:val="22"/>
                <w:szCs w:val="22"/>
              </w:rPr>
            </w:pPr>
            <w:r w:rsidRPr="00061A5F">
              <w:rPr>
                <w:rFonts w:ascii="Times New Roman" w:hAnsi="Times New Roman" w:cstheme="minorBidi"/>
                <w:sz w:val="22"/>
                <w:szCs w:val="22"/>
              </w:rPr>
              <w:t xml:space="preserve">Real </w:t>
            </w:r>
            <w:proofErr w:type="gramStart"/>
            <w:r w:rsidRPr="00061A5F">
              <w:rPr>
                <w:rFonts w:ascii="Times New Roman" w:hAnsi="Times New Roman" w:cstheme="minorBidi"/>
                <w:sz w:val="22"/>
                <w:szCs w:val="22"/>
              </w:rPr>
              <w:t>GDP  growth</w:t>
            </w:r>
            <w:proofErr w:type="gramEnd"/>
          </w:p>
        </w:tc>
        <w:tc>
          <w:tcPr>
            <w:tcW w:w="1252" w:type="dxa"/>
            <w:vAlign w:val="center"/>
          </w:tcPr>
          <w:p w14:paraId="2ED84F80"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GDPG</w:t>
            </w:r>
          </w:p>
        </w:tc>
        <w:tc>
          <w:tcPr>
            <w:tcW w:w="3969" w:type="dxa"/>
            <w:vAlign w:val="center"/>
          </w:tcPr>
          <w:p w14:paraId="3B6EB100"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 xml:space="preserve">Based on the market prices expressed in constant local currency (annual % change) </w:t>
            </w:r>
          </w:p>
        </w:tc>
        <w:tc>
          <w:tcPr>
            <w:tcW w:w="1276" w:type="dxa"/>
            <w:vAlign w:val="center"/>
          </w:tcPr>
          <w:p w14:paraId="20891C20"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w:t>
            </w:r>
          </w:p>
        </w:tc>
        <w:tc>
          <w:tcPr>
            <w:tcW w:w="1153" w:type="dxa"/>
            <w:vAlign w:val="center"/>
          </w:tcPr>
          <w:p w14:paraId="4708CA45"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WDI</w:t>
            </w:r>
          </w:p>
        </w:tc>
        <w:tc>
          <w:tcPr>
            <w:tcW w:w="3383" w:type="dxa"/>
            <w:vAlign w:val="center"/>
          </w:tcPr>
          <w:p w14:paraId="3744A052"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p>
        </w:tc>
      </w:tr>
      <w:tr w:rsidR="001C729B" w:rsidRPr="00061A5F" w14:paraId="18B1B7C3" w14:textId="77777777" w:rsidTr="00557899">
        <w:trPr>
          <w:trHeight w:val="2303"/>
        </w:trPr>
        <w:tc>
          <w:tcPr>
            <w:tcW w:w="1867" w:type="dxa"/>
            <w:vAlign w:val="center"/>
          </w:tcPr>
          <w:p w14:paraId="4DCE9F3A" w14:textId="77777777" w:rsidR="001C729B" w:rsidRPr="00061A5F" w:rsidRDefault="001C729B" w:rsidP="00657613">
            <w:pPr>
              <w:autoSpaceDE w:val="0"/>
              <w:autoSpaceDN w:val="0"/>
              <w:adjustRightInd w:val="0"/>
              <w:spacing w:line="276" w:lineRule="auto"/>
              <w:rPr>
                <w:rFonts w:ascii="Times New Roman" w:hAnsi="Times New Roman" w:cstheme="minorBidi"/>
                <w:sz w:val="22"/>
                <w:szCs w:val="22"/>
              </w:rPr>
            </w:pPr>
            <w:r w:rsidRPr="00061A5F">
              <w:rPr>
                <w:rFonts w:ascii="Times New Roman" w:hAnsi="Times New Roman" w:cstheme="minorBidi"/>
                <w:sz w:val="22"/>
                <w:szCs w:val="22"/>
              </w:rPr>
              <w:t>Broad money supply growth</w:t>
            </w:r>
          </w:p>
        </w:tc>
        <w:tc>
          <w:tcPr>
            <w:tcW w:w="1252" w:type="dxa"/>
            <w:vAlign w:val="center"/>
          </w:tcPr>
          <w:p w14:paraId="0ABF4778" w14:textId="15CF691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MSG</w:t>
            </w:r>
          </w:p>
        </w:tc>
        <w:tc>
          <w:tcPr>
            <w:tcW w:w="3969" w:type="dxa"/>
            <w:vAlign w:val="center"/>
          </w:tcPr>
          <w:p w14:paraId="7B6C9891" w14:textId="77777777" w:rsidR="001C729B" w:rsidRPr="00061A5F" w:rsidRDefault="00114FBD"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B</w:t>
            </w:r>
            <w:r w:rsidR="001C729B" w:rsidRPr="00061A5F">
              <w:rPr>
                <w:rFonts w:ascii="Times New Roman" w:hAnsi="Times New Roman" w:cstheme="minorBidi"/>
                <w:sz w:val="22"/>
                <w:szCs w:val="22"/>
              </w:rPr>
              <w:t>road money supply growth which is the sum of currency outside banks; demand deposits other than those of the central government; the time, savings, and foreign currency deposits of resident sectors other than the central government; bank and traveller’s checks; and other securities such as certificates of deposit and commercial paper (annual % change)</w:t>
            </w:r>
          </w:p>
          <w:p w14:paraId="67258070" w14:textId="42D834C1" w:rsidR="00114FBD" w:rsidRPr="00061A5F" w:rsidRDefault="00114FBD" w:rsidP="007F5D0E">
            <w:pPr>
              <w:autoSpaceDE w:val="0"/>
              <w:autoSpaceDN w:val="0"/>
              <w:adjustRightInd w:val="0"/>
              <w:spacing w:line="276" w:lineRule="auto"/>
              <w:jc w:val="both"/>
              <w:rPr>
                <w:rFonts w:ascii="Times New Roman" w:hAnsi="Times New Roman" w:cstheme="minorBidi"/>
                <w:sz w:val="22"/>
                <w:szCs w:val="22"/>
              </w:rPr>
            </w:pPr>
          </w:p>
        </w:tc>
        <w:tc>
          <w:tcPr>
            <w:tcW w:w="1276" w:type="dxa"/>
            <w:vAlign w:val="center"/>
          </w:tcPr>
          <w:p w14:paraId="24BD2B38"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w:t>
            </w:r>
          </w:p>
        </w:tc>
        <w:tc>
          <w:tcPr>
            <w:tcW w:w="1153" w:type="dxa"/>
            <w:vAlign w:val="center"/>
          </w:tcPr>
          <w:p w14:paraId="082FD7B7"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WDI</w:t>
            </w:r>
          </w:p>
        </w:tc>
        <w:tc>
          <w:tcPr>
            <w:tcW w:w="3383" w:type="dxa"/>
            <w:vAlign w:val="center"/>
          </w:tcPr>
          <w:p w14:paraId="2E734F30"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 xml:space="preserve">Data on broad money for Slovenia taken from various EBRD transition reports </w:t>
            </w:r>
          </w:p>
        </w:tc>
      </w:tr>
      <w:tr w:rsidR="00557899" w:rsidRPr="00061A5F" w14:paraId="25177EFE" w14:textId="77777777" w:rsidTr="00557899">
        <w:trPr>
          <w:trHeight w:val="573"/>
        </w:trPr>
        <w:tc>
          <w:tcPr>
            <w:tcW w:w="1867" w:type="dxa"/>
            <w:shd w:val="clear" w:color="auto" w:fill="FBD4B4"/>
            <w:vAlign w:val="center"/>
          </w:tcPr>
          <w:p w14:paraId="57F333D9" w14:textId="77777777" w:rsidR="00557899" w:rsidRPr="00061A5F" w:rsidRDefault="00557899" w:rsidP="00657613">
            <w:pPr>
              <w:autoSpaceDE w:val="0"/>
              <w:autoSpaceDN w:val="0"/>
              <w:adjustRightInd w:val="0"/>
              <w:spacing w:line="276" w:lineRule="auto"/>
              <w:rPr>
                <w:rFonts w:ascii="Times New Roman" w:hAnsi="Times New Roman" w:cstheme="minorBidi"/>
                <w:b/>
                <w:sz w:val="22"/>
                <w:szCs w:val="22"/>
              </w:rPr>
            </w:pPr>
            <w:r w:rsidRPr="00061A5F">
              <w:rPr>
                <w:rFonts w:ascii="Times New Roman" w:hAnsi="Times New Roman" w:cstheme="minorBidi"/>
                <w:b/>
                <w:sz w:val="22"/>
                <w:szCs w:val="22"/>
              </w:rPr>
              <w:t>Variable name</w:t>
            </w:r>
          </w:p>
        </w:tc>
        <w:tc>
          <w:tcPr>
            <w:tcW w:w="1252" w:type="dxa"/>
            <w:shd w:val="clear" w:color="auto" w:fill="FBD4B4"/>
            <w:vAlign w:val="center"/>
          </w:tcPr>
          <w:p w14:paraId="2818F1E3" w14:textId="77777777" w:rsidR="00557899" w:rsidRPr="00061A5F" w:rsidRDefault="00557899" w:rsidP="007F5D0E">
            <w:pPr>
              <w:autoSpaceDE w:val="0"/>
              <w:autoSpaceDN w:val="0"/>
              <w:adjustRightInd w:val="0"/>
              <w:spacing w:line="276" w:lineRule="auto"/>
              <w:jc w:val="both"/>
              <w:rPr>
                <w:rFonts w:ascii="Times New Roman" w:hAnsi="Times New Roman" w:cstheme="minorBidi"/>
                <w:b/>
                <w:sz w:val="22"/>
                <w:szCs w:val="22"/>
              </w:rPr>
            </w:pPr>
            <w:r w:rsidRPr="00061A5F">
              <w:rPr>
                <w:rFonts w:ascii="Times New Roman" w:hAnsi="Times New Roman" w:cstheme="minorBidi"/>
                <w:b/>
                <w:sz w:val="22"/>
                <w:szCs w:val="22"/>
              </w:rPr>
              <w:t>Label</w:t>
            </w:r>
          </w:p>
        </w:tc>
        <w:tc>
          <w:tcPr>
            <w:tcW w:w="3969" w:type="dxa"/>
            <w:shd w:val="clear" w:color="auto" w:fill="FBD4B4"/>
            <w:vAlign w:val="center"/>
          </w:tcPr>
          <w:p w14:paraId="60045413" w14:textId="77777777" w:rsidR="00557899" w:rsidRPr="00061A5F" w:rsidRDefault="00557899" w:rsidP="007F5D0E">
            <w:pPr>
              <w:autoSpaceDE w:val="0"/>
              <w:autoSpaceDN w:val="0"/>
              <w:adjustRightInd w:val="0"/>
              <w:spacing w:line="276" w:lineRule="auto"/>
              <w:jc w:val="both"/>
              <w:rPr>
                <w:rFonts w:ascii="Times New Roman" w:hAnsi="Times New Roman" w:cstheme="minorBidi"/>
                <w:b/>
                <w:sz w:val="22"/>
                <w:szCs w:val="22"/>
              </w:rPr>
            </w:pPr>
            <w:r w:rsidRPr="00061A5F">
              <w:rPr>
                <w:rFonts w:ascii="Times New Roman" w:hAnsi="Times New Roman" w:cstheme="minorBidi"/>
                <w:b/>
                <w:sz w:val="22"/>
                <w:szCs w:val="22"/>
              </w:rPr>
              <w:t xml:space="preserve">Description </w:t>
            </w:r>
          </w:p>
        </w:tc>
        <w:tc>
          <w:tcPr>
            <w:tcW w:w="1276" w:type="dxa"/>
            <w:shd w:val="clear" w:color="auto" w:fill="FBD4B4"/>
            <w:vAlign w:val="center"/>
          </w:tcPr>
          <w:p w14:paraId="211A491A" w14:textId="77777777" w:rsidR="00557899" w:rsidRPr="00061A5F" w:rsidRDefault="00557899" w:rsidP="007F5D0E">
            <w:pPr>
              <w:autoSpaceDE w:val="0"/>
              <w:autoSpaceDN w:val="0"/>
              <w:adjustRightInd w:val="0"/>
              <w:spacing w:line="276" w:lineRule="auto"/>
              <w:jc w:val="both"/>
              <w:rPr>
                <w:rFonts w:ascii="Times New Roman" w:hAnsi="Times New Roman" w:cstheme="minorBidi"/>
                <w:b/>
                <w:sz w:val="22"/>
                <w:szCs w:val="22"/>
              </w:rPr>
            </w:pPr>
            <w:r w:rsidRPr="00061A5F">
              <w:rPr>
                <w:rFonts w:ascii="Times New Roman" w:hAnsi="Times New Roman" w:cstheme="minorBidi"/>
                <w:b/>
                <w:sz w:val="22"/>
                <w:szCs w:val="22"/>
              </w:rPr>
              <w:t>Expected sign</w:t>
            </w:r>
          </w:p>
        </w:tc>
        <w:tc>
          <w:tcPr>
            <w:tcW w:w="1153" w:type="dxa"/>
            <w:shd w:val="clear" w:color="auto" w:fill="FBD4B4"/>
            <w:vAlign w:val="center"/>
          </w:tcPr>
          <w:p w14:paraId="08732904" w14:textId="77777777" w:rsidR="00557899" w:rsidRPr="00061A5F" w:rsidRDefault="00557899" w:rsidP="007F5D0E">
            <w:pPr>
              <w:autoSpaceDE w:val="0"/>
              <w:autoSpaceDN w:val="0"/>
              <w:adjustRightInd w:val="0"/>
              <w:spacing w:line="276" w:lineRule="auto"/>
              <w:jc w:val="both"/>
              <w:rPr>
                <w:rFonts w:ascii="Times New Roman" w:hAnsi="Times New Roman" w:cstheme="minorBidi"/>
                <w:b/>
                <w:sz w:val="22"/>
                <w:szCs w:val="22"/>
              </w:rPr>
            </w:pPr>
            <w:r w:rsidRPr="00061A5F">
              <w:rPr>
                <w:rFonts w:ascii="Times New Roman" w:hAnsi="Times New Roman" w:cstheme="minorBidi"/>
                <w:b/>
                <w:sz w:val="22"/>
                <w:szCs w:val="22"/>
              </w:rPr>
              <w:t>Data source</w:t>
            </w:r>
          </w:p>
        </w:tc>
        <w:tc>
          <w:tcPr>
            <w:tcW w:w="3383" w:type="dxa"/>
            <w:shd w:val="clear" w:color="auto" w:fill="FBD4B4"/>
            <w:vAlign w:val="center"/>
          </w:tcPr>
          <w:p w14:paraId="44F92544" w14:textId="77777777" w:rsidR="00557899" w:rsidRPr="00061A5F" w:rsidRDefault="00557899" w:rsidP="007F5D0E">
            <w:pPr>
              <w:autoSpaceDE w:val="0"/>
              <w:autoSpaceDN w:val="0"/>
              <w:adjustRightInd w:val="0"/>
              <w:spacing w:line="276" w:lineRule="auto"/>
              <w:jc w:val="both"/>
              <w:rPr>
                <w:rFonts w:ascii="Times New Roman" w:hAnsi="Times New Roman" w:cstheme="minorBidi"/>
                <w:b/>
                <w:sz w:val="22"/>
                <w:szCs w:val="22"/>
              </w:rPr>
            </w:pPr>
            <w:r w:rsidRPr="00061A5F">
              <w:rPr>
                <w:rFonts w:ascii="Times New Roman" w:hAnsi="Times New Roman" w:cstheme="minorBidi"/>
                <w:b/>
                <w:sz w:val="22"/>
                <w:szCs w:val="22"/>
              </w:rPr>
              <w:t>Notes</w:t>
            </w:r>
          </w:p>
        </w:tc>
      </w:tr>
      <w:tr w:rsidR="001C729B" w:rsidRPr="00061A5F" w14:paraId="7748C47A" w14:textId="77777777" w:rsidTr="00557899">
        <w:tc>
          <w:tcPr>
            <w:tcW w:w="1867" w:type="dxa"/>
            <w:vAlign w:val="center"/>
          </w:tcPr>
          <w:p w14:paraId="74E366B7" w14:textId="77777777" w:rsidR="001C729B" w:rsidRPr="00061A5F" w:rsidRDefault="001C729B" w:rsidP="00657613">
            <w:pPr>
              <w:autoSpaceDE w:val="0"/>
              <w:autoSpaceDN w:val="0"/>
              <w:adjustRightInd w:val="0"/>
              <w:spacing w:line="276" w:lineRule="auto"/>
              <w:rPr>
                <w:rFonts w:ascii="Times New Roman" w:hAnsi="Times New Roman" w:cstheme="minorBidi"/>
                <w:sz w:val="22"/>
                <w:szCs w:val="22"/>
              </w:rPr>
            </w:pPr>
            <w:r w:rsidRPr="00061A5F">
              <w:rPr>
                <w:rFonts w:ascii="Times New Roman" w:hAnsi="Times New Roman" w:cstheme="minorBidi"/>
                <w:sz w:val="22"/>
                <w:szCs w:val="22"/>
              </w:rPr>
              <w:lastRenderedPageBreak/>
              <w:t xml:space="preserve">Fiscal balance/GDP </w:t>
            </w:r>
          </w:p>
        </w:tc>
        <w:tc>
          <w:tcPr>
            <w:tcW w:w="1252" w:type="dxa"/>
            <w:vAlign w:val="center"/>
          </w:tcPr>
          <w:p w14:paraId="52E86122"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FB</w:t>
            </w:r>
          </w:p>
        </w:tc>
        <w:tc>
          <w:tcPr>
            <w:tcW w:w="3969" w:type="dxa"/>
            <w:vAlign w:val="center"/>
          </w:tcPr>
          <w:p w14:paraId="37E3297F"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 xml:space="preserve">Fiscal balance in % </w:t>
            </w:r>
            <w:proofErr w:type="gramStart"/>
            <w:r w:rsidRPr="00061A5F">
              <w:rPr>
                <w:rFonts w:ascii="Times New Roman" w:hAnsi="Times New Roman" w:cstheme="minorBidi"/>
                <w:sz w:val="22"/>
                <w:szCs w:val="22"/>
              </w:rPr>
              <w:t>of  GDP</w:t>
            </w:r>
            <w:proofErr w:type="gramEnd"/>
          </w:p>
        </w:tc>
        <w:tc>
          <w:tcPr>
            <w:tcW w:w="1276" w:type="dxa"/>
            <w:vAlign w:val="center"/>
          </w:tcPr>
          <w:p w14:paraId="20BBC64E"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w:t>
            </w:r>
          </w:p>
          <w:p w14:paraId="5EB357A8"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p>
        </w:tc>
        <w:tc>
          <w:tcPr>
            <w:tcW w:w="1153" w:type="dxa"/>
            <w:vAlign w:val="center"/>
          </w:tcPr>
          <w:p w14:paraId="2136A026" w14:textId="2EF2E284" w:rsidR="001C729B" w:rsidRPr="00061A5F" w:rsidRDefault="00557899"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IMF, WEO</w:t>
            </w:r>
            <w:r w:rsidR="001C729B" w:rsidRPr="00061A5F">
              <w:rPr>
                <w:rFonts w:ascii="Times New Roman" w:hAnsi="Times New Roman" w:cstheme="minorBidi"/>
                <w:sz w:val="22"/>
                <w:szCs w:val="22"/>
              </w:rPr>
              <w:t xml:space="preserve"> </w:t>
            </w:r>
          </w:p>
        </w:tc>
        <w:tc>
          <w:tcPr>
            <w:tcW w:w="3383" w:type="dxa"/>
            <w:vAlign w:val="center"/>
          </w:tcPr>
          <w:p w14:paraId="47AA9CA8" w14:textId="36E8B9D8"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p>
        </w:tc>
      </w:tr>
      <w:tr w:rsidR="001C729B" w:rsidRPr="00061A5F" w14:paraId="68696A46" w14:textId="77777777" w:rsidTr="00557899">
        <w:trPr>
          <w:trHeight w:val="528"/>
        </w:trPr>
        <w:tc>
          <w:tcPr>
            <w:tcW w:w="1867" w:type="dxa"/>
            <w:vAlign w:val="center"/>
          </w:tcPr>
          <w:p w14:paraId="3DA6684B" w14:textId="77777777" w:rsidR="001C729B" w:rsidRPr="00061A5F" w:rsidRDefault="001C729B" w:rsidP="00657613">
            <w:pPr>
              <w:autoSpaceDE w:val="0"/>
              <w:autoSpaceDN w:val="0"/>
              <w:adjustRightInd w:val="0"/>
              <w:spacing w:line="276" w:lineRule="auto"/>
              <w:rPr>
                <w:rFonts w:ascii="Times New Roman" w:hAnsi="Times New Roman" w:cstheme="minorBidi"/>
                <w:sz w:val="22"/>
                <w:szCs w:val="22"/>
              </w:rPr>
            </w:pPr>
            <w:r w:rsidRPr="00061A5F">
              <w:rPr>
                <w:rFonts w:ascii="Times New Roman" w:hAnsi="Times New Roman" w:cstheme="minorBidi"/>
                <w:sz w:val="22"/>
                <w:szCs w:val="22"/>
              </w:rPr>
              <w:t>Openness</w:t>
            </w:r>
          </w:p>
        </w:tc>
        <w:tc>
          <w:tcPr>
            <w:tcW w:w="1252" w:type="dxa"/>
            <w:vAlign w:val="center"/>
          </w:tcPr>
          <w:p w14:paraId="33FBD558"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OPEN</w:t>
            </w:r>
          </w:p>
        </w:tc>
        <w:tc>
          <w:tcPr>
            <w:tcW w:w="3969" w:type="dxa"/>
            <w:vAlign w:val="center"/>
          </w:tcPr>
          <w:p w14:paraId="5F34717A"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 xml:space="preserve">The sum of exports and imports of goods and services measured as a share of gross domestic product (% of GDP) </w:t>
            </w:r>
          </w:p>
        </w:tc>
        <w:tc>
          <w:tcPr>
            <w:tcW w:w="1276" w:type="dxa"/>
            <w:vAlign w:val="center"/>
          </w:tcPr>
          <w:p w14:paraId="79F22D5C"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w:t>
            </w:r>
          </w:p>
        </w:tc>
        <w:tc>
          <w:tcPr>
            <w:tcW w:w="1153" w:type="dxa"/>
            <w:vAlign w:val="center"/>
          </w:tcPr>
          <w:p w14:paraId="5AC30CAB"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WDI</w:t>
            </w:r>
          </w:p>
        </w:tc>
        <w:tc>
          <w:tcPr>
            <w:tcW w:w="3383" w:type="dxa"/>
            <w:vAlign w:val="center"/>
          </w:tcPr>
          <w:p w14:paraId="07C9EBD8"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p>
        </w:tc>
      </w:tr>
      <w:tr w:rsidR="001C729B" w:rsidRPr="00061A5F" w14:paraId="16FE011B" w14:textId="77777777" w:rsidTr="00557899">
        <w:tc>
          <w:tcPr>
            <w:tcW w:w="1867" w:type="dxa"/>
            <w:tcBorders>
              <w:top w:val="dashed" w:sz="4" w:space="0" w:color="auto"/>
            </w:tcBorders>
            <w:vAlign w:val="center"/>
          </w:tcPr>
          <w:p w14:paraId="2F1EF119" w14:textId="77777777" w:rsidR="001C729B" w:rsidRPr="00061A5F" w:rsidRDefault="001C729B" w:rsidP="00657613">
            <w:pPr>
              <w:autoSpaceDE w:val="0"/>
              <w:autoSpaceDN w:val="0"/>
              <w:adjustRightInd w:val="0"/>
              <w:spacing w:line="276" w:lineRule="auto"/>
              <w:rPr>
                <w:rFonts w:ascii="Times New Roman" w:hAnsi="Times New Roman" w:cstheme="minorBidi"/>
                <w:sz w:val="22"/>
                <w:szCs w:val="22"/>
              </w:rPr>
            </w:pPr>
            <w:r w:rsidRPr="00061A5F">
              <w:rPr>
                <w:rFonts w:ascii="Times New Roman" w:hAnsi="Times New Roman" w:cstheme="minorBidi"/>
                <w:sz w:val="22"/>
                <w:szCs w:val="22"/>
              </w:rPr>
              <w:t>Terms of trade</w:t>
            </w:r>
          </w:p>
        </w:tc>
        <w:tc>
          <w:tcPr>
            <w:tcW w:w="1252" w:type="dxa"/>
            <w:tcBorders>
              <w:top w:val="dashed" w:sz="4" w:space="0" w:color="auto"/>
            </w:tcBorders>
            <w:vAlign w:val="center"/>
          </w:tcPr>
          <w:p w14:paraId="5114149D"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TOT</w:t>
            </w:r>
          </w:p>
        </w:tc>
        <w:tc>
          <w:tcPr>
            <w:tcW w:w="3969" w:type="dxa"/>
            <w:tcBorders>
              <w:top w:val="dashed" w:sz="4" w:space="0" w:color="auto"/>
            </w:tcBorders>
            <w:vAlign w:val="center"/>
          </w:tcPr>
          <w:p w14:paraId="0A679E49"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Ratio of the export unit value index to the import unit value index (base year 2000)</w:t>
            </w:r>
          </w:p>
        </w:tc>
        <w:tc>
          <w:tcPr>
            <w:tcW w:w="1276" w:type="dxa"/>
            <w:tcBorders>
              <w:top w:val="dashed" w:sz="4" w:space="0" w:color="auto"/>
            </w:tcBorders>
            <w:vAlign w:val="center"/>
          </w:tcPr>
          <w:p w14:paraId="4430026D"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w:t>
            </w:r>
          </w:p>
        </w:tc>
        <w:tc>
          <w:tcPr>
            <w:tcW w:w="1153" w:type="dxa"/>
            <w:tcBorders>
              <w:top w:val="dashed" w:sz="4" w:space="0" w:color="auto"/>
            </w:tcBorders>
            <w:vAlign w:val="center"/>
          </w:tcPr>
          <w:p w14:paraId="00D9FA60" w14:textId="25831D1B" w:rsidR="001C729B" w:rsidRPr="00061A5F" w:rsidRDefault="00557899"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WDI</w:t>
            </w:r>
          </w:p>
        </w:tc>
        <w:tc>
          <w:tcPr>
            <w:tcW w:w="3383" w:type="dxa"/>
            <w:tcBorders>
              <w:top w:val="dashed" w:sz="4" w:space="0" w:color="auto"/>
            </w:tcBorders>
            <w:vAlign w:val="center"/>
          </w:tcPr>
          <w:p w14:paraId="4566E222" w14:textId="3200594B"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p>
        </w:tc>
      </w:tr>
      <w:tr w:rsidR="001C729B" w:rsidRPr="00061A5F" w14:paraId="3E640B4F" w14:textId="77777777" w:rsidTr="00557899">
        <w:tc>
          <w:tcPr>
            <w:tcW w:w="1867" w:type="dxa"/>
            <w:vAlign w:val="center"/>
          </w:tcPr>
          <w:p w14:paraId="297D2414" w14:textId="77777777" w:rsidR="001C729B" w:rsidRPr="00061A5F" w:rsidRDefault="001C729B" w:rsidP="00657613">
            <w:pPr>
              <w:autoSpaceDE w:val="0"/>
              <w:autoSpaceDN w:val="0"/>
              <w:adjustRightInd w:val="0"/>
              <w:spacing w:line="276" w:lineRule="auto"/>
              <w:rPr>
                <w:rFonts w:ascii="Times New Roman" w:hAnsi="Times New Roman" w:cstheme="minorBidi"/>
                <w:sz w:val="22"/>
                <w:szCs w:val="22"/>
              </w:rPr>
            </w:pPr>
            <w:r w:rsidRPr="00061A5F">
              <w:rPr>
                <w:rFonts w:ascii="Times New Roman" w:hAnsi="Times New Roman" w:cstheme="minorBidi"/>
                <w:sz w:val="22"/>
                <w:szCs w:val="22"/>
              </w:rPr>
              <w:t>EBRD progress in transition indicator</w:t>
            </w:r>
          </w:p>
        </w:tc>
        <w:tc>
          <w:tcPr>
            <w:tcW w:w="1252" w:type="dxa"/>
            <w:vAlign w:val="center"/>
          </w:tcPr>
          <w:p w14:paraId="40DDE0BE"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EBRDI</w:t>
            </w:r>
          </w:p>
        </w:tc>
        <w:tc>
          <w:tcPr>
            <w:tcW w:w="3969" w:type="dxa"/>
            <w:vAlign w:val="center"/>
          </w:tcPr>
          <w:p w14:paraId="1B03ABD2"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Average of eight EBRD transition indicators (for liberalisation, privatisation and credit reform) (index)</w:t>
            </w:r>
          </w:p>
        </w:tc>
        <w:tc>
          <w:tcPr>
            <w:tcW w:w="1276" w:type="dxa"/>
            <w:vAlign w:val="center"/>
          </w:tcPr>
          <w:p w14:paraId="76E3661C"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w:t>
            </w:r>
          </w:p>
        </w:tc>
        <w:tc>
          <w:tcPr>
            <w:tcW w:w="1153" w:type="dxa"/>
            <w:vAlign w:val="center"/>
          </w:tcPr>
          <w:p w14:paraId="0CD143AD"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EBRD</w:t>
            </w:r>
          </w:p>
        </w:tc>
        <w:tc>
          <w:tcPr>
            <w:tcW w:w="3383" w:type="dxa"/>
            <w:vAlign w:val="center"/>
          </w:tcPr>
          <w:p w14:paraId="531DEEEE"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 xml:space="preserve">Available for all countries in the sample except for the Czech Republic in years 2008 and 2009, as it is considered to have completed its transition in 2007 </w:t>
            </w:r>
          </w:p>
        </w:tc>
      </w:tr>
      <w:tr w:rsidR="001C729B" w:rsidRPr="00061A5F" w14:paraId="3954A233" w14:textId="77777777" w:rsidTr="00557899">
        <w:trPr>
          <w:trHeight w:val="539"/>
        </w:trPr>
        <w:tc>
          <w:tcPr>
            <w:tcW w:w="1867" w:type="dxa"/>
            <w:vAlign w:val="center"/>
          </w:tcPr>
          <w:p w14:paraId="1F12B04A" w14:textId="77777777" w:rsidR="001C729B" w:rsidRPr="00061A5F" w:rsidRDefault="001C729B" w:rsidP="00657613">
            <w:pPr>
              <w:autoSpaceDE w:val="0"/>
              <w:autoSpaceDN w:val="0"/>
              <w:adjustRightInd w:val="0"/>
              <w:spacing w:line="276" w:lineRule="auto"/>
              <w:rPr>
                <w:rFonts w:ascii="Times New Roman" w:hAnsi="Times New Roman" w:cstheme="minorBidi"/>
                <w:sz w:val="22"/>
                <w:szCs w:val="22"/>
              </w:rPr>
            </w:pPr>
            <w:r w:rsidRPr="00061A5F">
              <w:rPr>
                <w:rFonts w:ascii="Times New Roman" w:hAnsi="Times New Roman" w:cstheme="minorBidi"/>
                <w:sz w:val="22"/>
                <w:szCs w:val="22"/>
              </w:rPr>
              <w:t xml:space="preserve">Central bank’s independence </w:t>
            </w:r>
          </w:p>
        </w:tc>
        <w:tc>
          <w:tcPr>
            <w:tcW w:w="1252" w:type="dxa"/>
            <w:vAlign w:val="center"/>
          </w:tcPr>
          <w:p w14:paraId="2B01D183" w14:textId="124B4A8E"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CCBI</w:t>
            </w:r>
          </w:p>
        </w:tc>
        <w:tc>
          <w:tcPr>
            <w:tcW w:w="3969" w:type="dxa"/>
            <w:vAlign w:val="center"/>
          </w:tcPr>
          <w:p w14:paraId="7FCF6521" w14:textId="134F1099" w:rsidR="001C729B" w:rsidRPr="00061A5F" w:rsidRDefault="00114FBD"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U</w:t>
            </w:r>
            <w:r w:rsidR="001C729B" w:rsidRPr="00061A5F">
              <w:rPr>
                <w:rFonts w:ascii="Times New Roman" w:hAnsi="Times New Roman" w:cstheme="minorBidi"/>
                <w:sz w:val="22"/>
                <w:szCs w:val="22"/>
              </w:rPr>
              <w:t xml:space="preserve">pdated Cukierman’s index of central bank independence (index) </w:t>
            </w:r>
          </w:p>
        </w:tc>
        <w:tc>
          <w:tcPr>
            <w:tcW w:w="1276" w:type="dxa"/>
            <w:vAlign w:val="center"/>
          </w:tcPr>
          <w:p w14:paraId="52679B53"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w:t>
            </w:r>
          </w:p>
        </w:tc>
        <w:tc>
          <w:tcPr>
            <w:tcW w:w="1153" w:type="dxa"/>
            <w:vAlign w:val="center"/>
          </w:tcPr>
          <w:p w14:paraId="6BBE8E33"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proofErr w:type="spellStart"/>
            <w:r w:rsidRPr="00061A5F">
              <w:rPr>
                <w:rFonts w:ascii="Times New Roman" w:hAnsi="Times New Roman" w:cstheme="minorBidi"/>
                <w:sz w:val="22"/>
                <w:szCs w:val="22"/>
              </w:rPr>
              <w:t>Bogoev</w:t>
            </w:r>
            <w:proofErr w:type="spellEnd"/>
            <w:r w:rsidRPr="00061A5F">
              <w:rPr>
                <w:rFonts w:ascii="Times New Roman" w:hAnsi="Times New Roman" w:cstheme="minorBidi"/>
                <w:sz w:val="22"/>
                <w:szCs w:val="22"/>
              </w:rPr>
              <w:t xml:space="preserve"> et al., 2012</w:t>
            </w:r>
          </w:p>
        </w:tc>
        <w:tc>
          <w:tcPr>
            <w:tcW w:w="3383" w:type="dxa"/>
            <w:vAlign w:val="center"/>
          </w:tcPr>
          <w:p w14:paraId="08622C92" w14:textId="4AFBCB4D" w:rsidR="001C729B" w:rsidRPr="00061A5F" w:rsidRDefault="00557899"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Data for period after 2012 updated based on the information provided by the IMF</w:t>
            </w:r>
          </w:p>
        </w:tc>
      </w:tr>
      <w:tr w:rsidR="001C729B" w:rsidRPr="00061A5F" w14:paraId="458D059B" w14:textId="77777777" w:rsidTr="00557899">
        <w:tc>
          <w:tcPr>
            <w:tcW w:w="1867" w:type="dxa"/>
            <w:vAlign w:val="center"/>
          </w:tcPr>
          <w:p w14:paraId="7EDF4B1A" w14:textId="77777777" w:rsidR="001C729B" w:rsidRPr="00061A5F" w:rsidRDefault="001C729B" w:rsidP="00657613">
            <w:pPr>
              <w:autoSpaceDE w:val="0"/>
              <w:autoSpaceDN w:val="0"/>
              <w:adjustRightInd w:val="0"/>
              <w:spacing w:line="276" w:lineRule="auto"/>
              <w:rPr>
                <w:rFonts w:ascii="Times New Roman" w:hAnsi="Times New Roman" w:cstheme="minorBidi"/>
                <w:sz w:val="22"/>
                <w:szCs w:val="22"/>
              </w:rPr>
            </w:pPr>
            <w:r w:rsidRPr="00061A5F">
              <w:rPr>
                <w:rFonts w:ascii="Times New Roman" w:hAnsi="Times New Roman" w:cstheme="minorBidi"/>
                <w:sz w:val="22"/>
                <w:szCs w:val="22"/>
              </w:rPr>
              <w:t xml:space="preserve">Fixed exchange rate </w:t>
            </w:r>
          </w:p>
        </w:tc>
        <w:tc>
          <w:tcPr>
            <w:tcW w:w="1252" w:type="dxa"/>
            <w:vAlign w:val="center"/>
          </w:tcPr>
          <w:p w14:paraId="575116B6"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proofErr w:type="spellStart"/>
            <w:r w:rsidRPr="00061A5F">
              <w:rPr>
                <w:rFonts w:ascii="Times New Roman" w:hAnsi="Times New Roman" w:cstheme="minorBidi"/>
                <w:sz w:val="22"/>
                <w:szCs w:val="22"/>
              </w:rPr>
              <w:t>defactoFIX</w:t>
            </w:r>
            <w:proofErr w:type="spellEnd"/>
          </w:p>
        </w:tc>
        <w:tc>
          <w:tcPr>
            <w:tcW w:w="3969" w:type="dxa"/>
            <w:vAlign w:val="center"/>
          </w:tcPr>
          <w:p w14:paraId="5CE11E1B"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Dummy variable for countries with fixed exchange rate (</w:t>
            </w:r>
            <w:r w:rsidRPr="00061A5F">
              <w:rPr>
                <w:rFonts w:ascii="Times New Roman" w:hAnsi="Times New Roman" w:cstheme="minorBidi"/>
                <w:i/>
                <w:iCs/>
                <w:sz w:val="22"/>
                <w:szCs w:val="22"/>
              </w:rPr>
              <w:t>de facto</w:t>
            </w:r>
            <w:r w:rsidRPr="00061A5F">
              <w:rPr>
                <w:rFonts w:ascii="Times New Roman" w:hAnsi="Times New Roman" w:cstheme="minorBidi"/>
                <w:sz w:val="22"/>
                <w:szCs w:val="22"/>
              </w:rPr>
              <w:t xml:space="preserve"> fixed exchange rate regime)</w:t>
            </w:r>
          </w:p>
        </w:tc>
        <w:tc>
          <w:tcPr>
            <w:tcW w:w="1276" w:type="dxa"/>
            <w:vAlign w:val="center"/>
          </w:tcPr>
          <w:p w14:paraId="434CD16B"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w:t>
            </w:r>
          </w:p>
        </w:tc>
        <w:tc>
          <w:tcPr>
            <w:tcW w:w="1153" w:type="dxa"/>
            <w:vAlign w:val="center"/>
          </w:tcPr>
          <w:p w14:paraId="750AC704"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proofErr w:type="spellStart"/>
            <w:r w:rsidRPr="00061A5F">
              <w:rPr>
                <w:rFonts w:ascii="Times New Roman" w:hAnsi="Times New Roman" w:cstheme="minorBidi"/>
                <w:sz w:val="22"/>
                <w:szCs w:val="22"/>
              </w:rPr>
              <w:t>Ilzetski</w:t>
            </w:r>
            <w:proofErr w:type="spellEnd"/>
            <w:r w:rsidRPr="00061A5F">
              <w:rPr>
                <w:rFonts w:ascii="Times New Roman" w:hAnsi="Times New Roman" w:cstheme="minorBidi"/>
                <w:sz w:val="22"/>
                <w:szCs w:val="22"/>
              </w:rPr>
              <w:t>, Reinhart and Rogoff (2010)</w:t>
            </w:r>
          </w:p>
        </w:tc>
        <w:tc>
          <w:tcPr>
            <w:tcW w:w="3383" w:type="dxa"/>
            <w:vAlign w:val="center"/>
          </w:tcPr>
          <w:p w14:paraId="3981D9CB"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p>
        </w:tc>
      </w:tr>
      <w:tr w:rsidR="001C729B" w:rsidRPr="00061A5F" w14:paraId="5192833E" w14:textId="77777777" w:rsidTr="00557899">
        <w:trPr>
          <w:trHeight w:val="523"/>
        </w:trPr>
        <w:tc>
          <w:tcPr>
            <w:tcW w:w="1867" w:type="dxa"/>
            <w:vAlign w:val="center"/>
          </w:tcPr>
          <w:p w14:paraId="4E1CE260" w14:textId="77777777" w:rsidR="001C729B" w:rsidRPr="00061A5F" w:rsidRDefault="001C729B" w:rsidP="00657613">
            <w:pPr>
              <w:autoSpaceDE w:val="0"/>
              <w:autoSpaceDN w:val="0"/>
              <w:adjustRightInd w:val="0"/>
              <w:spacing w:line="276" w:lineRule="auto"/>
              <w:rPr>
                <w:rFonts w:ascii="Times New Roman" w:hAnsi="Times New Roman" w:cstheme="minorBidi"/>
                <w:sz w:val="22"/>
                <w:szCs w:val="22"/>
              </w:rPr>
            </w:pPr>
            <w:r w:rsidRPr="00061A5F">
              <w:rPr>
                <w:rFonts w:ascii="Times New Roman" w:hAnsi="Times New Roman" w:cstheme="minorBidi"/>
                <w:sz w:val="22"/>
                <w:szCs w:val="22"/>
              </w:rPr>
              <w:t xml:space="preserve">EU membership </w:t>
            </w:r>
          </w:p>
        </w:tc>
        <w:tc>
          <w:tcPr>
            <w:tcW w:w="1252" w:type="dxa"/>
            <w:vAlign w:val="center"/>
          </w:tcPr>
          <w:p w14:paraId="45255943"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EU</w:t>
            </w:r>
          </w:p>
        </w:tc>
        <w:tc>
          <w:tcPr>
            <w:tcW w:w="3969" w:type="dxa"/>
            <w:vAlign w:val="center"/>
          </w:tcPr>
          <w:p w14:paraId="44DE37C1"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 xml:space="preserve">Dummy variable for EU member countries </w:t>
            </w:r>
          </w:p>
        </w:tc>
        <w:tc>
          <w:tcPr>
            <w:tcW w:w="1276" w:type="dxa"/>
            <w:vAlign w:val="center"/>
          </w:tcPr>
          <w:p w14:paraId="1C0DCDD8"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w:t>
            </w:r>
          </w:p>
        </w:tc>
        <w:tc>
          <w:tcPr>
            <w:tcW w:w="1153" w:type="dxa"/>
            <w:vAlign w:val="center"/>
          </w:tcPr>
          <w:p w14:paraId="589E8C11"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p>
        </w:tc>
        <w:tc>
          <w:tcPr>
            <w:tcW w:w="3383" w:type="dxa"/>
            <w:vAlign w:val="center"/>
          </w:tcPr>
          <w:p w14:paraId="557055A5" w14:textId="77777777" w:rsidR="001C729B" w:rsidRPr="00061A5F" w:rsidRDefault="001C729B" w:rsidP="007F5D0E">
            <w:pPr>
              <w:autoSpaceDE w:val="0"/>
              <w:autoSpaceDN w:val="0"/>
              <w:adjustRightInd w:val="0"/>
              <w:spacing w:line="276" w:lineRule="auto"/>
              <w:jc w:val="both"/>
              <w:rPr>
                <w:rFonts w:ascii="Times New Roman" w:hAnsi="Times New Roman" w:cstheme="minorBidi"/>
                <w:sz w:val="22"/>
                <w:szCs w:val="22"/>
              </w:rPr>
            </w:pPr>
          </w:p>
        </w:tc>
      </w:tr>
      <w:tr w:rsidR="00557899" w:rsidRPr="00061A5F" w14:paraId="299D5A7E" w14:textId="77777777" w:rsidTr="0049792A">
        <w:tc>
          <w:tcPr>
            <w:tcW w:w="1867" w:type="dxa"/>
            <w:vAlign w:val="center"/>
          </w:tcPr>
          <w:p w14:paraId="7CC1B55D" w14:textId="77777777" w:rsidR="00557899" w:rsidRPr="00061A5F" w:rsidRDefault="00557899" w:rsidP="00657613">
            <w:pPr>
              <w:autoSpaceDE w:val="0"/>
              <w:autoSpaceDN w:val="0"/>
              <w:adjustRightInd w:val="0"/>
              <w:spacing w:line="276" w:lineRule="auto"/>
              <w:rPr>
                <w:rFonts w:ascii="Times New Roman" w:hAnsi="Times New Roman" w:cstheme="minorBidi"/>
                <w:sz w:val="22"/>
                <w:szCs w:val="22"/>
              </w:rPr>
            </w:pPr>
            <w:r w:rsidRPr="00061A5F">
              <w:rPr>
                <w:rFonts w:ascii="Times New Roman" w:hAnsi="Times New Roman" w:cstheme="minorBidi"/>
                <w:sz w:val="22"/>
                <w:szCs w:val="22"/>
              </w:rPr>
              <w:t>Introduction of value added tax</w:t>
            </w:r>
          </w:p>
        </w:tc>
        <w:tc>
          <w:tcPr>
            <w:tcW w:w="1252" w:type="dxa"/>
            <w:vAlign w:val="center"/>
          </w:tcPr>
          <w:p w14:paraId="2E57BACE" w14:textId="77777777" w:rsidR="00557899" w:rsidRPr="00061A5F" w:rsidRDefault="00557899"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VAT</w:t>
            </w:r>
          </w:p>
        </w:tc>
        <w:tc>
          <w:tcPr>
            <w:tcW w:w="3969" w:type="dxa"/>
            <w:vAlign w:val="center"/>
          </w:tcPr>
          <w:p w14:paraId="76A63ACA" w14:textId="77777777" w:rsidR="00557899" w:rsidRPr="00061A5F" w:rsidRDefault="00557899"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Dummy variable for the year of VAT introduction</w:t>
            </w:r>
          </w:p>
        </w:tc>
        <w:tc>
          <w:tcPr>
            <w:tcW w:w="1276" w:type="dxa"/>
            <w:vAlign w:val="center"/>
          </w:tcPr>
          <w:p w14:paraId="622A3BEF" w14:textId="77777777" w:rsidR="00557899" w:rsidRPr="00061A5F" w:rsidRDefault="00557899"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w:t>
            </w:r>
          </w:p>
        </w:tc>
        <w:tc>
          <w:tcPr>
            <w:tcW w:w="4536" w:type="dxa"/>
            <w:gridSpan w:val="2"/>
            <w:vAlign w:val="center"/>
          </w:tcPr>
          <w:p w14:paraId="7F2E2DBB" w14:textId="040D85B7" w:rsidR="00557899" w:rsidRPr="00061A5F" w:rsidRDefault="00557899" w:rsidP="007F5D0E">
            <w:pPr>
              <w:autoSpaceDE w:val="0"/>
              <w:autoSpaceDN w:val="0"/>
              <w:adjustRightInd w:val="0"/>
              <w:spacing w:line="276" w:lineRule="auto"/>
              <w:jc w:val="both"/>
              <w:rPr>
                <w:rFonts w:ascii="Times New Roman" w:hAnsi="Times New Roman" w:cstheme="minorBidi"/>
                <w:sz w:val="22"/>
                <w:szCs w:val="22"/>
              </w:rPr>
            </w:pPr>
            <w:r w:rsidRPr="00061A5F">
              <w:rPr>
                <w:rFonts w:ascii="Times New Roman" w:hAnsi="Times New Roman" w:cstheme="minorBidi"/>
                <w:sz w:val="22"/>
                <w:szCs w:val="22"/>
              </w:rPr>
              <w:t>Background paper for International Tax Dialogue Conference on the VAT, 2005</w:t>
            </w:r>
          </w:p>
        </w:tc>
      </w:tr>
    </w:tbl>
    <w:p w14:paraId="14A55B7C" w14:textId="77777777" w:rsidR="001C729B" w:rsidRPr="00061A5F" w:rsidRDefault="001C729B" w:rsidP="007F5D0E">
      <w:pPr>
        <w:spacing w:after="160" w:line="259" w:lineRule="auto"/>
        <w:jc w:val="both"/>
        <w:rPr>
          <w:rFonts w:ascii="Courier New" w:hAnsi="Courier New" w:cs="Courier New"/>
          <w:b/>
          <w:sz w:val="18"/>
          <w:szCs w:val="18"/>
        </w:rPr>
        <w:sectPr w:rsidR="001C729B" w:rsidRPr="00061A5F" w:rsidSect="00372EBE">
          <w:pgSz w:w="15840" w:h="12240" w:orient="landscape"/>
          <w:pgMar w:top="1440" w:right="1440" w:bottom="1440" w:left="1440" w:header="720" w:footer="720" w:gutter="0"/>
          <w:cols w:space="720"/>
          <w:docGrid w:linePitch="360"/>
        </w:sectPr>
      </w:pPr>
    </w:p>
    <w:p w14:paraId="30A4B61F" w14:textId="77777777" w:rsidR="00660646" w:rsidRPr="00061A5F" w:rsidRDefault="00660646" w:rsidP="007F5D0E">
      <w:pPr>
        <w:spacing w:line="276" w:lineRule="auto"/>
        <w:jc w:val="both"/>
        <w:rPr>
          <w:rFonts w:ascii="Times New Roman" w:hAnsi="Times New Roman"/>
          <w:sz w:val="24"/>
          <w:szCs w:val="24"/>
        </w:rPr>
      </w:pPr>
      <w:r w:rsidRPr="00061A5F">
        <w:rPr>
          <w:rFonts w:ascii="Times New Roman" w:hAnsi="Times New Roman"/>
          <w:sz w:val="24"/>
          <w:szCs w:val="24"/>
        </w:rPr>
        <w:lastRenderedPageBreak/>
        <w:t>Table 2A Correlation matrix</w:t>
      </w:r>
    </w:p>
    <w:p w14:paraId="39EBA186" w14:textId="77777777" w:rsidR="00660646" w:rsidRPr="00061A5F" w:rsidRDefault="00660646" w:rsidP="007F5D0E">
      <w:pPr>
        <w:spacing w:line="276" w:lineRule="auto"/>
        <w:jc w:val="both"/>
        <w:rPr>
          <w:rFonts w:ascii="Times New Roman" w:hAnsi="Times New Roman"/>
          <w:sz w:val="24"/>
          <w:szCs w:val="24"/>
        </w:rPr>
      </w:pPr>
    </w:p>
    <w:p w14:paraId="1FA0587D" w14:textId="77777777" w:rsidR="00660646" w:rsidRPr="00061A5F" w:rsidRDefault="00660646" w:rsidP="007F5D0E">
      <w:pPr>
        <w:spacing w:line="276" w:lineRule="auto"/>
        <w:jc w:val="both"/>
        <w:rPr>
          <w:rFonts w:ascii="Courier New" w:hAnsi="Courier New" w:cs="Courier New"/>
          <w:sz w:val="14"/>
          <w:szCs w:val="14"/>
        </w:rPr>
      </w:pPr>
      <w:r w:rsidRPr="00061A5F">
        <w:rPr>
          <w:rFonts w:ascii="Courier New" w:hAnsi="Courier New" w:cs="Courier New"/>
          <w:sz w:val="14"/>
          <w:szCs w:val="14"/>
        </w:rPr>
        <w:t xml:space="preserve">             | inflation      </w:t>
      </w:r>
      <w:proofErr w:type="spellStart"/>
      <w:r w:rsidRPr="00061A5F">
        <w:rPr>
          <w:rFonts w:ascii="Courier New" w:hAnsi="Courier New" w:cs="Courier New"/>
          <w:sz w:val="14"/>
          <w:szCs w:val="14"/>
        </w:rPr>
        <w:t>cba</w:t>
      </w:r>
      <w:proofErr w:type="spellEnd"/>
      <w:r w:rsidRPr="00061A5F">
        <w:rPr>
          <w:rFonts w:ascii="Courier New" w:hAnsi="Courier New" w:cs="Courier New"/>
          <w:sz w:val="14"/>
          <w:szCs w:val="14"/>
        </w:rPr>
        <w:t xml:space="preserve">     </w:t>
      </w:r>
      <w:proofErr w:type="spellStart"/>
      <w:r w:rsidRPr="00061A5F">
        <w:rPr>
          <w:rFonts w:ascii="Courier New" w:hAnsi="Courier New" w:cs="Courier New"/>
          <w:sz w:val="14"/>
          <w:szCs w:val="14"/>
        </w:rPr>
        <w:t>gdpg</w:t>
      </w:r>
      <w:proofErr w:type="spellEnd"/>
      <w:r w:rsidRPr="00061A5F">
        <w:rPr>
          <w:rFonts w:ascii="Courier New" w:hAnsi="Courier New" w:cs="Courier New"/>
          <w:sz w:val="14"/>
          <w:szCs w:val="14"/>
        </w:rPr>
        <w:t xml:space="preserve">      </w:t>
      </w:r>
      <w:proofErr w:type="spellStart"/>
      <w:r w:rsidRPr="00061A5F">
        <w:rPr>
          <w:rFonts w:ascii="Courier New" w:hAnsi="Courier New" w:cs="Courier New"/>
          <w:sz w:val="14"/>
          <w:szCs w:val="14"/>
        </w:rPr>
        <w:t>msg</w:t>
      </w:r>
      <w:proofErr w:type="spellEnd"/>
      <w:r w:rsidRPr="00061A5F">
        <w:rPr>
          <w:rFonts w:ascii="Courier New" w:hAnsi="Courier New" w:cs="Courier New"/>
          <w:sz w:val="14"/>
          <w:szCs w:val="14"/>
        </w:rPr>
        <w:t xml:space="preserve">       fb     open      tot    </w:t>
      </w:r>
      <w:proofErr w:type="spellStart"/>
      <w:r w:rsidRPr="00061A5F">
        <w:rPr>
          <w:rFonts w:ascii="Courier New" w:hAnsi="Courier New" w:cs="Courier New"/>
          <w:sz w:val="14"/>
          <w:szCs w:val="14"/>
        </w:rPr>
        <w:t>ebrdi</w:t>
      </w:r>
      <w:proofErr w:type="spellEnd"/>
      <w:r w:rsidRPr="00061A5F">
        <w:rPr>
          <w:rFonts w:ascii="Courier New" w:hAnsi="Courier New" w:cs="Courier New"/>
          <w:sz w:val="14"/>
          <w:szCs w:val="14"/>
        </w:rPr>
        <w:t xml:space="preserve">     </w:t>
      </w:r>
      <w:proofErr w:type="spellStart"/>
      <w:r w:rsidRPr="00061A5F">
        <w:rPr>
          <w:rFonts w:ascii="Courier New" w:hAnsi="Courier New" w:cs="Courier New"/>
          <w:sz w:val="14"/>
          <w:szCs w:val="14"/>
        </w:rPr>
        <w:t>ccbi</w:t>
      </w:r>
      <w:proofErr w:type="spellEnd"/>
      <w:r w:rsidRPr="00061A5F">
        <w:rPr>
          <w:rFonts w:ascii="Courier New" w:hAnsi="Courier New" w:cs="Courier New"/>
          <w:sz w:val="14"/>
          <w:szCs w:val="14"/>
        </w:rPr>
        <w:t xml:space="preserve">      vat       </w:t>
      </w:r>
      <w:proofErr w:type="spellStart"/>
      <w:r w:rsidRPr="00061A5F">
        <w:rPr>
          <w:rFonts w:ascii="Courier New" w:hAnsi="Courier New" w:cs="Courier New"/>
          <w:sz w:val="14"/>
          <w:szCs w:val="14"/>
        </w:rPr>
        <w:t>eu</w:t>
      </w:r>
      <w:proofErr w:type="spellEnd"/>
    </w:p>
    <w:p w14:paraId="656F7FD6" w14:textId="77777777" w:rsidR="00660646" w:rsidRPr="00061A5F" w:rsidRDefault="00660646" w:rsidP="007F5D0E">
      <w:pPr>
        <w:spacing w:line="276" w:lineRule="auto"/>
        <w:jc w:val="both"/>
        <w:rPr>
          <w:rFonts w:ascii="Courier New" w:hAnsi="Courier New" w:cs="Courier New"/>
          <w:sz w:val="14"/>
          <w:szCs w:val="14"/>
        </w:rPr>
      </w:pPr>
      <w:r w:rsidRPr="00061A5F">
        <w:rPr>
          <w:rFonts w:ascii="Courier New" w:hAnsi="Courier New" w:cs="Courier New"/>
          <w:sz w:val="14"/>
          <w:szCs w:val="14"/>
        </w:rPr>
        <w:t>-------------+---------------------------------------------------------------------------------------------------</w:t>
      </w:r>
    </w:p>
    <w:p w14:paraId="01881913" w14:textId="77777777" w:rsidR="00660646" w:rsidRPr="00061A5F" w:rsidRDefault="00660646" w:rsidP="007F5D0E">
      <w:pPr>
        <w:spacing w:line="276" w:lineRule="auto"/>
        <w:jc w:val="both"/>
        <w:rPr>
          <w:rFonts w:ascii="Courier New" w:hAnsi="Courier New" w:cs="Courier New"/>
          <w:sz w:val="14"/>
          <w:szCs w:val="14"/>
        </w:rPr>
      </w:pPr>
      <w:r w:rsidRPr="00061A5F">
        <w:rPr>
          <w:rFonts w:ascii="Courier New" w:hAnsi="Courier New" w:cs="Courier New"/>
          <w:sz w:val="14"/>
          <w:szCs w:val="14"/>
        </w:rPr>
        <w:t xml:space="preserve">   inflation |   1.0000</w:t>
      </w:r>
    </w:p>
    <w:p w14:paraId="5D36A9B2" w14:textId="77777777" w:rsidR="00660646" w:rsidRPr="00061A5F" w:rsidRDefault="00660646" w:rsidP="007F5D0E">
      <w:pPr>
        <w:spacing w:line="276" w:lineRule="auto"/>
        <w:jc w:val="both"/>
        <w:rPr>
          <w:rFonts w:ascii="Courier New" w:hAnsi="Courier New" w:cs="Courier New"/>
          <w:sz w:val="14"/>
          <w:szCs w:val="14"/>
        </w:rPr>
      </w:pPr>
      <w:r w:rsidRPr="00061A5F">
        <w:rPr>
          <w:rFonts w:ascii="Courier New" w:hAnsi="Courier New" w:cs="Courier New"/>
          <w:sz w:val="14"/>
          <w:szCs w:val="14"/>
        </w:rPr>
        <w:t xml:space="preserve">         </w:t>
      </w:r>
      <w:proofErr w:type="spellStart"/>
      <w:r w:rsidRPr="00061A5F">
        <w:rPr>
          <w:rFonts w:ascii="Courier New" w:hAnsi="Courier New" w:cs="Courier New"/>
          <w:sz w:val="14"/>
          <w:szCs w:val="14"/>
        </w:rPr>
        <w:t>cba</w:t>
      </w:r>
      <w:proofErr w:type="spellEnd"/>
      <w:r w:rsidRPr="00061A5F">
        <w:rPr>
          <w:rFonts w:ascii="Courier New" w:hAnsi="Courier New" w:cs="Courier New"/>
          <w:sz w:val="14"/>
          <w:szCs w:val="14"/>
        </w:rPr>
        <w:t xml:space="preserve"> </w:t>
      </w:r>
      <w:proofErr w:type="gramStart"/>
      <w:r w:rsidRPr="00061A5F">
        <w:rPr>
          <w:rFonts w:ascii="Courier New" w:hAnsi="Courier New" w:cs="Courier New"/>
          <w:sz w:val="14"/>
          <w:szCs w:val="14"/>
        </w:rPr>
        <w:t>|  -</w:t>
      </w:r>
      <w:proofErr w:type="gramEnd"/>
      <w:r w:rsidRPr="00061A5F">
        <w:rPr>
          <w:rFonts w:ascii="Courier New" w:hAnsi="Courier New" w:cs="Courier New"/>
          <w:sz w:val="14"/>
          <w:szCs w:val="14"/>
        </w:rPr>
        <w:t>0.1388   1.0000</w:t>
      </w:r>
    </w:p>
    <w:p w14:paraId="1518E98F" w14:textId="77777777" w:rsidR="00660646" w:rsidRPr="00061A5F" w:rsidRDefault="00660646" w:rsidP="007F5D0E">
      <w:pPr>
        <w:spacing w:line="276" w:lineRule="auto"/>
        <w:jc w:val="both"/>
        <w:rPr>
          <w:rFonts w:ascii="Courier New" w:hAnsi="Courier New" w:cs="Courier New"/>
          <w:sz w:val="14"/>
          <w:szCs w:val="14"/>
        </w:rPr>
      </w:pPr>
      <w:r w:rsidRPr="00061A5F">
        <w:rPr>
          <w:rFonts w:ascii="Courier New" w:hAnsi="Courier New" w:cs="Courier New"/>
          <w:sz w:val="14"/>
          <w:szCs w:val="14"/>
        </w:rPr>
        <w:t xml:space="preserve">        </w:t>
      </w:r>
      <w:proofErr w:type="spellStart"/>
      <w:r w:rsidRPr="00061A5F">
        <w:rPr>
          <w:rFonts w:ascii="Courier New" w:hAnsi="Courier New" w:cs="Courier New"/>
          <w:sz w:val="14"/>
          <w:szCs w:val="14"/>
        </w:rPr>
        <w:t>gdpg</w:t>
      </w:r>
      <w:proofErr w:type="spellEnd"/>
      <w:r w:rsidRPr="00061A5F">
        <w:rPr>
          <w:rFonts w:ascii="Courier New" w:hAnsi="Courier New" w:cs="Courier New"/>
          <w:sz w:val="14"/>
          <w:szCs w:val="14"/>
        </w:rPr>
        <w:t xml:space="preserve"> |   </w:t>
      </w:r>
      <w:proofErr w:type="gramStart"/>
      <w:r w:rsidRPr="00061A5F">
        <w:rPr>
          <w:rFonts w:ascii="Courier New" w:hAnsi="Courier New" w:cs="Courier New"/>
          <w:sz w:val="14"/>
          <w:szCs w:val="14"/>
        </w:rPr>
        <w:t>0.0772  -</w:t>
      </w:r>
      <w:proofErr w:type="gramEnd"/>
      <w:r w:rsidRPr="00061A5F">
        <w:rPr>
          <w:rFonts w:ascii="Courier New" w:hAnsi="Courier New" w:cs="Courier New"/>
          <w:sz w:val="14"/>
          <w:szCs w:val="14"/>
        </w:rPr>
        <w:t>0.0649   1.0000</w:t>
      </w:r>
    </w:p>
    <w:p w14:paraId="77C4D45C" w14:textId="77777777" w:rsidR="00660646" w:rsidRPr="00061A5F" w:rsidRDefault="00660646" w:rsidP="007F5D0E">
      <w:pPr>
        <w:spacing w:line="276" w:lineRule="auto"/>
        <w:jc w:val="both"/>
        <w:rPr>
          <w:rFonts w:ascii="Courier New" w:hAnsi="Courier New" w:cs="Courier New"/>
          <w:sz w:val="14"/>
          <w:szCs w:val="14"/>
        </w:rPr>
      </w:pPr>
      <w:r w:rsidRPr="00061A5F">
        <w:rPr>
          <w:rFonts w:ascii="Courier New" w:hAnsi="Courier New" w:cs="Courier New"/>
          <w:sz w:val="14"/>
          <w:szCs w:val="14"/>
        </w:rPr>
        <w:t xml:space="preserve">         </w:t>
      </w:r>
      <w:proofErr w:type="spellStart"/>
      <w:r w:rsidRPr="00061A5F">
        <w:rPr>
          <w:rFonts w:ascii="Courier New" w:hAnsi="Courier New" w:cs="Courier New"/>
          <w:sz w:val="14"/>
          <w:szCs w:val="14"/>
        </w:rPr>
        <w:t>msg</w:t>
      </w:r>
      <w:proofErr w:type="spellEnd"/>
      <w:r w:rsidRPr="00061A5F">
        <w:rPr>
          <w:rFonts w:ascii="Courier New" w:hAnsi="Courier New" w:cs="Courier New"/>
          <w:sz w:val="14"/>
          <w:szCs w:val="14"/>
        </w:rPr>
        <w:t xml:space="preserve"> |   </w:t>
      </w:r>
      <w:proofErr w:type="gramStart"/>
      <w:r w:rsidRPr="00061A5F">
        <w:rPr>
          <w:rFonts w:ascii="Courier New" w:hAnsi="Courier New" w:cs="Courier New"/>
          <w:sz w:val="14"/>
          <w:szCs w:val="14"/>
        </w:rPr>
        <w:t>0.6555  -</w:t>
      </w:r>
      <w:proofErr w:type="gramEnd"/>
      <w:r w:rsidRPr="00061A5F">
        <w:rPr>
          <w:rFonts w:ascii="Courier New" w:hAnsi="Courier New" w:cs="Courier New"/>
          <w:sz w:val="14"/>
          <w:szCs w:val="14"/>
        </w:rPr>
        <w:t>0.0988   0.3989   1.0000</w:t>
      </w:r>
    </w:p>
    <w:p w14:paraId="5513BD37" w14:textId="77777777" w:rsidR="00660646" w:rsidRPr="00061A5F" w:rsidRDefault="00660646" w:rsidP="007F5D0E">
      <w:pPr>
        <w:spacing w:line="276" w:lineRule="auto"/>
        <w:jc w:val="both"/>
        <w:rPr>
          <w:rFonts w:ascii="Courier New" w:hAnsi="Courier New" w:cs="Courier New"/>
          <w:sz w:val="14"/>
          <w:szCs w:val="14"/>
        </w:rPr>
      </w:pPr>
      <w:r w:rsidRPr="00061A5F">
        <w:rPr>
          <w:rFonts w:ascii="Courier New" w:hAnsi="Courier New" w:cs="Courier New"/>
          <w:sz w:val="14"/>
          <w:szCs w:val="14"/>
        </w:rPr>
        <w:t xml:space="preserve">          fb |   0.1437   0.0962   0.4222   0.3313   1.0000</w:t>
      </w:r>
    </w:p>
    <w:p w14:paraId="714EC11E" w14:textId="77777777" w:rsidR="00660646" w:rsidRPr="00061A5F" w:rsidRDefault="00660646" w:rsidP="007F5D0E">
      <w:pPr>
        <w:spacing w:line="276" w:lineRule="auto"/>
        <w:jc w:val="both"/>
        <w:rPr>
          <w:rFonts w:ascii="Courier New" w:hAnsi="Courier New" w:cs="Courier New"/>
          <w:sz w:val="14"/>
          <w:szCs w:val="14"/>
        </w:rPr>
      </w:pPr>
      <w:r w:rsidRPr="00061A5F">
        <w:rPr>
          <w:rFonts w:ascii="Courier New" w:hAnsi="Courier New" w:cs="Courier New"/>
          <w:sz w:val="14"/>
          <w:szCs w:val="14"/>
        </w:rPr>
        <w:t xml:space="preserve">        open |   0.1875   0.1360   0.0854   0.1068   0.0005   1.0000</w:t>
      </w:r>
    </w:p>
    <w:p w14:paraId="75538971" w14:textId="77777777" w:rsidR="00660646" w:rsidRPr="00061A5F" w:rsidRDefault="00660646" w:rsidP="007F5D0E">
      <w:pPr>
        <w:spacing w:line="276" w:lineRule="auto"/>
        <w:jc w:val="both"/>
        <w:rPr>
          <w:rFonts w:ascii="Courier New" w:hAnsi="Courier New" w:cs="Courier New"/>
          <w:sz w:val="14"/>
          <w:szCs w:val="14"/>
        </w:rPr>
      </w:pPr>
      <w:r w:rsidRPr="00061A5F">
        <w:rPr>
          <w:rFonts w:ascii="Courier New" w:hAnsi="Courier New" w:cs="Courier New"/>
          <w:sz w:val="14"/>
          <w:szCs w:val="14"/>
        </w:rPr>
        <w:t xml:space="preserve">         tot |   </w:t>
      </w:r>
      <w:proofErr w:type="gramStart"/>
      <w:r w:rsidRPr="00061A5F">
        <w:rPr>
          <w:rFonts w:ascii="Courier New" w:hAnsi="Courier New" w:cs="Courier New"/>
          <w:sz w:val="14"/>
          <w:szCs w:val="14"/>
        </w:rPr>
        <w:t>0.0330  -</w:t>
      </w:r>
      <w:proofErr w:type="gramEnd"/>
      <w:r w:rsidRPr="00061A5F">
        <w:rPr>
          <w:rFonts w:ascii="Courier New" w:hAnsi="Courier New" w:cs="Courier New"/>
          <w:sz w:val="14"/>
          <w:szCs w:val="14"/>
        </w:rPr>
        <w:t>0.1290   0.1303   0.0995   0.4739  -0.3130   1.0000</w:t>
      </w:r>
    </w:p>
    <w:p w14:paraId="20CCA379" w14:textId="77777777" w:rsidR="00660646" w:rsidRPr="00061A5F" w:rsidRDefault="00660646" w:rsidP="007F5D0E">
      <w:pPr>
        <w:spacing w:line="276" w:lineRule="auto"/>
        <w:jc w:val="both"/>
        <w:rPr>
          <w:rFonts w:ascii="Courier New" w:hAnsi="Courier New" w:cs="Courier New"/>
          <w:sz w:val="14"/>
          <w:szCs w:val="14"/>
        </w:rPr>
      </w:pPr>
      <w:r w:rsidRPr="00061A5F">
        <w:rPr>
          <w:rFonts w:ascii="Courier New" w:hAnsi="Courier New" w:cs="Courier New"/>
          <w:sz w:val="14"/>
          <w:szCs w:val="14"/>
        </w:rPr>
        <w:t xml:space="preserve">       </w:t>
      </w:r>
      <w:proofErr w:type="spellStart"/>
      <w:r w:rsidRPr="00061A5F">
        <w:rPr>
          <w:rFonts w:ascii="Courier New" w:hAnsi="Courier New" w:cs="Courier New"/>
          <w:sz w:val="14"/>
          <w:szCs w:val="14"/>
        </w:rPr>
        <w:t>ebrdi</w:t>
      </w:r>
      <w:proofErr w:type="spellEnd"/>
      <w:r w:rsidRPr="00061A5F">
        <w:rPr>
          <w:rFonts w:ascii="Courier New" w:hAnsi="Courier New" w:cs="Courier New"/>
          <w:sz w:val="14"/>
          <w:szCs w:val="14"/>
        </w:rPr>
        <w:t xml:space="preserve"> </w:t>
      </w:r>
      <w:proofErr w:type="gramStart"/>
      <w:r w:rsidRPr="00061A5F">
        <w:rPr>
          <w:rFonts w:ascii="Courier New" w:hAnsi="Courier New" w:cs="Courier New"/>
          <w:sz w:val="14"/>
          <w:szCs w:val="14"/>
        </w:rPr>
        <w:t>|  -</w:t>
      </w:r>
      <w:proofErr w:type="gramEnd"/>
      <w:r w:rsidRPr="00061A5F">
        <w:rPr>
          <w:rFonts w:ascii="Courier New" w:hAnsi="Courier New" w:cs="Courier New"/>
          <w:sz w:val="14"/>
          <w:szCs w:val="14"/>
        </w:rPr>
        <w:t>0.4362   0.1262  -0.2509  -0.5297  -0.3306   0.0537  -0.1403   1.0000</w:t>
      </w:r>
    </w:p>
    <w:p w14:paraId="65A81054" w14:textId="77777777" w:rsidR="00660646" w:rsidRPr="00061A5F" w:rsidRDefault="00660646" w:rsidP="007F5D0E">
      <w:pPr>
        <w:spacing w:line="276" w:lineRule="auto"/>
        <w:jc w:val="both"/>
        <w:rPr>
          <w:rFonts w:ascii="Courier New" w:hAnsi="Courier New" w:cs="Courier New"/>
          <w:sz w:val="14"/>
          <w:szCs w:val="14"/>
        </w:rPr>
      </w:pPr>
      <w:r w:rsidRPr="00061A5F">
        <w:rPr>
          <w:rFonts w:ascii="Courier New" w:hAnsi="Courier New" w:cs="Courier New"/>
          <w:sz w:val="14"/>
          <w:szCs w:val="14"/>
        </w:rPr>
        <w:t xml:space="preserve">        </w:t>
      </w:r>
      <w:proofErr w:type="spellStart"/>
      <w:r w:rsidRPr="00061A5F">
        <w:rPr>
          <w:rFonts w:ascii="Courier New" w:hAnsi="Courier New" w:cs="Courier New"/>
          <w:sz w:val="14"/>
          <w:szCs w:val="14"/>
        </w:rPr>
        <w:t>ccbi</w:t>
      </w:r>
      <w:proofErr w:type="spellEnd"/>
      <w:r w:rsidRPr="00061A5F">
        <w:rPr>
          <w:rFonts w:ascii="Courier New" w:hAnsi="Courier New" w:cs="Courier New"/>
          <w:sz w:val="14"/>
          <w:szCs w:val="14"/>
        </w:rPr>
        <w:t xml:space="preserve"> </w:t>
      </w:r>
      <w:proofErr w:type="gramStart"/>
      <w:r w:rsidRPr="00061A5F">
        <w:rPr>
          <w:rFonts w:ascii="Courier New" w:hAnsi="Courier New" w:cs="Courier New"/>
          <w:sz w:val="14"/>
          <w:szCs w:val="14"/>
        </w:rPr>
        <w:t>|  -</w:t>
      </w:r>
      <w:proofErr w:type="gramEnd"/>
      <w:r w:rsidRPr="00061A5F">
        <w:rPr>
          <w:rFonts w:ascii="Courier New" w:hAnsi="Courier New" w:cs="Courier New"/>
          <w:sz w:val="14"/>
          <w:szCs w:val="14"/>
        </w:rPr>
        <w:t>0.2368   0.3327  -0.2708  -0.3391  -0.3941   0.1381  -0.3319   0.4356   1.0000</w:t>
      </w:r>
    </w:p>
    <w:p w14:paraId="7B874945" w14:textId="77777777" w:rsidR="00660646" w:rsidRPr="00061A5F" w:rsidRDefault="00660646" w:rsidP="007F5D0E">
      <w:pPr>
        <w:spacing w:line="276" w:lineRule="auto"/>
        <w:jc w:val="both"/>
        <w:rPr>
          <w:rFonts w:ascii="Courier New" w:hAnsi="Courier New" w:cs="Courier New"/>
          <w:sz w:val="14"/>
          <w:szCs w:val="14"/>
        </w:rPr>
      </w:pPr>
      <w:r w:rsidRPr="00061A5F">
        <w:rPr>
          <w:rFonts w:ascii="Courier New" w:hAnsi="Courier New" w:cs="Courier New"/>
          <w:sz w:val="14"/>
          <w:szCs w:val="14"/>
        </w:rPr>
        <w:t xml:space="preserve">         vat </w:t>
      </w:r>
      <w:proofErr w:type="gramStart"/>
      <w:r w:rsidRPr="00061A5F">
        <w:rPr>
          <w:rFonts w:ascii="Courier New" w:hAnsi="Courier New" w:cs="Courier New"/>
          <w:sz w:val="14"/>
          <w:szCs w:val="14"/>
        </w:rPr>
        <w:t>|  -</w:t>
      </w:r>
      <w:proofErr w:type="gramEnd"/>
      <w:r w:rsidRPr="00061A5F">
        <w:rPr>
          <w:rFonts w:ascii="Courier New" w:hAnsi="Courier New" w:cs="Courier New"/>
          <w:sz w:val="14"/>
          <w:szCs w:val="14"/>
        </w:rPr>
        <w:t>0.0109   0.0773   0.0002  -0.0144   0.0906  -0.0285  -0.0214  -0.0589  -0.0557   1.0000</w:t>
      </w:r>
    </w:p>
    <w:p w14:paraId="1012C558" w14:textId="73C267B2" w:rsidR="00660646" w:rsidRDefault="00660646" w:rsidP="007F5D0E">
      <w:pPr>
        <w:spacing w:line="276" w:lineRule="auto"/>
        <w:jc w:val="both"/>
        <w:rPr>
          <w:rFonts w:ascii="Courier New" w:hAnsi="Courier New" w:cs="Courier New"/>
          <w:sz w:val="14"/>
          <w:szCs w:val="14"/>
        </w:rPr>
      </w:pPr>
      <w:r w:rsidRPr="00061A5F">
        <w:rPr>
          <w:rFonts w:ascii="Courier New" w:hAnsi="Courier New" w:cs="Courier New"/>
          <w:sz w:val="14"/>
          <w:szCs w:val="14"/>
        </w:rPr>
        <w:t xml:space="preserve">          </w:t>
      </w:r>
      <w:proofErr w:type="spellStart"/>
      <w:r w:rsidRPr="00061A5F">
        <w:rPr>
          <w:rFonts w:ascii="Courier New" w:hAnsi="Courier New" w:cs="Courier New"/>
          <w:sz w:val="14"/>
          <w:szCs w:val="14"/>
        </w:rPr>
        <w:t>eu</w:t>
      </w:r>
      <w:proofErr w:type="spellEnd"/>
      <w:r w:rsidRPr="00061A5F">
        <w:rPr>
          <w:rFonts w:ascii="Courier New" w:hAnsi="Courier New" w:cs="Courier New"/>
          <w:sz w:val="14"/>
          <w:szCs w:val="14"/>
        </w:rPr>
        <w:t xml:space="preserve"> </w:t>
      </w:r>
      <w:proofErr w:type="gramStart"/>
      <w:r w:rsidRPr="00061A5F">
        <w:rPr>
          <w:rFonts w:ascii="Courier New" w:hAnsi="Courier New" w:cs="Courier New"/>
          <w:sz w:val="14"/>
          <w:szCs w:val="14"/>
        </w:rPr>
        <w:t>|  -</w:t>
      </w:r>
      <w:proofErr w:type="gramEnd"/>
      <w:r w:rsidRPr="00061A5F">
        <w:rPr>
          <w:rFonts w:ascii="Courier New" w:hAnsi="Courier New" w:cs="Courier New"/>
          <w:sz w:val="14"/>
          <w:szCs w:val="14"/>
        </w:rPr>
        <w:t>0.1322   0.1939  -0.1627  -0.2431  -0.1379   0.3210  -0.1266   0.5517   0.3185  -0.0436   1.00</w:t>
      </w:r>
    </w:p>
    <w:p w14:paraId="04110A02" w14:textId="1CB9A966" w:rsidR="00E9331F" w:rsidRDefault="00E9331F" w:rsidP="007F5D0E">
      <w:pPr>
        <w:spacing w:line="276" w:lineRule="auto"/>
        <w:jc w:val="both"/>
        <w:rPr>
          <w:rFonts w:ascii="Courier New" w:hAnsi="Courier New" w:cs="Courier New"/>
          <w:sz w:val="14"/>
          <w:szCs w:val="14"/>
        </w:rPr>
      </w:pPr>
    </w:p>
    <w:p w14:paraId="19A46A26" w14:textId="50F99508" w:rsidR="00E9331F" w:rsidRDefault="00E9331F" w:rsidP="007F5D0E">
      <w:pPr>
        <w:spacing w:line="276" w:lineRule="auto"/>
        <w:jc w:val="both"/>
        <w:rPr>
          <w:rFonts w:ascii="Courier New" w:hAnsi="Courier New" w:cs="Courier New"/>
          <w:sz w:val="14"/>
          <w:szCs w:val="14"/>
        </w:rPr>
      </w:pPr>
    </w:p>
    <w:p w14:paraId="1078709F" w14:textId="4A4E15BC" w:rsidR="007E1932" w:rsidRPr="009E078C" w:rsidRDefault="007E1932" w:rsidP="007F5D0E">
      <w:pPr>
        <w:spacing w:line="276" w:lineRule="auto"/>
        <w:jc w:val="both"/>
        <w:rPr>
          <w:rFonts w:ascii="Times New Roman" w:hAnsi="Times New Roman"/>
        </w:rPr>
      </w:pPr>
      <w:bookmarkStart w:id="96" w:name="_GoBack"/>
      <w:bookmarkEnd w:id="96"/>
    </w:p>
    <w:sectPr w:rsidR="007E1932" w:rsidRPr="009E078C" w:rsidSect="00EC1F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C5C85" w14:textId="77777777" w:rsidR="00D67E07" w:rsidRDefault="00D67E07" w:rsidP="009408EE">
      <w:r>
        <w:separator/>
      </w:r>
    </w:p>
  </w:endnote>
  <w:endnote w:type="continuationSeparator" w:id="0">
    <w:p w14:paraId="431F169B" w14:textId="77777777" w:rsidR="00D67E07" w:rsidRDefault="00D67E07" w:rsidP="0094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ITC Franklin Gothic Std Boo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14B40" w14:textId="0F02CF1D" w:rsidR="00C37564" w:rsidRPr="002E50A5" w:rsidRDefault="00C37564">
    <w:pPr>
      <w:pStyle w:val="Footer"/>
      <w:jc w:val="right"/>
      <w:rPr>
        <w:rFonts w:ascii="Times New Roman" w:hAnsi="Times New Roman"/>
      </w:rPr>
    </w:pPr>
    <w:r w:rsidRPr="002E50A5">
      <w:rPr>
        <w:rFonts w:ascii="Times New Roman" w:hAnsi="Times New Roman"/>
      </w:rPr>
      <w:fldChar w:fldCharType="begin"/>
    </w:r>
    <w:r w:rsidRPr="002E50A5">
      <w:rPr>
        <w:rFonts w:ascii="Times New Roman" w:hAnsi="Times New Roman"/>
      </w:rPr>
      <w:instrText xml:space="preserve"> PAGE   \* MERGEFORMAT </w:instrText>
    </w:r>
    <w:r w:rsidRPr="002E50A5">
      <w:rPr>
        <w:rFonts w:ascii="Times New Roman" w:hAnsi="Times New Roman"/>
      </w:rPr>
      <w:fldChar w:fldCharType="separate"/>
    </w:r>
    <w:r>
      <w:rPr>
        <w:rFonts w:ascii="Times New Roman" w:hAnsi="Times New Roman"/>
        <w:noProof/>
      </w:rPr>
      <w:t>1</w:t>
    </w:r>
    <w:r w:rsidRPr="002E50A5">
      <w:rPr>
        <w:rFonts w:ascii="Times New Roman" w:hAnsi="Times New Roman"/>
        <w:noProof/>
      </w:rPr>
      <w:fldChar w:fldCharType="end"/>
    </w:r>
  </w:p>
  <w:p w14:paraId="6390A90B" w14:textId="77777777" w:rsidR="00C37564" w:rsidRDefault="00C37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FF5ED" w14:textId="77777777" w:rsidR="00D67E07" w:rsidRDefault="00D67E07" w:rsidP="009408EE">
      <w:r>
        <w:separator/>
      </w:r>
    </w:p>
  </w:footnote>
  <w:footnote w:type="continuationSeparator" w:id="0">
    <w:p w14:paraId="0A34EAB9" w14:textId="77777777" w:rsidR="00D67E07" w:rsidRDefault="00D67E07" w:rsidP="009408EE">
      <w:r>
        <w:continuationSeparator/>
      </w:r>
    </w:p>
  </w:footnote>
  <w:footnote w:id="1">
    <w:p w14:paraId="0BD48015" w14:textId="5DB3CDE8" w:rsidR="00C37564" w:rsidRPr="00AF5B4F" w:rsidRDefault="00C37564">
      <w:pPr>
        <w:pStyle w:val="FootnoteText"/>
        <w:rPr>
          <w:lang w:val="en-US"/>
        </w:rPr>
      </w:pPr>
      <w:r>
        <w:rPr>
          <w:rStyle w:val="FootnoteReference"/>
        </w:rPr>
        <w:footnoteRef/>
      </w:r>
      <w:r>
        <w:t xml:space="preserve"> </w:t>
      </w:r>
      <w:r>
        <w:rPr>
          <w:lang w:val="en-US"/>
        </w:rPr>
        <w:t>We acknowledge many helpful suggestions from our two anonymous referees.</w:t>
      </w:r>
    </w:p>
  </w:footnote>
  <w:footnote w:id="2">
    <w:p w14:paraId="371D7D2D" w14:textId="5AC8FAF4" w:rsidR="00C37564" w:rsidRPr="00B33FE2" w:rsidRDefault="00C37564" w:rsidP="00B33FE2">
      <w:pPr>
        <w:pStyle w:val="FootnoteText"/>
        <w:jc w:val="both"/>
        <w:rPr>
          <w:lang w:val="en-US"/>
        </w:rPr>
      </w:pPr>
      <w:r>
        <w:rPr>
          <w:rStyle w:val="FootnoteReference"/>
        </w:rPr>
        <w:footnoteRef/>
      </w:r>
      <w:r>
        <w:t xml:space="preserve"> </w:t>
      </w:r>
      <w:r w:rsidRPr="00B33FE2">
        <w:t>Since Serbia and Montenegro separated in 2006 there is a lack of data for Montenegro and therefore it is excluded from the sample. Moreover, due to a lack of data Turkmenistan and Uzbekistan are also excluded from the sample.</w:t>
      </w:r>
    </w:p>
  </w:footnote>
  <w:footnote w:id="3">
    <w:p w14:paraId="1C447A02" w14:textId="7A2A43A2" w:rsidR="00C37564" w:rsidRPr="0000350D" w:rsidRDefault="00C37564" w:rsidP="002D0F34">
      <w:pPr>
        <w:pStyle w:val="FootnoteText"/>
        <w:rPr>
          <w:lang w:val="en-US"/>
        </w:rPr>
      </w:pPr>
      <w:r w:rsidRPr="00061A5F">
        <w:rPr>
          <w:rStyle w:val="FootnoteReference"/>
        </w:rPr>
        <w:footnoteRef/>
      </w:r>
      <w:r w:rsidRPr="00061A5F">
        <w:t xml:space="preserve"> </w:t>
      </w:r>
      <w:proofErr w:type="spellStart"/>
      <w:r w:rsidRPr="00061A5F">
        <w:rPr>
          <w:lang w:val="en-GB"/>
        </w:rPr>
        <w:t>Ilzetski</w:t>
      </w:r>
      <w:proofErr w:type="spellEnd"/>
      <w:r w:rsidRPr="00061A5F">
        <w:rPr>
          <w:lang w:val="en-GB"/>
        </w:rPr>
        <w:t xml:space="preserve"> et al. (2017) give a historical </w:t>
      </w:r>
      <w:r w:rsidRPr="00061A5F">
        <w:rPr>
          <w:i/>
          <w:iCs/>
          <w:lang w:val="en-GB"/>
        </w:rPr>
        <w:t>de facto</w:t>
      </w:r>
      <w:r w:rsidRPr="00061A5F">
        <w:rPr>
          <w:lang w:val="en-GB"/>
        </w:rPr>
        <w:t xml:space="preserve"> classification of regimes for all these countries.</w:t>
      </w:r>
    </w:p>
  </w:footnote>
  <w:footnote w:id="4">
    <w:p w14:paraId="49D1B91B" w14:textId="77777777" w:rsidR="00C37564" w:rsidRPr="00D4548D" w:rsidRDefault="00C37564" w:rsidP="003419A0">
      <w:pPr>
        <w:pStyle w:val="FootnoteText"/>
        <w:jc w:val="both"/>
        <w:rPr>
          <w:lang w:val="en-US"/>
        </w:rPr>
      </w:pPr>
      <w:r>
        <w:rPr>
          <w:rStyle w:val="FootnoteReference"/>
        </w:rPr>
        <w:footnoteRef/>
      </w:r>
      <w:r>
        <w:t xml:space="preserve"> In addition, s</w:t>
      </w:r>
      <w:r w:rsidRPr="00D4548D">
        <w:t>ystem GMM estimation</w:t>
      </w:r>
      <w:r>
        <w:t>, which is used in empirical analysis,</w:t>
      </w:r>
      <w:r w:rsidRPr="00D4548D">
        <w:t xml:space="preserve"> includes group- (country-) specific fixed effect in the error term, and </w:t>
      </w:r>
      <w:r>
        <w:t xml:space="preserve">since </w:t>
      </w:r>
      <w:r w:rsidRPr="00D4548D">
        <w:t>initial conditions are, by definition, fixed, then initial conditions are already controlled for. If otherwise time invariant unobservable factors that might be confounded with CBA effects are controlled for, then the CBA effect can be identified.</w:t>
      </w:r>
    </w:p>
  </w:footnote>
  <w:footnote w:id="5">
    <w:p w14:paraId="6AF6C7E5" w14:textId="4F4F3693" w:rsidR="00C37564" w:rsidRPr="008B03C5" w:rsidRDefault="00C37564" w:rsidP="00F8199F">
      <w:pPr>
        <w:pStyle w:val="FootnoteText"/>
        <w:jc w:val="both"/>
        <w:rPr>
          <w:lang w:val="en-US"/>
        </w:rPr>
      </w:pPr>
      <w:r>
        <w:rPr>
          <w:rStyle w:val="FootnoteReference"/>
        </w:rPr>
        <w:footnoteRef/>
      </w:r>
      <w:r>
        <w:t xml:space="preserve"> A</w:t>
      </w:r>
      <w:r w:rsidRPr="00F043C7">
        <w:t>verage inflation has been used rather than</w:t>
      </w:r>
      <w:r>
        <w:t xml:space="preserve"> its</w:t>
      </w:r>
      <w:r w:rsidRPr="00F043C7">
        <w:t xml:space="preserve"> variability</w:t>
      </w:r>
      <w:r>
        <w:t>,</w:t>
      </w:r>
      <w:r w:rsidRPr="00F043C7">
        <w:t xml:space="preserve"> since the central banks target and report average inflation, not its variability. Also, due to </w:t>
      </w:r>
      <w:r>
        <w:t xml:space="preserve">the </w:t>
      </w:r>
      <w:r w:rsidRPr="00F043C7">
        <w:t>small number of observations we wanted to preserve as many observations as possible.</w:t>
      </w:r>
    </w:p>
  </w:footnote>
  <w:footnote w:id="6">
    <w:p w14:paraId="22F46F85" w14:textId="186ACFB2" w:rsidR="00C37564" w:rsidRPr="00DF6538" w:rsidRDefault="00C37564" w:rsidP="004F0E4C">
      <w:pPr>
        <w:spacing w:line="276" w:lineRule="auto"/>
        <w:jc w:val="both"/>
        <w:rPr>
          <w:rStyle w:val="Hyperlink"/>
          <w:rFonts w:ascii="Times New Roman" w:hAnsi="Times New Roman"/>
        </w:rPr>
      </w:pPr>
      <w:r w:rsidRPr="00061A5F">
        <w:rPr>
          <w:rStyle w:val="FootnoteReference"/>
          <w:rFonts w:ascii="Times New Roman" w:hAnsi="Times New Roman"/>
        </w:rPr>
        <w:footnoteRef/>
      </w:r>
      <w:r w:rsidRPr="00061A5F">
        <w:rPr>
          <w:rFonts w:ascii="Times New Roman" w:hAnsi="Times New Roman"/>
        </w:rPr>
        <w:t xml:space="preserve"> There is no data available for the Emerging Market Bond Index for the sample countries. Moreover, alternative indicators are available only for a few countries and years from the sample. </w:t>
      </w:r>
    </w:p>
    <w:p w14:paraId="1666F864" w14:textId="77777777" w:rsidR="00C37564" w:rsidRPr="00DF6538" w:rsidRDefault="00C37564" w:rsidP="004F0E4C">
      <w:pPr>
        <w:pStyle w:val="FootnoteText"/>
        <w:rPr>
          <w:lang w:val="en-US"/>
        </w:rPr>
      </w:pPr>
    </w:p>
  </w:footnote>
  <w:footnote w:id="7">
    <w:p w14:paraId="32E31EB0" w14:textId="36BE6D66" w:rsidR="00C37564" w:rsidRPr="0000350D" w:rsidRDefault="00C37564" w:rsidP="00BD46C7">
      <w:pPr>
        <w:jc w:val="both"/>
        <w:rPr>
          <w:rFonts w:ascii="Times New Roman" w:eastAsia="Calibri" w:hAnsi="Times New Roman"/>
          <w:lang w:val="hr-HR"/>
        </w:rPr>
      </w:pPr>
      <w:r w:rsidRPr="0000350D">
        <w:rPr>
          <w:rStyle w:val="FootnoteReference"/>
          <w:rFonts w:ascii="Times New Roman" w:hAnsi="Times New Roman"/>
        </w:rPr>
        <w:footnoteRef/>
      </w:r>
      <w:r w:rsidRPr="0000350D">
        <w:rPr>
          <w:rFonts w:ascii="Times New Roman" w:hAnsi="Times New Roman"/>
        </w:rPr>
        <w:t xml:space="preserve"> We estimated models using OLS and FE and together with the standard serial correlation tests. In both cases, the diagnostic tests, conducted after OLS and FE estimation, suggested that serial correlation may be an issue and that, accordingly, a dynamic estimator is likely to be more appropriate. Due to the noted limitations of these estimators we do not report OLS and FE results.  </w:t>
      </w:r>
    </w:p>
  </w:footnote>
  <w:footnote w:id="8">
    <w:p w14:paraId="20493D32" w14:textId="54968044" w:rsidR="00C37564" w:rsidRPr="00702DC1" w:rsidRDefault="00C37564" w:rsidP="00844BFF">
      <w:pPr>
        <w:pStyle w:val="FootnoteText"/>
        <w:jc w:val="both"/>
        <w:rPr>
          <w:lang w:val="en-US"/>
        </w:rPr>
      </w:pPr>
      <w:r>
        <w:rPr>
          <w:rStyle w:val="FootnoteReference"/>
        </w:rPr>
        <w:footnoteRef/>
      </w:r>
      <w:r>
        <w:t xml:space="preserve"> </w:t>
      </w:r>
      <w:r>
        <w:rPr>
          <w:lang w:val="en-US"/>
        </w:rPr>
        <w:t xml:space="preserve">Although it is not clear what is the crisis and what is the post-crisis period, and it differs from country to country, we treated 2009-2015 as a crisis/post-crisis period, since these countries struggled to increase prices (and stop deflationary pressures) in this period. </w:t>
      </w:r>
      <w:r>
        <w:t xml:space="preserve">Moreover, it is argued that the CESEE region was remarkably resilient to the GFC until the last quarter of 2008 (Source: </w:t>
      </w:r>
      <w:hyperlink r:id="rId1" w:history="1">
        <w:r w:rsidRPr="00BA2CD8">
          <w:rPr>
            <w:rStyle w:val="Hyperlink"/>
          </w:rPr>
          <w:t>https://www.ecb.europa.eu/pub/pdf/scpops/ecbocp114.pdf</w:t>
        </w:r>
      </w:hyperlink>
      <w:r>
        <w:t xml:space="preserve"> ) and that is why we observe the period from 2009.</w:t>
      </w:r>
    </w:p>
  </w:footnote>
  <w:footnote w:id="9">
    <w:p w14:paraId="365BF1B3" w14:textId="77777777" w:rsidR="00C37564" w:rsidRPr="005A1085" w:rsidRDefault="00C37564" w:rsidP="00EB3B88">
      <w:pPr>
        <w:pStyle w:val="FootnoteText"/>
        <w:jc w:val="both"/>
      </w:pPr>
      <w:r>
        <w:rPr>
          <w:rStyle w:val="FootnoteReference"/>
        </w:rPr>
        <w:footnoteRef/>
      </w:r>
      <w:r>
        <w:t xml:space="preserve"> </w:t>
      </w:r>
      <w:r w:rsidRPr="005A1085">
        <w:rPr>
          <w:color w:val="000000"/>
          <w:lang w:val="hr-BA" w:eastAsia="hr-BA"/>
        </w:rPr>
        <w:t>The comman</w:t>
      </w:r>
      <w:r>
        <w:rPr>
          <w:color w:val="000000"/>
          <w:lang w:val="hr-BA" w:eastAsia="hr-BA"/>
        </w:rPr>
        <w:t>d "margins“</w:t>
      </w:r>
      <w:r w:rsidRPr="005A1085">
        <w:rPr>
          <w:color w:val="000000"/>
          <w:lang w:val="hr-BA" w:eastAsia="hr-BA"/>
        </w:rPr>
        <w:t xml:space="preserve"> (introduced in STATA11) does not report the marginal effects o</w:t>
      </w:r>
      <w:r>
        <w:rPr>
          <w:color w:val="000000"/>
          <w:lang w:val="hr-BA" w:eastAsia="hr-BA"/>
        </w:rPr>
        <w:t xml:space="preserve">f the interaction terms, since, </w:t>
      </w:r>
      <w:r w:rsidRPr="005A1085">
        <w:rPr>
          <w:color w:val="000000"/>
          <w:lang w:val="hr-BA" w:eastAsia="hr-BA"/>
        </w:rPr>
        <w:t>as sta</w:t>
      </w:r>
      <w:r>
        <w:rPr>
          <w:color w:val="000000"/>
          <w:lang w:val="hr-BA" w:eastAsia="hr-BA"/>
        </w:rPr>
        <w:t>ted in Williams (2012, p.329): '</w:t>
      </w:r>
      <w:r w:rsidRPr="005A1085">
        <w:rPr>
          <w:color w:val="000000"/>
          <w:lang w:val="hr-BA" w:eastAsia="hr-BA"/>
        </w:rPr>
        <w:t>The value of the interaction term cannot change independently of the values of the component terms, so you cannot estimate a sepa</w:t>
      </w:r>
      <w:r>
        <w:rPr>
          <w:color w:val="000000"/>
          <w:lang w:val="hr-BA" w:eastAsia="hr-BA"/>
        </w:rPr>
        <w:t>rate effect for the interaction.'</w:t>
      </w:r>
      <w:r w:rsidRPr="005A1085">
        <w:rPr>
          <w:color w:val="000000"/>
          <w:lang w:val="hr-BA" w:eastAsia="hr-BA"/>
        </w:rPr>
        <w:t xml:space="preserve">  </w:t>
      </w:r>
    </w:p>
  </w:footnote>
  <w:footnote w:id="10">
    <w:p w14:paraId="0CB92135" w14:textId="6FBE4487" w:rsidR="00C37564" w:rsidRPr="009D3D54" w:rsidRDefault="00C37564" w:rsidP="00A30DCF">
      <w:pPr>
        <w:pStyle w:val="FootnoteText"/>
        <w:jc w:val="both"/>
        <w:rPr>
          <w:lang w:val="en-US"/>
        </w:rPr>
      </w:pPr>
      <w:r>
        <w:rPr>
          <w:rStyle w:val="FootnoteReference"/>
        </w:rPr>
        <w:footnoteRef/>
      </w:r>
      <w:r>
        <w:t xml:space="preserve"> </w:t>
      </w:r>
      <w:r>
        <w:rPr>
          <w:lang w:val="en-US"/>
        </w:rPr>
        <w:t>‘If β is the coefficient on a dummy variable, say x</w:t>
      </w:r>
      <w:r w:rsidRPr="009D3D54">
        <w:rPr>
          <w:vertAlign w:val="subscript"/>
          <w:lang w:val="en-US"/>
        </w:rPr>
        <w:t>1</w:t>
      </w:r>
      <w:r>
        <w:rPr>
          <w:lang w:val="en-US"/>
        </w:rPr>
        <w:t>, when log(y) is the dependent variable, the exact percentage difference in the predicted y when x</w:t>
      </w:r>
      <w:r w:rsidRPr="009D3D54">
        <w:rPr>
          <w:vertAlign w:val="subscript"/>
          <w:lang w:val="en-US"/>
        </w:rPr>
        <w:t>1</w:t>
      </w:r>
      <w:r>
        <w:rPr>
          <w:lang w:val="en-US"/>
        </w:rPr>
        <w:t>=1 versus when x</w:t>
      </w:r>
      <w:r w:rsidRPr="009D3D54">
        <w:rPr>
          <w:vertAlign w:val="subscript"/>
          <w:lang w:val="en-US"/>
        </w:rPr>
        <w:t>1</w:t>
      </w:r>
      <w:r>
        <w:rPr>
          <w:lang w:val="en-US"/>
        </w:rPr>
        <w:t>=0 is 100·[exp(β</w:t>
      </w:r>
      <w:r w:rsidRPr="009D3D54">
        <w:rPr>
          <w:vertAlign w:val="superscript"/>
          <w:lang w:val="en-US"/>
        </w:rPr>
        <w:t>1</w:t>
      </w:r>
      <w:r>
        <w:rPr>
          <w:lang w:val="en-US"/>
        </w:rPr>
        <w:t>)-1]’ (Wooldridge, 2006, p. 238).</w:t>
      </w:r>
    </w:p>
  </w:footnote>
  <w:footnote w:id="11">
    <w:p w14:paraId="75A75763" w14:textId="2605420A" w:rsidR="00C37564" w:rsidRPr="001B61D9" w:rsidRDefault="00C37564" w:rsidP="001B61D9">
      <w:pPr>
        <w:pStyle w:val="FootnoteText"/>
        <w:jc w:val="both"/>
        <w:rPr>
          <w:lang w:val="en-US"/>
        </w:rPr>
      </w:pPr>
      <w:r w:rsidRPr="00061A5F">
        <w:rPr>
          <w:rStyle w:val="FootnoteReference"/>
        </w:rPr>
        <w:footnoteRef/>
      </w:r>
      <w:r w:rsidRPr="00061A5F">
        <w:t xml:space="preserve"> </w:t>
      </w:r>
      <w:bookmarkStart w:id="73" w:name="_Hlk21209392"/>
      <w:bookmarkStart w:id="74" w:name="_Hlk21209393"/>
      <w:bookmarkStart w:id="75" w:name="_Hlk21209394"/>
      <w:bookmarkStart w:id="76" w:name="_Hlk21209395"/>
      <w:r w:rsidRPr="00061A5F">
        <w:t>Additionally, we estimated Equation 1 only for (subsample of) the crisis and post-crisis period (2009-2015), which is the period in which most of the countries fought with low inflation rates and tried to stimulate price growth. The results are consistent and confirm findings from the initial estimation of Equation 2 (for the whole period) which implies that the effect of CBA is even larger in the GFC. However, since there are not many observations when only the period after 2009 is observed, and the number of instruments is very high relative to the number of observations, diagnostic failures rule out system GMM estimation of the model on separate samples. Hence, we do not report these results.</w:t>
      </w:r>
      <w:r w:rsidRPr="001B61D9">
        <w:t xml:space="preserve">  </w:t>
      </w:r>
      <w:bookmarkEnd w:id="73"/>
      <w:bookmarkEnd w:id="74"/>
      <w:bookmarkEnd w:id="75"/>
      <w:bookmarkEnd w:id="76"/>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5939"/>
    <w:multiLevelType w:val="hybridMultilevel"/>
    <w:tmpl w:val="7A8CE9BA"/>
    <w:lvl w:ilvl="0" w:tplc="7D1AF220">
      <w:start w:val="5"/>
      <w:numFmt w:val="bullet"/>
      <w:lvlText w:val="-"/>
      <w:lvlJc w:val="left"/>
      <w:pPr>
        <w:tabs>
          <w:tab w:val="num" w:pos="720"/>
        </w:tabs>
        <w:ind w:left="720" w:hanging="360"/>
      </w:pPr>
      <w:rPr>
        <w:rFonts w:ascii="Calibri" w:eastAsia="Times New Roman" w:hAnsi="Calibri"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A6B95"/>
    <w:multiLevelType w:val="hybridMultilevel"/>
    <w:tmpl w:val="E258DEC8"/>
    <w:lvl w:ilvl="0" w:tplc="858A81D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4E2D75"/>
    <w:multiLevelType w:val="hybridMultilevel"/>
    <w:tmpl w:val="3B36DA5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14640702"/>
    <w:multiLevelType w:val="hybridMultilevel"/>
    <w:tmpl w:val="88000188"/>
    <w:lvl w:ilvl="0" w:tplc="040C8B3C">
      <w:start w:val="1"/>
      <w:numFmt w:val="bullet"/>
      <w:lvlText w:val=""/>
      <w:lvlJc w:val="left"/>
      <w:pPr>
        <w:ind w:left="720" w:hanging="360"/>
      </w:pPr>
      <w:rPr>
        <w:rFonts w:ascii="Symbol" w:hAnsi="Symbol"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4C04014"/>
    <w:multiLevelType w:val="hybridMultilevel"/>
    <w:tmpl w:val="27149B0E"/>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5" w15:restartNumberingAfterBreak="0">
    <w:nsid w:val="15B16C8A"/>
    <w:multiLevelType w:val="hybridMultilevel"/>
    <w:tmpl w:val="7D464514"/>
    <w:lvl w:ilvl="0" w:tplc="101A0001">
      <w:start w:val="1"/>
      <w:numFmt w:val="bullet"/>
      <w:lvlText w:val=""/>
      <w:lvlJc w:val="left"/>
      <w:pPr>
        <w:tabs>
          <w:tab w:val="num" w:pos="720"/>
        </w:tabs>
        <w:ind w:left="720" w:hanging="360"/>
      </w:pPr>
      <w:rPr>
        <w:rFonts w:ascii="Symbol" w:hAnsi="Symbol" w:hint="default"/>
      </w:rPr>
    </w:lvl>
    <w:lvl w:ilvl="1" w:tplc="101A0003" w:tentative="1">
      <w:start w:val="1"/>
      <w:numFmt w:val="bullet"/>
      <w:lvlText w:val="o"/>
      <w:lvlJc w:val="left"/>
      <w:pPr>
        <w:tabs>
          <w:tab w:val="num" w:pos="1440"/>
        </w:tabs>
        <w:ind w:left="1440" w:hanging="360"/>
      </w:pPr>
      <w:rPr>
        <w:rFonts w:ascii="Courier New" w:hAnsi="Courier New" w:cs="Courier New" w:hint="default"/>
      </w:rPr>
    </w:lvl>
    <w:lvl w:ilvl="2" w:tplc="101A0005" w:tentative="1">
      <w:start w:val="1"/>
      <w:numFmt w:val="bullet"/>
      <w:lvlText w:val=""/>
      <w:lvlJc w:val="left"/>
      <w:pPr>
        <w:tabs>
          <w:tab w:val="num" w:pos="2160"/>
        </w:tabs>
        <w:ind w:left="2160" w:hanging="360"/>
      </w:pPr>
      <w:rPr>
        <w:rFonts w:ascii="Wingdings" w:hAnsi="Wingdings" w:hint="default"/>
      </w:rPr>
    </w:lvl>
    <w:lvl w:ilvl="3" w:tplc="101A0001" w:tentative="1">
      <w:start w:val="1"/>
      <w:numFmt w:val="bullet"/>
      <w:lvlText w:val=""/>
      <w:lvlJc w:val="left"/>
      <w:pPr>
        <w:tabs>
          <w:tab w:val="num" w:pos="2880"/>
        </w:tabs>
        <w:ind w:left="2880" w:hanging="360"/>
      </w:pPr>
      <w:rPr>
        <w:rFonts w:ascii="Symbol" w:hAnsi="Symbol" w:hint="default"/>
      </w:rPr>
    </w:lvl>
    <w:lvl w:ilvl="4" w:tplc="101A0003" w:tentative="1">
      <w:start w:val="1"/>
      <w:numFmt w:val="bullet"/>
      <w:lvlText w:val="o"/>
      <w:lvlJc w:val="left"/>
      <w:pPr>
        <w:tabs>
          <w:tab w:val="num" w:pos="3600"/>
        </w:tabs>
        <w:ind w:left="3600" w:hanging="360"/>
      </w:pPr>
      <w:rPr>
        <w:rFonts w:ascii="Courier New" w:hAnsi="Courier New" w:cs="Courier New" w:hint="default"/>
      </w:rPr>
    </w:lvl>
    <w:lvl w:ilvl="5" w:tplc="101A0005" w:tentative="1">
      <w:start w:val="1"/>
      <w:numFmt w:val="bullet"/>
      <w:lvlText w:val=""/>
      <w:lvlJc w:val="left"/>
      <w:pPr>
        <w:tabs>
          <w:tab w:val="num" w:pos="4320"/>
        </w:tabs>
        <w:ind w:left="4320" w:hanging="360"/>
      </w:pPr>
      <w:rPr>
        <w:rFonts w:ascii="Wingdings" w:hAnsi="Wingdings" w:hint="default"/>
      </w:rPr>
    </w:lvl>
    <w:lvl w:ilvl="6" w:tplc="101A0001" w:tentative="1">
      <w:start w:val="1"/>
      <w:numFmt w:val="bullet"/>
      <w:lvlText w:val=""/>
      <w:lvlJc w:val="left"/>
      <w:pPr>
        <w:tabs>
          <w:tab w:val="num" w:pos="5040"/>
        </w:tabs>
        <w:ind w:left="5040" w:hanging="360"/>
      </w:pPr>
      <w:rPr>
        <w:rFonts w:ascii="Symbol" w:hAnsi="Symbol" w:hint="default"/>
      </w:rPr>
    </w:lvl>
    <w:lvl w:ilvl="7" w:tplc="101A0003" w:tentative="1">
      <w:start w:val="1"/>
      <w:numFmt w:val="bullet"/>
      <w:lvlText w:val="o"/>
      <w:lvlJc w:val="left"/>
      <w:pPr>
        <w:tabs>
          <w:tab w:val="num" w:pos="5760"/>
        </w:tabs>
        <w:ind w:left="5760" w:hanging="360"/>
      </w:pPr>
      <w:rPr>
        <w:rFonts w:ascii="Courier New" w:hAnsi="Courier New" w:cs="Courier New" w:hint="default"/>
      </w:rPr>
    </w:lvl>
    <w:lvl w:ilvl="8" w:tplc="10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037F1"/>
    <w:multiLevelType w:val="hybridMultilevel"/>
    <w:tmpl w:val="A6A6D12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158BE"/>
    <w:multiLevelType w:val="hybridMultilevel"/>
    <w:tmpl w:val="A1A22F68"/>
    <w:lvl w:ilvl="0" w:tplc="453449C0">
      <w:start w:val="199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542A0"/>
    <w:multiLevelType w:val="hybridMultilevel"/>
    <w:tmpl w:val="27149B0E"/>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9" w15:restartNumberingAfterBreak="0">
    <w:nsid w:val="2C765C08"/>
    <w:multiLevelType w:val="hybridMultilevel"/>
    <w:tmpl w:val="B1323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B677C"/>
    <w:multiLevelType w:val="hybridMultilevel"/>
    <w:tmpl w:val="B09CDE8C"/>
    <w:lvl w:ilvl="0" w:tplc="6CBA9A6E">
      <w:start w:val="1"/>
      <w:numFmt w:val="bullet"/>
      <w:lvlText w:val=""/>
      <w:lvlJc w:val="left"/>
      <w:pPr>
        <w:tabs>
          <w:tab w:val="num" w:pos="720"/>
        </w:tabs>
        <w:ind w:left="720" w:hanging="360"/>
      </w:pPr>
      <w:rPr>
        <w:rFonts w:ascii="Symbol" w:hAnsi="Symbol" w:hint="default"/>
      </w:rPr>
    </w:lvl>
    <w:lvl w:ilvl="1" w:tplc="101A0003" w:tentative="1">
      <w:start w:val="1"/>
      <w:numFmt w:val="bullet"/>
      <w:lvlText w:val="o"/>
      <w:lvlJc w:val="left"/>
      <w:pPr>
        <w:tabs>
          <w:tab w:val="num" w:pos="1440"/>
        </w:tabs>
        <w:ind w:left="1440" w:hanging="360"/>
      </w:pPr>
      <w:rPr>
        <w:rFonts w:ascii="Courier New" w:hAnsi="Courier New" w:cs="Courier New" w:hint="default"/>
      </w:rPr>
    </w:lvl>
    <w:lvl w:ilvl="2" w:tplc="101A0005" w:tentative="1">
      <w:start w:val="1"/>
      <w:numFmt w:val="bullet"/>
      <w:lvlText w:val=""/>
      <w:lvlJc w:val="left"/>
      <w:pPr>
        <w:tabs>
          <w:tab w:val="num" w:pos="2160"/>
        </w:tabs>
        <w:ind w:left="2160" w:hanging="360"/>
      </w:pPr>
      <w:rPr>
        <w:rFonts w:ascii="Wingdings" w:hAnsi="Wingdings" w:hint="default"/>
      </w:rPr>
    </w:lvl>
    <w:lvl w:ilvl="3" w:tplc="101A0001" w:tentative="1">
      <w:start w:val="1"/>
      <w:numFmt w:val="bullet"/>
      <w:lvlText w:val=""/>
      <w:lvlJc w:val="left"/>
      <w:pPr>
        <w:tabs>
          <w:tab w:val="num" w:pos="2880"/>
        </w:tabs>
        <w:ind w:left="2880" w:hanging="360"/>
      </w:pPr>
      <w:rPr>
        <w:rFonts w:ascii="Symbol" w:hAnsi="Symbol" w:hint="default"/>
      </w:rPr>
    </w:lvl>
    <w:lvl w:ilvl="4" w:tplc="101A0003" w:tentative="1">
      <w:start w:val="1"/>
      <w:numFmt w:val="bullet"/>
      <w:lvlText w:val="o"/>
      <w:lvlJc w:val="left"/>
      <w:pPr>
        <w:tabs>
          <w:tab w:val="num" w:pos="3600"/>
        </w:tabs>
        <w:ind w:left="3600" w:hanging="360"/>
      </w:pPr>
      <w:rPr>
        <w:rFonts w:ascii="Courier New" w:hAnsi="Courier New" w:cs="Courier New" w:hint="default"/>
      </w:rPr>
    </w:lvl>
    <w:lvl w:ilvl="5" w:tplc="101A0005" w:tentative="1">
      <w:start w:val="1"/>
      <w:numFmt w:val="bullet"/>
      <w:lvlText w:val=""/>
      <w:lvlJc w:val="left"/>
      <w:pPr>
        <w:tabs>
          <w:tab w:val="num" w:pos="4320"/>
        </w:tabs>
        <w:ind w:left="4320" w:hanging="360"/>
      </w:pPr>
      <w:rPr>
        <w:rFonts w:ascii="Wingdings" w:hAnsi="Wingdings" w:hint="default"/>
      </w:rPr>
    </w:lvl>
    <w:lvl w:ilvl="6" w:tplc="101A0001" w:tentative="1">
      <w:start w:val="1"/>
      <w:numFmt w:val="bullet"/>
      <w:lvlText w:val=""/>
      <w:lvlJc w:val="left"/>
      <w:pPr>
        <w:tabs>
          <w:tab w:val="num" w:pos="5040"/>
        </w:tabs>
        <w:ind w:left="5040" w:hanging="360"/>
      </w:pPr>
      <w:rPr>
        <w:rFonts w:ascii="Symbol" w:hAnsi="Symbol" w:hint="default"/>
      </w:rPr>
    </w:lvl>
    <w:lvl w:ilvl="7" w:tplc="101A0003" w:tentative="1">
      <w:start w:val="1"/>
      <w:numFmt w:val="bullet"/>
      <w:lvlText w:val="o"/>
      <w:lvlJc w:val="left"/>
      <w:pPr>
        <w:tabs>
          <w:tab w:val="num" w:pos="5760"/>
        </w:tabs>
        <w:ind w:left="5760" w:hanging="360"/>
      </w:pPr>
      <w:rPr>
        <w:rFonts w:ascii="Courier New" w:hAnsi="Courier New" w:cs="Courier New" w:hint="default"/>
      </w:rPr>
    </w:lvl>
    <w:lvl w:ilvl="8" w:tplc="10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1102EC"/>
    <w:multiLevelType w:val="hybridMultilevel"/>
    <w:tmpl w:val="8D4E93CE"/>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12" w15:restartNumberingAfterBreak="0">
    <w:nsid w:val="413726F4"/>
    <w:multiLevelType w:val="hybridMultilevel"/>
    <w:tmpl w:val="408A4EEE"/>
    <w:lvl w:ilvl="0" w:tplc="6ECAB104">
      <w:numFmt w:val="bullet"/>
      <w:lvlText w:val="-"/>
      <w:lvlJc w:val="left"/>
      <w:pPr>
        <w:ind w:left="720" w:hanging="360"/>
      </w:pPr>
      <w:rPr>
        <w:rFonts w:ascii="Calibri" w:eastAsia="Calibri" w:hAnsi="Calibri" w:cs="Calibri"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1F16DD9"/>
    <w:multiLevelType w:val="hybridMultilevel"/>
    <w:tmpl w:val="CF2ED5A2"/>
    <w:lvl w:ilvl="0" w:tplc="194019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5D695C"/>
    <w:multiLevelType w:val="hybridMultilevel"/>
    <w:tmpl w:val="9D648D02"/>
    <w:lvl w:ilvl="0" w:tplc="6ECAB104">
      <w:numFmt w:val="bullet"/>
      <w:lvlText w:val="-"/>
      <w:lvlJc w:val="left"/>
      <w:pPr>
        <w:ind w:left="720" w:hanging="360"/>
      </w:pPr>
      <w:rPr>
        <w:rFonts w:ascii="Calibri" w:eastAsia="Calibri" w:hAnsi="Calibri" w:cs="Calibri"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479E3CB6"/>
    <w:multiLevelType w:val="hybridMultilevel"/>
    <w:tmpl w:val="93CC9934"/>
    <w:lvl w:ilvl="0" w:tplc="141A0001">
      <w:start w:val="1"/>
      <w:numFmt w:val="bullet"/>
      <w:lvlText w:val=""/>
      <w:lvlJc w:val="left"/>
      <w:pPr>
        <w:ind w:left="1426" w:hanging="360"/>
      </w:pPr>
      <w:rPr>
        <w:rFonts w:ascii="Symbol" w:hAnsi="Symbol" w:hint="default"/>
      </w:rPr>
    </w:lvl>
    <w:lvl w:ilvl="1" w:tplc="141A0003">
      <w:start w:val="1"/>
      <w:numFmt w:val="bullet"/>
      <w:lvlText w:val="o"/>
      <w:lvlJc w:val="left"/>
      <w:pPr>
        <w:ind w:left="2146" w:hanging="360"/>
      </w:pPr>
      <w:rPr>
        <w:rFonts w:ascii="Courier New" w:hAnsi="Courier New" w:cs="Courier New" w:hint="default"/>
      </w:rPr>
    </w:lvl>
    <w:lvl w:ilvl="2" w:tplc="141A0005" w:tentative="1">
      <w:start w:val="1"/>
      <w:numFmt w:val="bullet"/>
      <w:lvlText w:val=""/>
      <w:lvlJc w:val="left"/>
      <w:pPr>
        <w:ind w:left="2866" w:hanging="360"/>
      </w:pPr>
      <w:rPr>
        <w:rFonts w:ascii="Wingdings" w:hAnsi="Wingdings" w:hint="default"/>
      </w:rPr>
    </w:lvl>
    <w:lvl w:ilvl="3" w:tplc="141A0001" w:tentative="1">
      <w:start w:val="1"/>
      <w:numFmt w:val="bullet"/>
      <w:lvlText w:val=""/>
      <w:lvlJc w:val="left"/>
      <w:pPr>
        <w:ind w:left="3586" w:hanging="360"/>
      </w:pPr>
      <w:rPr>
        <w:rFonts w:ascii="Symbol" w:hAnsi="Symbol" w:hint="default"/>
      </w:rPr>
    </w:lvl>
    <w:lvl w:ilvl="4" w:tplc="141A0003" w:tentative="1">
      <w:start w:val="1"/>
      <w:numFmt w:val="bullet"/>
      <w:lvlText w:val="o"/>
      <w:lvlJc w:val="left"/>
      <w:pPr>
        <w:ind w:left="4306" w:hanging="360"/>
      </w:pPr>
      <w:rPr>
        <w:rFonts w:ascii="Courier New" w:hAnsi="Courier New" w:cs="Courier New" w:hint="default"/>
      </w:rPr>
    </w:lvl>
    <w:lvl w:ilvl="5" w:tplc="141A0005" w:tentative="1">
      <w:start w:val="1"/>
      <w:numFmt w:val="bullet"/>
      <w:lvlText w:val=""/>
      <w:lvlJc w:val="left"/>
      <w:pPr>
        <w:ind w:left="5026" w:hanging="360"/>
      </w:pPr>
      <w:rPr>
        <w:rFonts w:ascii="Wingdings" w:hAnsi="Wingdings" w:hint="default"/>
      </w:rPr>
    </w:lvl>
    <w:lvl w:ilvl="6" w:tplc="141A0001" w:tentative="1">
      <w:start w:val="1"/>
      <w:numFmt w:val="bullet"/>
      <w:lvlText w:val=""/>
      <w:lvlJc w:val="left"/>
      <w:pPr>
        <w:ind w:left="5746" w:hanging="360"/>
      </w:pPr>
      <w:rPr>
        <w:rFonts w:ascii="Symbol" w:hAnsi="Symbol" w:hint="default"/>
      </w:rPr>
    </w:lvl>
    <w:lvl w:ilvl="7" w:tplc="141A0003" w:tentative="1">
      <w:start w:val="1"/>
      <w:numFmt w:val="bullet"/>
      <w:lvlText w:val="o"/>
      <w:lvlJc w:val="left"/>
      <w:pPr>
        <w:ind w:left="6466" w:hanging="360"/>
      </w:pPr>
      <w:rPr>
        <w:rFonts w:ascii="Courier New" w:hAnsi="Courier New" w:cs="Courier New" w:hint="default"/>
      </w:rPr>
    </w:lvl>
    <w:lvl w:ilvl="8" w:tplc="141A0005" w:tentative="1">
      <w:start w:val="1"/>
      <w:numFmt w:val="bullet"/>
      <w:lvlText w:val=""/>
      <w:lvlJc w:val="left"/>
      <w:pPr>
        <w:ind w:left="7186" w:hanging="360"/>
      </w:pPr>
      <w:rPr>
        <w:rFonts w:ascii="Wingdings" w:hAnsi="Wingdings" w:hint="default"/>
      </w:rPr>
    </w:lvl>
  </w:abstractNum>
  <w:abstractNum w:abstractNumId="16" w15:restartNumberingAfterBreak="0">
    <w:nsid w:val="4892566E"/>
    <w:multiLevelType w:val="hybridMultilevel"/>
    <w:tmpl w:val="F0822E16"/>
    <w:lvl w:ilvl="0" w:tplc="7D1AF220">
      <w:start w:val="5"/>
      <w:numFmt w:val="bullet"/>
      <w:lvlText w:val="-"/>
      <w:lvlJc w:val="left"/>
      <w:pPr>
        <w:ind w:left="720" w:hanging="360"/>
      </w:pPr>
      <w:rPr>
        <w:rFonts w:ascii="Calibri" w:eastAsia="Times New Roman" w:hAnsi="Calibri"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7" w15:restartNumberingAfterBreak="0">
    <w:nsid w:val="4C1741EC"/>
    <w:multiLevelType w:val="hybridMultilevel"/>
    <w:tmpl w:val="4A2C0EA8"/>
    <w:lvl w:ilvl="0" w:tplc="5E568510">
      <w:numFmt w:val="bullet"/>
      <w:lvlText w:val="-"/>
      <w:lvlJc w:val="left"/>
      <w:pPr>
        <w:ind w:left="720" w:hanging="360"/>
      </w:pPr>
      <w:rPr>
        <w:rFonts w:ascii="Times New Roman" w:eastAsia="Calibri" w:hAnsi="Times New Roman" w:cs="Times New Roman"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8" w15:restartNumberingAfterBreak="0">
    <w:nsid w:val="4F9B2262"/>
    <w:multiLevelType w:val="multilevel"/>
    <w:tmpl w:val="5FE43C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54340931"/>
    <w:multiLevelType w:val="hybridMultilevel"/>
    <w:tmpl w:val="72F6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085651"/>
    <w:multiLevelType w:val="hybridMultilevel"/>
    <w:tmpl w:val="5032253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5EFD6AE3"/>
    <w:multiLevelType w:val="hybridMultilevel"/>
    <w:tmpl w:val="9BD23340"/>
    <w:lvl w:ilvl="0" w:tplc="6ECAB104">
      <w:numFmt w:val="bullet"/>
      <w:lvlText w:val="-"/>
      <w:lvlJc w:val="left"/>
      <w:pPr>
        <w:ind w:left="720" w:hanging="360"/>
      </w:pPr>
      <w:rPr>
        <w:rFonts w:ascii="Calibri" w:eastAsia="Times New Roman" w:hAnsi="Calibri"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22" w15:restartNumberingAfterBreak="0">
    <w:nsid w:val="617B665E"/>
    <w:multiLevelType w:val="hybridMultilevel"/>
    <w:tmpl w:val="C7160FA8"/>
    <w:lvl w:ilvl="0" w:tplc="DC44D8A6">
      <w:start w:val="1"/>
      <w:numFmt w:val="bullet"/>
      <w:lvlText w:val="•"/>
      <w:lvlJc w:val="left"/>
      <w:pPr>
        <w:tabs>
          <w:tab w:val="num" w:pos="720"/>
        </w:tabs>
        <w:ind w:left="720" w:hanging="360"/>
      </w:pPr>
      <w:rPr>
        <w:rFonts w:ascii="Times New Roman" w:hAnsi="Times New Roman" w:hint="default"/>
      </w:rPr>
    </w:lvl>
    <w:lvl w:ilvl="1" w:tplc="E0886BA4">
      <w:start w:val="913"/>
      <w:numFmt w:val="bullet"/>
      <w:lvlText w:val="–"/>
      <w:lvlJc w:val="left"/>
      <w:pPr>
        <w:tabs>
          <w:tab w:val="num" w:pos="1440"/>
        </w:tabs>
        <w:ind w:left="1440" w:hanging="360"/>
      </w:pPr>
      <w:rPr>
        <w:rFonts w:ascii="Times New Roman" w:hAnsi="Times New Roman" w:hint="default"/>
      </w:rPr>
    </w:lvl>
    <w:lvl w:ilvl="2" w:tplc="0F50E9F8" w:tentative="1">
      <w:start w:val="1"/>
      <w:numFmt w:val="bullet"/>
      <w:lvlText w:val="•"/>
      <w:lvlJc w:val="left"/>
      <w:pPr>
        <w:tabs>
          <w:tab w:val="num" w:pos="2160"/>
        </w:tabs>
        <w:ind w:left="2160" w:hanging="360"/>
      </w:pPr>
      <w:rPr>
        <w:rFonts w:ascii="Times New Roman" w:hAnsi="Times New Roman" w:hint="default"/>
      </w:rPr>
    </w:lvl>
    <w:lvl w:ilvl="3" w:tplc="869CB130" w:tentative="1">
      <w:start w:val="1"/>
      <w:numFmt w:val="bullet"/>
      <w:lvlText w:val="•"/>
      <w:lvlJc w:val="left"/>
      <w:pPr>
        <w:tabs>
          <w:tab w:val="num" w:pos="2880"/>
        </w:tabs>
        <w:ind w:left="2880" w:hanging="360"/>
      </w:pPr>
      <w:rPr>
        <w:rFonts w:ascii="Times New Roman" w:hAnsi="Times New Roman" w:hint="default"/>
      </w:rPr>
    </w:lvl>
    <w:lvl w:ilvl="4" w:tplc="F2D0D7A8" w:tentative="1">
      <w:start w:val="1"/>
      <w:numFmt w:val="bullet"/>
      <w:lvlText w:val="•"/>
      <w:lvlJc w:val="left"/>
      <w:pPr>
        <w:tabs>
          <w:tab w:val="num" w:pos="3600"/>
        </w:tabs>
        <w:ind w:left="3600" w:hanging="360"/>
      </w:pPr>
      <w:rPr>
        <w:rFonts w:ascii="Times New Roman" w:hAnsi="Times New Roman" w:hint="default"/>
      </w:rPr>
    </w:lvl>
    <w:lvl w:ilvl="5" w:tplc="EBD4A98A" w:tentative="1">
      <w:start w:val="1"/>
      <w:numFmt w:val="bullet"/>
      <w:lvlText w:val="•"/>
      <w:lvlJc w:val="left"/>
      <w:pPr>
        <w:tabs>
          <w:tab w:val="num" w:pos="4320"/>
        </w:tabs>
        <w:ind w:left="4320" w:hanging="360"/>
      </w:pPr>
      <w:rPr>
        <w:rFonts w:ascii="Times New Roman" w:hAnsi="Times New Roman" w:hint="default"/>
      </w:rPr>
    </w:lvl>
    <w:lvl w:ilvl="6" w:tplc="C5FCF152" w:tentative="1">
      <w:start w:val="1"/>
      <w:numFmt w:val="bullet"/>
      <w:lvlText w:val="•"/>
      <w:lvlJc w:val="left"/>
      <w:pPr>
        <w:tabs>
          <w:tab w:val="num" w:pos="5040"/>
        </w:tabs>
        <w:ind w:left="5040" w:hanging="360"/>
      </w:pPr>
      <w:rPr>
        <w:rFonts w:ascii="Times New Roman" w:hAnsi="Times New Roman" w:hint="default"/>
      </w:rPr>
    </w:lvl>
    <w:lvl w:ilvl="7" w:tplc="620A8C7C" w:tentative="1">
      <w:start w:val="1"/>
      <w:numFmt w:val="bullet"/>
      <w:lvlText w:val="•"/>
      <w:lvlJc w:val="left"/>
      <w:pPr>
        <w:tabs>
          <w:tab w:val="num" w:pos="5760"/>
        </w:tabs>
        <w:ind w:left="5760" w:hanging="360"/>
      </w:pPr>
      <w:rPr>
        <w:rFonts w:ascii="Times New Roman" w:hAnsi="Times New Roman" w:hint="default"/>
      </w:rPr>
    </w:lvl>
    <w:lvl w:ilvl="8" w:tplc="EA28AAE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2812ADF"/>
    <w:multiLevelType w:val="hybridMultilevel"/>
    <w:tmpl w:val="BE9E4F54"/>
    <w:lvl w:ilvl="0" w:tplc="6ECAB104">
      <w:numFmt w:val="bullet"/>
      <w:lvlText w:val="-"/>
      <w:lvlJc w:val="left"/>
      <w:pPr>
        <w:ind w:left="720" w:hanging="360"/>
      </w:pPr>
      <w:rPr>
        <w:rFonts w:ascii="Calibri" w:eastAsia="Calibri" w:hAnsi="Calibri" w:cs="Calibri"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6B5B46A3"/>
    <w:multiLevelType w:val="hybridMultilevel"/>
    <w:tmpl w:val="2018B3A0"/>
    <w:lvl w:ilvl="0" w:tplc="6ECAB104">
      <w:numFmt w:val="bullet"/>
      <w:lvlText w:val="-"/>
      <w:lvlJc w:val="left"/>
      <w:pPr>
        <w:ind w:left="1428" w:hanging="360"/>
      </w:pPr>
      <w:rPr>
        <w:rFonts w:ascii="Calibri" w:eastAsia="Calibri" w:hAnsi="Calibri" w:cs="Calibri"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25" w15:restartNumberingAfterBreak="0">
    <w:nsid w:val="6D06453B"/>
    <w:multiLevelType w:val="hybridMultilevel"/>
    <w:tmpl w:val="616CCE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525E6E"/>
    <w:multiLevelType w:val="multilevel"/>
    <w:tmpl w:val="B09CDE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D2972"/>
    <w:multiLevelType w:val="hybridMultilevel"/>
    <w:tmpl w:val="B7606184"/>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7D566E5"/>
    <w:multiLevelType w:val="hybridMultilevel"/>
    <w:tmpl w:val="52F2A162"/>
    <w:lvl w:ilvl="0" w:tplc="6ECAB104">
      <w:numFmt w:val="bullet"/>
      <w:lvlText w:val="-"/>
      <w:lvlJc w:val="left"/>
      <w:pPr>
        <w:ind w:left="720" w:hanging="360"/>
      </w:pPr>
      <w:rPr>
        <w:rFonts w:ascii="Calibri" w:eastAsia="Calibri" w:hAnsi="Calibri" w:cs="Calibri"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9" w15:restartNumberingAfterBreak="0">
    <w:nsid w:val="784A77DA"/>
    <w:multiLevelType w:val="multilevel"/>
    <w:tmpl w:val="7D4645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D2762E"/>
    <w:multiLevelType w:val="hybridMultilevel"/>
    <w:tmpl w:val="1458F180"/>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15:restartNumberingAfterBreak="0">
    <w:nsid w:val="7F65134A"/>
    <w:multiLevelType w:val="hybridMultilevel"/>
    <w:tmpl w:val="A344DF0E"/>
    <w:lvl w:ilvl="0" w:tplc="3264740E">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890DFF"/>
    <w:multiLevelType w:val="hybridMultilevel"/>
    <w:tmpl w:val="05AE3D4E"/>
    <w:lvl w:ilvl="0" w:tplc="3264740E">
      <w:numFmt w:val="bullet"/>
      <w:lvlText w:val="-"/>
      <w:lvlJc w:val="left"/>
      <w:pPr>
        <w:ind w:left="720" w:hanging="360"/>
      </w:pPr>
      <w:rPr>
        <w:rFonts w:ascii="Times New Roman" w:eastAsia="Calibri"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8"/>
  </w:num>
  <w:num w:numId="4">
    <w:abstractNumId w:val="5"/>
  </w:num>
  <w:num w:numId="5">
    <w:abstractNumId w:val="29"/>
  </w:num>
  <w:num w:numId="6">
    <w:abstractNumId w:val="10"/>
  </w:num>
  <w:num w:numId="7">
    <w:abstractNumId w:val="26"/>
  </w:num>
  <w:num w:numId="8">
    <w:abstractNumId w:val="25"/>
  </w:num>
  <w:num w:numId="9">
    <w:abstractNumId w:val="2"/>
  </w:num>
  <w:num w:numId="10">
    <w:abstractNumId w:val="14"/>
  </w:num>
  <w:num w:numId="11">
    <w:abstractNumId w:val="22"/>
  </w:num>
  <w:num w:numId="12">
    <w:abstractNumId w:val="3"/>
  </w:num>
  <w:num w:numId="13">
    <w:abstractNumId w:val="4"/>
  </w:num>
  <w:num w:numId="14">
    <w:abstractNumId w:val="27"/>
  </w:num>
  <w:num w:numId="15">
    <w:abstractNumId w:val="8"/>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7"/>
  </w:num>
  <w:num w:numId="19">
    <w:abstractNumId w:val="16"/>
  </w:num>
  <w:num w:numId="20">
    <w:abstractNumId w:val="0"/>
  </w:num>
  <w:num w:numId="21">
    <w:abstractNumId w:val="31"/>
  </w:num>
  <w:num w:numId="22">
    <w:abstractNumId w:val="30"/>
  </w:num>
  <w:num w:numId="23">
    <w:abstractNumId w:val="32"/>
  </w:num>
  <w:num w:numId="24">
    <w:abstractNumId w:val="20"/>
  </w:num>
  <w:num w:numId="25">
    <w:abstractNumId w:val="15"/>
  </w:num>
  <w:num w:numId="26">
    <w:abstractNumId w:val="23"/>
  </w:num>
  <w:num w:numId="27">
    <w:abstractNumId w:val="12"/>
  </w:num>
  <w:num w:numId="28">
    <w:abstractNumId w:val="7"/>
  </w:num>
  <w:num w:numId="29">
    <w:abstractNumId w:val="1"/>
  </w:num>
  <w:num w:numId="30">
    <w:abstractNumId w:val="13"/>
  </w:num>
  <w:num w:numId="31">
    <w:abstractNumId w:val="28"/>
  </w:num>
  <w:num w:numId="32">
    <w:abstractNumId w:val="9"/>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8EE"/>
    <w:rsid w:val="00001B25"/>
    <w:rsid w:val="0000200A"/>
    <w:rsid w:val="00002200"/>
    <w:rsid w:val="0000350D"/>
    <w:rsid w:val="00003706"/>
    <w:rsid w:val="000078F1"/>
    <w:rsid w:val="000119C7"/>
    <w:rsid w:val="0001737E"/>
    <w:rsid w:val="0002577B"/>
    <w:rsid w:val="00025C45"/>
    <w:rsid w:val="00037386"/>
    <w:rsid w:val="00040198"/>
    <w:rsid w:val="00046951"/>
    <w:rsid w:val="00050C44"/>
    <w:rsid w:val="00056267"/>
    <w:rsid w:val="00061A5F"/>
    <w:rsid w:val="00062EFA"/>
    <w:rsid w:val="00063DD3"/>
    <w:rsid w:val="00064100"/>
    <w:rsid w:val="000650D9"/>
    <w:rsid w:val="0007085A"/>
    <w:rsid w:val="00073C11"/>
    <w:rsid w:val="000751B1"/>
    <w:rsid w:val="00075EEE"/>
    <w:rsid w:val="000819AD"/>
    <w:rsid w:val="00083B76"/>
    <w:rsid w:val="0008521D"/>
    <w:rsid w:val="000870E1"/>
    <w:rsid w:val="00094682"/>
    <w:rsid w:val="00094B84"/>
    <w:rsid w:val="000973DD"/>
    <w:rsid w:val="000A0945"/>
    <w:rsid w:val="000A1B47"/>
    <w:rsid w:val="000A6065"/>
    <w:rsid w:val="000A638B"/>
    <w:rsid w:val="000B697F"/>
    <w:rsid w:val="000B6A29"/>
    <w:rsid w:val="000C05AC"/>
    <w:rsid w:val="000C22DE"/>
    <w:rsid w:val="000C3059"/>
    <w:rsid w:val="000C6357"/>
    <w:rsid w:val="000C7CC7"/>
    <w:rsid w:val="000D4C39"/>
    <w:rsid w:val="000D58FE"/>
    <w:rsid w:val="000D6FBE"/>
    <w:rsid w:val="000E2A17"/>
    <w:rsid w:val="000E61A2"/>
    <w:rsid w:val="000F208E"/>
    <w:rsid w:val="000F22FA"/>
    <w:rsid w:val="000F4F63"/>
    <w:rsid w:val="00101AA2"/>
    <w:rsid w:val="00110006"/>
    <w:rsid w:val="00111F48"/>
    <w:rsid w:val="00114FBD"/>
    <w:rsid w:val="00115002"/>
    <w:rsid w:val="00122009"/>
    <w:rsid w:val="00122961"/>
    <w:rsid w:val="001246AC"/>
    <w:rsid w:val="001251DF"/>
    <w:rsid w:val="00126E2E"/>
    <w:rsid w:val="0013229D"/>
    <w:rsid w:val="001337A0"/>
    <w:rsid w:val="00134DE3"/>
    <w:rsid w:val="00135F4C"/>
    <w:rsid w:val="00141576"/>
    <w:rsid w:val="00142D2F"/>
    <w:rsid w:val="00143095"/>
    <w:rsid w:val="00144AD7"/>
    <w:rsid w:val="001510AA"/>
    <w:rsid w:val="00151C04"/>
    <w:rsid w:val="00152004"/>
    <w:rsid w:val="001558B4"/>
    <w:rsid w:val="00156305"/>
    <w:rsid w:val="00156608"/>
    <w:rsid w:val="00166F01"/>
    <w:rsid w:val="00167C2C"/>
    <w:rsid w:val="001719E0"/>
    <w:rsid w:val="0017237B"/>
    <w:rsid w:val="0017718C"/>
    <w:rsid w:val="00187684"/>
    <w:rsid w:val="00193096"/>
    <w:rsid w:val="001A0207"/>
    <w:rsid w:val="001A15EE"/>
    <w:rsid w:val="001B10D2"/>
    <w:rsid w:val="001B161C"/>
    <w:rsid w:val="001B3BED"/>
    <w:rsid w:val="001B4990"/>
    <w:rsid w:val="001B61D9"/>
    <w:rsid w:val="001C5756"/>
    <w:rsid w:val="001C5A6B"/>
    <w:rsid w:val="001C729B"/>
    <w:rsid w:val="001C7693"/>
    <w:rsid w:val="001E31C8"/>
    <w:rsid w:val="001E31D5"/>
    <w:rsid w:val="001E54D6"/>
    <w:rsid w:val="001E684D"/>
    <w:rsid w:val="001E746D"/>
    <w:rsid w:val="001F1430"/>
    <w:rsid w:val="002058C0"/>
    <w:rsid w:val="00215150"/>
    <w:rsid w:val="0022555B"/>
    <w:rsid w:val="002255D3"/>
    <w:rsid w:val="00231324"/>
    <w:rsid w:val="002359A2"/>
    <w:rsid w:val="002360DF"/>
    <w:rsid w:val="0025671A"/>
    <w:rsid w:val="0026282D"/>
    <w:rsid w:val="00262BCD"/>
    <w:rsid w:val="002642C6"/>
    <w:rsid w:val="00270DDE"/>
    <w:rsid w:val="002711B4"/>
    <w:rsid w:val="0027644C"/>
    <w:rsid w:val="00281197"/>
    <w:rsid w:val="00282CBD"/>
    <w:rsid w:val="002846F4"/>
    <w:rsid w:val="00284F4D"/>
    <w:rsid w:val="00294B5D"/>
    <w:rsid w:val="00294F65"/>
    <w:rsid w:val="00295831"/>
    <w:rsid w:val="002A756C"/>
    <w:rsid w:val="002C53EF"/>
    <w:rsid w:val="002D0F34"/>
    <w:rsid w:val="002D5388"/>
    <w:rsid w:val="002D77A6"/>
    <w:rsid w:val="002E0837"/>
    <w:rsid w:val="002E145B"/>
    <w:rsid w:val="002E157C"/>
    <w:rsid w:val="002E52D3"/>
    <w:rsid w:val="002E6C71"/>
    <w:rsid w:val="002F0CDD"/>
    <w:rsid w:val="002F25BA"/>
    <w:rsid w:val="002F2676"/>
    <w:rsid w:val="002F2FC1"/>
    <w:rsid w:val="002F7755"/>
    <w:rsid w:val="003007D2"/>
    <w:rsid w:val="00303D2A"/>
    <w:rsid w:val="00312699"/>
    <w:rsid w:val="00312876"/>
    <w:rsid w:val="0031583F"/>
    <w:rsid w:val="00317B87"/>
    <w:rsid w:val="0032737C"/>
    <w:rsid w:val="003405FC"/>
    <w:rsid w:val="003419A0"/>
    <w:rsid w:val="0034459C"/>
    <w:rsid w:val="003454F7"/>
    <w:rsid w:val="00346C48"/>
    <w:rsid w:val="00351A56"/>
    <w:rsid w:val="00351FBA"/>
    <w:rsid w:val="0035316D"/>
    <w:rsid w:val="00354EE7"/>
    <w:rsid w:val="0035639C"/>
    <w:rsid w:val="003570D6"/>
    <w:rsid w:val="00361E06"/>
    <w:rsid w:val="003634D0"/>
    <w:rsid w:val="00363A95"/>
    <w:rsid w:val="00364B97"/>
    <w:rsid w:val="003660AD"/>
    <w:rsid w:val="0036650D"/>
    <w:rsid w:val="00370685"/>
    <w:rsid w:val="00372EBE"/>
    <w:rsid w:val="00375036"/>
    <w:rsid w:val="003877D3"/>
    <w:rsid w:val="003A2C21"/>
    <w:rsid w:val="003A2C39"/>
    <w:rsid w:val="003A5AAB"/>
    <w:rsid w:val="003B0074"/>
    <w:rsid w:val="003B2BE0"/>
    <w:rsid w:val="003C0568"/>
    <w:rsid w:val="003C22D1"/>
    <w:rsid w:val="003C4046"/>
    <w:rsid w:val="003C7877"/>
    <w:rsid w:val="003D29BD"/>
    <w:rsid w:val="003D6188"/>
    <w:rsid w:val="003E0EFC"/>
    <w:rsid w:val="003E217A"/>
    <w:rsid w:val="003E2423"/>
    <w:rsid w:val="003E7F74"/>
    <w:rsid w:val="003F12EE"/>
    <w:rsid w:val="003F7135"/>
    <w:rsid w:val="0040241B"/>
    <w:rsid w:val="0040346F"/>
    <w:rsid w:val="00404D27"/>
    <w:rsid w:val="004136E9"/>
    <w:rsid w:val="0041711F"/>
    <w:rsid w:val="0042173F"/>
    <w:rsid w:val="004224AF"/>
    <w:rsid w:val="00422A00"/>
    <w:rsid w:val="004236ED"/>
    <w:rsid w:val="00433EFD"/>
    <w:rsid w:val="00434694"/>
    <w:rsid w:val="00436C77"/>
    <w:rsid w:val="00436C90"/>
    <w:rsid w:val="004503A0"/>
    <w:rsid w:val="00451E42"/>
    <w:rsid w:val="00456238"/>
    <w:rsid w:val="00456EEA"/>
    <w:rsid w:val="004617AF"/>
    <w:rsid w:val="00467178"/>
    <w:rsid w:val="0047026A"/>
    <w:rsid w:val="00472091"/>
    <w:rsid w:val="00472E14"/>
    <w:rsid w:val="00472E57"/>
    <w:rsid w:val="00473659"/>
    <w:rsid w:val="00474E05"/>
    <w:rsid w:val="00476280"/>
    <w:rsid w:val="004764AB"/>
    <w:rsid w:val="0048098C"/>
    <w:rsid w:val="00481429"/>
    <w:rsid w:val="00481591"/>
    <w:rsid w:val="00481C24"/>
    <w:rsid w:val="00490ECA"/>
    <w:rsid w:val="00493886"/>
    <w:rsid w:val="00494406"/>
    <w:rsid w:val="0049792A"/>
    <w:rsid w:val="00497A0A"/>
    <w:rsid w:val="004A5478"/>
    <w:rsid w:val="004B1F04"/>
    <w:rsid w:val="004B267C"/>
    <w:rsid w:val="004B44EC"/>
    <w:rsid w:val="004B6A46"/>
    <w:rsid w:val="004C773C"/>
    <w:rsid w:val="004D30CA"/>
    <w:rsid w:val="004D574B"/>
    <w:rsid w:val="004D6071"/>
    <w:rsid w:val="004E245D"/>
    <w:rsid w:val="004E3C10"/>
    <w:rsid w:val="004E40E5"/>
    <w:rsid w:val="004F0E4C"/>
    <w:rsid w:val="004F1DA2"/>
    <w:rsid w:val="004F544C"/>
    <w:rsid w:val="004F55AF"/>
    <w:rsid w:val="004F7EBF"/>
    <w:rsid w:val="00500994"/>
    <w:rsid w:val="005009EB"/>
    <w:rsid w:val="005022B6"/>
    <w:rsid w:val="00512895"/>
    <w:rsid w:val="00512F3C"/>
    <w:rsid w:val="00513C42"/>
    <w:rsid w:val="00515310"/>
    <w:rsid w:val="00522DEF"/>
    <w:rsid w:val="00531432"/>
    <w:rsid w:val="00533779"/>
    <w:rsid w:val="0055096B"/>
    <w:rsid w:val="00550D1A"/>
    <w:rsid w:val="005536A6"/>
    <w:rsid w:val="00557899"/>
    <w:rsid w:val="005639AC"/>
    <w:rsid w:val="00575A28"/>
    <w:rsid w:val="00575AC8"/>
    <w:rsid w:val="00577106"/>
    <w:rsid w:val="00584B08"/>
    <w:rsid w:val="00585B47"/>
    <w:rsid w:val="005923CB"/>
    <w:rsid w:val="005B2084"/>
    <w:rsid w:val="005B4834"/>
    <w:rsid w:val="005B56B1"/>
    <w:rsid w:val="005B763D"/>
    <w:rsid w:val="005C4493"/>
    <w:rsid w:val="005D065F"/>
    <w:rsid w:val="005D0CDF"/>
    <w:rsid w:val="005D29AE"/>
    <w:rsid w:val="005D445A"/>
    <w:rsid w:val="005D594E"/>
    <w:rsid w:val="005E0DDF"/>
    <w:rsid w:val="005E34E0"/>
    <w:rsid w:val="005E55C9"/>
    <w:rsid w:val="005F320D"/>
    <w:rsid w:val="005F3A1D"/>
    <w:rsid w:val="005F5812"/>
    <w:rsid w:val="005F7086"/>
    <w:rsid w:val="00603CB5"/>
    <w:rsid w:val="006054E5"/>
    <w:rsid w:val="00607454"/>
    <w:rsid w:val="006113CE"/>
    <w:rsid w:val="00622536"/>
    <w:rsid w:val="00626357"/>
    <w:rsid w:val="00634706"/>
    <w:rsid w:val="0063643C"/>
    <w:rsid w:val="00636D20"/>
    <w:rsid w:val="00636F90"/>
    <w:rsid w:val="00643241"/>
    <w:rsid w:val="00644763"/>
    <w:rsid w:val="006554B1"/>
    <w:rsid w:val="0065643F"/>
    <w:rsid w:val="00657613"/>
    <w:rsid w:val="00660646"/>
    <w:rsid w:val="006657BE"/>
    <w:rsid w:val="006716C8"/>
    <w:rsid w:val="00676692"/>
    <w:rsid w:val="00680E57"/>
    <w:rsid w:val="00682BE3"/>
    <w:rsid w:val="00685AB3"/>
    <w:rsid w:val="00694333"/>
    <w:rsid w:val="00695D36"/>
    <w:rsid w:val="00696476"/>
    <w:rsid w:val="00696567"/>
    <w:rsid w:val="00696827"/>
    <w:rsid w:val="00696D2C"/>
    <w:rsid w:val="006A2875"/>
    <w:rsid w:val="006A70E1"/>
    <w:rsid w:val="006A768D"/>
    <w:rsid w:val="006B0479"/>
    <w:rsid w:val="006B7350"/>
    <w:rsid w:val="006C1970"/>
    <w:rsid w:val="006C1A38"/>
    <w:rsid w:val="006C1F2A"/>
    <w:rsid w:val="006C2D06"/>
    <w:rsid w:val="006E0DD6"/>
    <w:rsid w:val="006E4FEA"/>
    <w:rsid w:val="006E51A2"/>
    <w:rsid w:val="006E5BBF"/>
    <w:rsid w:val="006F539A"/>
    <w:rsid w:val="006F5678"/>
    <w:rsid w:val="007012D4"/>
    <w:rsid w:val="00701949"/>
    <w:rsid w:val="00701F8B"/>
    <w:rsid w:val="00702DC1"/>
    <w:rsid w:val="0070472B"/>
    <w:rsid w:val="007057C8"/>
    <w:rsid w:val="00706193"/>
    <w:rsid w:val="00710B07"/>
    <w:rsid w:val="00710CD7"/>
    <w:rsid w:val="00711CAB"/>
    <w:rsid w:val="0072163E"/>
    <w:rsid w:val="00727628"/>
    <w:rsid w:val="0073133A"/>
    <w:rsid w:val="00734661"/>
    <w:rsid w:val="00736BDE"/>
    <w:rsid w:val="00737856"/>
    <w:rsid w:val="00743B9C"/>
    <w:rsid w:val="007449E4"/>
    <w:rsid w:val="007462B7"/>
    <w:rsid w:val="00750C37"/>
    <w:rsid w:val="00753582"/>
    <w:rsid w:val="00754D90"/>
    <w:rsid w:val="0075609B"/>
    <w:rsid w:val="007567FF"/>
    <w:rsid w:val="00756D91"/>
    <w:rsid w:val="00761620"/>
    <w:rsid w:val="00761C61"/>
    <w:rsid w:val="0076387F"/>
    <w:rsid w:val="00764DF9"/>
    <w:rsid w:val="00765492"/>
    <w:rsid w:val="0077419A"/>
    <w:rsid w:val="00777435"/>
    <w:rsid w:val="00782541"/>
    <w:rsid w:val="00783FEC"/>
    <w:rsid w:val="00787EE7"/>
    <w:rsid w:val="00792DB7"/>
    <w:rsid w:val="00792FD1"/>
    <w:rsid w:val="007A0A0A"/>
    <w:rsid w:val="007A242B"/>
    <w:rsid w:val="007A499E"/>
    <w:rsid w:val="007A65E8"/>
    <w:rsid w:val="007A7D47"/>
    <w:rsid w:val="007C1429"/>
    <w:rsid w:val="007C2017"/>
    <w:rsid w:val="007C27F7"/>
    <w:rsid w:val="007C533D"/>
    <w:rsid w:val="007D3AF3"/>
    <w:rsid w:val="007D53D1"/>
    <w:rsid w:val="007E1932"/>
    <w:rsid w:val="007F5D0E"/>
    <w:rsid w:val="007F73B7"/>
    <w:rsid w:val="00810472"/>
    <w:rsid w:val="00815955"/>
    <w:rsid w:val="00815F13"/>
    <w:rsid w:val="00816C4D"/>
    <w:rsid w:val="00820CFD"/>
    <w:rsid w:val="00824F8F"/>
    <w:rsid w:val="00832081"/>
    <w:rsid w:val="0083294E"/>
    <w:rsid w:val="00833695"/>
    <w:rsid w:val="008340FA"/>
    <w:rsid w:val="00834B1D"/>
    <w:rsid w:val="0084000D"/>
    <w:rsid w:val="008444FF"/>
    <w:rsid w:val="00844BFF"/>
    <w:rsid w:val="0085030F"/>
    <w:rsid w:val="0085732A"/>
    <w:rsid w:val="00857D59"/>
    <w:rsid w:val="0086050E"/>
    <w:rsid w:val="00881D6B"/>
    <w:rsid w:val="008845AE"/>
    <w:rsid w:val="00890BF6"/>
    <w:rsid w:val="00891196"/>
    <w:rsid w:val="008A1690"/>
    <w:rsid w:val="008A2B4A"/>
    <w:rsid w:val="008A714B"/>
    <w:rsid w:val="008B03C5"/>
    <w:rsid w:val="008B25B9"/>
    <w:rsid w:val="008C6A85"/>
    <w:rsid w:val="008D2221"/>
    <w:rsid w:val="008E2F58"/>
    <w:rsid w:val="008E498B"/>
    <w:rsid w:val="008E7CFA"/>
    <w:rsid w:val="008F2660"/>
    <w:rsid w:val="009051CF"/>
    <w:rsid w:val="009056C3"/>
    <w:rsid w:val="00905E98"/>
    <w:rsid w:val="0090644D"/>
    <w:rsid w:val="00911E9E"/>
    <w:rsid w:val="00917F7B"/>
    <w:rsid w:val="009211B3"/>
    <w:rsid w:val="00923F08"/>
    <w:rsid w:val="009270F1"/>
    <w:rsid w:val="009408EE"/>
    <w:rsid w:val="00943095"/>
    <w:rsid w:val="009448C7"/>
    <w:rsid w:val="009449BC"/>
    <w:rsid w:val="00945F9D"/>
    <w:rsid w:val="00950444"/>
    <w:rsid w:val="00950D68"/>
    <w:rsid w:val="00957F6F"/>
    <w:rsid w:val="0096014D"/>
    <w:rsid w:val="00961876"/>
    <w:rsid w:val="0096623F"/>
    <w:rsid w:val="00967810"/>
    <w:rsid w:val="00974680"/>
    <w:rsid w:val="00976127"/>
    <w:rsid w:val="0098013F"/>
    <w:rsid w:val="009826A3"/>
    <w:rsid w:val="00986F82"/>
    <w:rsid w:val="00987928"/>
    <w:rsid w:val="00990395"/>
    <w:rsid w:val="009911AB"/>
    <w:rsid w:val="00993DDE"/>
    <w:rsid w:val="009947DD"/>
    <w:rsid w:val="009A31F4"/>
    <w:rsid w:val="009A40F5"/>
    <w:rsid w:val="009A4FBA"/>
    <w:rsid w:val="009A6E2E"/>
    <w:rsid w:val="009B3A90"/>
    <w:rsid w:val="009B5F2C"/>
    <w:rsid w:val="009B74D8"/>
    <w:rsid w:val="009B7DDE"/>
    <w:rsid w:val="009C0E04"/>
    <w:rsid w:val="009D0435"/>
    <w:rsid w:val="009D6D91"/>
    <w:rsid w:val="009E078C"/>
    <w:rsid w:val="009E15F3"/>
    <w:rsid w:val="009E5226"/>
    <w:rsid w:val="009E59C1"/>
    <w:rsid w:val="009F2DC6"/>
    <w:rsid w:val="00A00E0E"/>
    <w:rsid w:val="00A075C9"/>
    <w:rsid w:val="00A07B53"/>
    <w:rsid w:val="00A1147E"/>
    <w:rsid w:val="00A13C4A"/>
    <w:rsid w:val="00A22137"/>
    <w:rsid w:val="00A23A6F"/>
    <w:rsid w:val="00A23ADF"/>
    <w:rsid w:val="00A30DCF"/>
    <w:rsid w:val="00A316E6"/>
    <w:rsid w:val="00A43802"/>
    <w:rsid w:val="00A52A5B"/>
    <w:rsid w:val="00A557B4"/>
    <w:rsid w:val="00A60FE6"/>
    <w:rsid w:val="00A6203D"/>
    <w:rsid w:val="00A65802"/>
    <w:rsid w:val="00A665F7"/>
    <w:rsid w:val="00A66D2D"/>
    <w:rsid w:val="00A679F7"/>
    <w:rsid w:val="00A67ADC"/>
    <w:rsid w:val="00A71F71"/>
    <w:rsid w:val="00A733D7"/>
    <w:rsid w:val="00A74CE8"/>
    <w:rsid w:val="00A76359"/>
    <w:rsid w:val="00A77E95"/>
    <w:rsid w:val="00A821AA"/>
    <w:rsid w:val="00A84453"/>
    <w:rsid w:val="00A86CDB"/>
    <w:rsid w:val="00A92DA9"/>
    <w:rsid w:val="00AA183C"/>
    <w:rsid w:val="00AA264B"/>
    <w:rsid w:val="00AA2F7B"/>
    <w:rsid w:val="00AB55DF"/>
    <w:rsid w:val="00AB71F6"/>
    <w:rsid w:val="00AC1F50"/>
    <w:rsid w:val="00AC2A21"/>
    <w:rsid w:val="00AC4C1E"/>
    <w:rsid w:val="00AD3FDC"/>
    <w:rsid w:val="00AD5F5B"/>
    <w:rsid w:val="00AD63DD"/>
    <w:rsid w:val="00AD6B15"/>
    <w:rsid w:val="00AE1A0D"/>
    <w:rsid w:val="00AE3800"/>
    <w:rsid w:val="00AF077D"/>
    <w:rsid w:val="00AF0E8F"/>
    <w:rsid w:val="00AF1D57"/>
    <w:rsid w:val="00AF332D"/>
    <w:rsid w:val="00AF4346"/>
    <w:rsid w:val="00AF5B4F"/>
    <w:rsid w:val="00AF6B62"/>
    <w:rsid w:val="00AF7007"/>
    <w:rsid w:val="00B045A7"/>
    <w:rsid w:val="00B04D20"/>
    <w:rsid w:val="00B05E14"/>
    <w:rsid w:val="00B14DC5"/>
    <w:rsid w:val="00B158CA"/>
    <w:rsid w:val="00B22EDC"/>
    <w:rsid w:val="00B23D81"/>
    <w:rsid w:val="00B30E98"/>
    <w:rsid w:val="00B3159A"/>
    <w:rsid w:val="00B3329B"/>
    <w:rsid w:val="00B33FE2"/>
    <w:rsid w:val="00B43493"/>
    <w:rsid w:val="00B4495B"/>
    <w:rsid w:val="00B47D69"/>
    <w:rsid w:val="00B511C6"/>
    <w:rsid w:val="00B56C23"/>
    <w:rsid w:val="00B60071"/>
    <w:rsid w:val="00B60A26"/>
    <w:rsid w:val="00B72BB1"/>
    <w:rsid w:val="00B769A2"/>
    <w:rsid w:val="00B833C1"/>
    <w:rsid w:val="00B8455B"/>
    <w:rsid w:val="00B93B31"/>
    <w:rsid w:val="00B97690"/>
    <w:rsid w:val="00BA3006"/>
    <w:rsid w:val="00BA5A5F"/>
    <w:rsid w:val="00BA7C17"/>
    <w:rsid w:val="00BB1050"/>
    <w:rsid w:val="00BB1372"/>
    <w:rsid w:val="00BB219F"/>
    <w:rsid w:val="00BB65CE"/>
    <w:rsid w:val="00BC0B41"/>
    <w:rsid w:val="00BC17C8"/>
    <w:rsid w:val="00BD3953"/>
    <w:rsid w:val="00BD46C7"/>
    <w:rsid w:val="00BD7F65"/>
    <w:rsid w:val="00BE10A9"/>
    <w:rsid w:val="00BE1EB0"/>
    <w:rsid w:val="00BE3522"/>
    <w:rsid w:val="00BE45D5"/>
    <w:rsid w:val="00BF03AD"/>
    <w:rsid w:val="00BF1EE3"/>
    <w:rsid w:val="00BF5951"/>
    <w:rsid w:val="00BF78AA"/>
    <w:rsid w:val="00C02F3D"/>
    <w:rsid w:val="00C13BC1"/>
    <w:rsid w:val="00C1436E"/>
    <w:rsid w:val="00C14596"/>
    <w:rsid w:val="00C14A5A"/>
    <w:rsid w:val="00C217CD"/>
    <w:rsid w:val="00C231DC"/>
    <w:rsid w:val="00C302CC"/>
    <w:rsid w:val="00C3456B"/>
    <w:rsid w:val="00C350F1"/>
    <w:rsid w:val="00C3557A"/>
    <w:rsid w:val="00C373EB"/>
    <w:rsid w:val="00C37564"/>
    <w:rsid w:val="00C426EF"/>
    <w:rsid w:val="00C46248"/>
    <w:rsid w:val="00C531AA"/>
    <w:rsid w:val="00C54F1D"/>
    <w:rsid w:val="00C57B33"/>
    <w:rsid w:val="00C652C0"/>
    <w:rsid w:val="00C90EFA"/>
    <w:rsid w:val="00C97C14"/>
    <w:rsid w:val="00CA1649"/>
    <w:rsid w:val="00CA187B"/>
    <w:rsid w:val="00CA19F2"/>
    <w:rsid w:val="00CA37BC"/>
    <w:rsid w:val="00CA4DB8"/>
    <w:rsid w:val="00CA6553"/>
    <w:rsid w:val="00CB226D"/>
    <w:rsid w:val="00CB3356"/>
    <w:rsid w:val="00CB3562"/>
    <w:rsid w:val="00CB5275"/>
    <w:rsid w:val="00CB7AB1"/>
    <w:rsid w:val="00CC01C8"/>
    <w:rsid w:val="00CC15E8"/>
    <w:rsid w:val="00CC754F"/>
    <w:rsid w:val="00CD1E8A"/>
    <w:rsid w:val="00CD2B7B"/>
    <w:rsid w:val="00CD3132"/>
    <w:rsid w:val="00CD33FB"/>
    <w:rsid w:val="00CD34D9"/>
    <w:rsid w:val="00CD4AB1"/>
    <w:rsid w:val="00CD5A69"/>
    <w:rsid w:val="00CE38AA"/>
    <w:rsid w:val="00CF1366"/>
    <w:rsid w:val="00D02E1B"/>
    <w:rsid w:val="00D03725"/>
    <w:rsid w:val="00D0625B"/>
    <w:rsid w:val="00D122CF"/>
    <w:rsid w:val="00D2022D"/>
    <w:rsid w:val="00D264ED"/>
    <w:rsid w:val="00D26FB7"/>
    <w:rsid w:val="00D27CD2"/>
    <w:rsid w:val="00D27FC8"/>
    <w:rsid w:val="00D3169D"/>
    <w:rsid w:val="00D31C4E"/>
    <w:rsid w:val="00D325F6"/>
    <w:rsid w:val="00D35D5D"/>
    <w:rsid w:val="00D37098"/>
    <w:rsid w:val="00D404D5"/>
    <w:rsid w:val="00D4295F"/>
    <w:rsid w:val="00D44517"/>
    <w:rsid w:val="00D4548D"/>
    <w:rsid w:val="00D51B87"/>
    <w:rsid w:val="00D53BEB"/>
    <w:rsid w:val="00D540EC"/>
    <w:rsid w:val="00D5645A"/>
    <w:rsid w:val="00D567D9"/>
    <w:rsid w:val="00D56DE2"/>
    <w:rsid w:val="00D61153"/>
    <w:rsid w:val="00D65D03"/>
    <w:rsid w:val="00D67E07"/>
    <w:rsid w:val="00D76569"/>
    <w:rsid w:val="00D8292F"/>
    <w:rsid w:val="00D900AE"/>
    <w:rsid w:val="00D92A52"/>
    <w:rsid w:val="00D953E2"/>
    <w:rsid w:val="00DA3223"/>
    <w:rsid w:val="00DA4E92"/>
    <w:rsid w:val="00DA5EA8"/>
    <w:rsid w:val="00DA6B34"/>
    <w:rsid w:val="00DB0C81"/>
    <w:rsid w:val="00DB5033"/>
    <w:rsid w:val="00DB605D"/>
    <w:rsid w:val="00DC4103"/>
    <w:rsid w:val="00DC53C8"/>
    <w:rsid w:val="00DC5630"/>
    <w:rsid w:val="00DD36C0"/>
    <w:rsid w:val="00DE5B5C"/>
    <w:rsid w:val="00DF1E3B"/>
    <w:rsid w:val="00DF6538"/>
    <w:rsid w:val="00E033FE"/>
    <w:rsid w:val="00E170B5"/>
    <w:rsid w:val="00E17934"/>
    <w:rsid w:val="00E2105D"/>
    <w:rsid w:val="00E2582C"/>
    <w:rsid w:val="00E4236E"/>
    <w:rsid w:val="00E432BB"/>
    <w:rsid w:val="00E43E2A"/>
    <w:rsid w:val="00E4639E"/>
    <w:rsid w:val="00E50BF5"/>
    <w:rsid w:val="00E52287"/>
    <w:rsid w:val="00E5320B"/>
    <w:rsid w:val="00E53E71"/>
    <w:rsid w:val="00E56206"/>
    <w:rsid w:val="00E63336"/>
    <w:rsid w:val="00E66D56"/>
    <w:rsid w:val="00E67B66"/>
    <w:rsid w:val="00E73029"/>
    <w:rsid w:val="00E822A6"/>
    <w:rsid w:val="00E91FC2"/>
    <w:rsid w:val="00E9331F"/>
    <w:rsid w:val="00E951AC"/>
    <w:rsid w:val="00E95A8D"/>
    <w:rsid w:val="00E96051"/>
    <w:rsid w:val="00E97E36"/>
    <w:rsid w:val="00EA32BC"/>
    <w:rsid w:val="00EA68ED"/>
    <w:rsid w:val="00EB2854"/>
    <w:rsid w:val="00EB3B88"/>
    <w:rsid w:val="00EB3BBB"/>
    <w:rsid w:val="00EB4F9A"/>
    <w:rsid w:val="00EC1F59"/>
    <w:rsid w:val="00EC3C79"/>
    <w:rsid w:val="00EC3E32"/>
    <w:rsid w:val="00ED175D"/>
    <w:rsid w:val="00ED1A75"/>
    <w:rsid w:val="00ED281D"/>
    <w:rsid w:val="00ED362F"/>
    <w:rsid w:val="00ED39D0"/>
    <w:rsid w:val="00ED6492"/>
    <w:rsid w:val="00ED6FF6"/>
    <w:rsid w:val="00EE03E9"/>
    <w:rsid w:val="00EE2973"/>
    <w:rsid w:val="00EE515F"/>
    <w:rsid w:val="00EE56AE"/>
    <w:rsid w:val="00EF5A16"/>
    <w:rsid w:val="00EF78A9"/>
    <w:rsid w:val="00F00D5D"/>
    <w:rsid w:val="00F043C7"/>
    <w:rsid w:val="00F05D61"/>
    <w:rsid w:val="00F05E66"/>
    <w:rsid w:val="00F06E4C"/>
    <w:rsid w:val="00F11C87"/>
    <w:rsid w:val="00F11F81"/>
    <w:rsid w:val="00F128FF"/>
    <w:rsid w:val="00F12E38"/>
    <w:rsid w:val="00F22895"/>
    <w:rsid w:val="00F22D60"/>
    <w:rsid w:val="00F27890"/>
    <w:rsid w:val="00F3045C"/>
    <w:rsid w:val="00F34314"/>
    <w:rsid w:val="00F34924"/>
    <w:rsid w:val="00F36E25"/>
    <w:rsid w:val="00F3754B"/>
    <w:rsid w:val="00F5182F"/>
    <w:rsid w:val="00F53F54"/>
    <w:rsid w:val="00F54139"/>
    <w:rsid w:val="00F55701"/>
    <w:rsid w:val="00F60DB2"/>
    <w:rsid w:val="00F641C7"/>
    <w:rsid w:val="00F70DF3"/>
    <w:rsid w:val="00F715AE"/>
    <w:rsid w:val="00F76602"/>
    <w:rsid w:val="00F8199F"/>
    <w:rsid w:val="00F81A78"/>
    <w:rsid w:val="00F90FF6"/>
    <w:rsid w:val="00F91161"/>
    <w:rsid w:val="00F94A91"/>
    <w:rsid w:val="00FA157C"/>
    <w:rsid w:val="00FA186E"/>
    <w:rsid w:val="00FA35FB"/>
    <w:rsid w:val="00FA5146"/>
    <w:rsid w:val="00FA5904"/>
    <w:rsid w:val="00FA5FFB"/>
    <w:rsid w:val="00FB066C"/>
    <w:rsid w:val="00FB13E1"/>
    <w:rsid w:val="00FB2E77"/>
    <w:rsid w:val="00FB439F"/>
    <w:rsid w:val="00FC2AA1"/>
    <w:rsid w:val="00FC402C"/>
    <w:rsid w:val="00FD0995"/>
    <w:rsid w:val="00FD1EAF"/>
    <w:rsid w:val="00FD216C"/>
    <w:rsid w:val="00FD26DA"/>
    <w:rsid w:val="00FD3828"/>
    <w:rsid w:val="00FD5D89"/>
    <w:rsid w:val="00FD7E77"/>
    <w:rsid w:val="00FE2C53"/>
    <w:rsid w:val="00FF1D41"/>
    <w:rsid w:val="00FF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4172"/>
  <w15:chartTrackingRefBased/>
  <w15:docId w15:val="{DE2EF031-22F6-4323-B943-ACC89A5F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08EE"/>
    <w:pPr>
      <w:spacing w:after="0" w:line="240" w:lineRule="auto"/>
    </w:pPr>
    <w:rPr>
      <w:rFonts w:ascii="Calibri" w:hAnsi="Calibri" w:cs="Times New Roman"/>
      <w:sz w:val="20"/>
      <w:szCs w:val="20"/>
      <w:lang w:val="en-GB"/>
    </w:rPr>
  </w:style>
  <w:style w:type="paragraph" w:styleId="Heading1">
    <w:name w:val="heading 1"/>
    <w:basedOn w:val="Normal"/>
    <w:next w:val="Normal"/>
    <w:link w:val="Heading1Char"/>
    <w:uiPriority w:val="9"/>
    <w:qFormat/>
    <w:rsid w:val="009408EE"/>
    <w:pPr>
      <w:keepNext/>
      <w:spacing w:before="12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9408EE"/>
    <w:pPr>
      <w:keepNext/>
      <w:spacing w:before="120"/>
      <w:outlineLvl w:val="1"/>
    </w:pPr>
    <w:rPr>
      <w:rFonts w:ascii="Times New Roman" w:eastAsia="Times New Roman" w:hAnsi="Times New Roman"/>
      <w:b/>
      <w:bCs/>
      <w:iCs/>
      <w:sz w:val="24"/>
      <w:szCs w:val="28"/>
    </w:rPr>
  </w:style>
  <w:style w:type="paragraph" w:styleId="Heading3">
    <w:name w:val="heading 3"/>
    <w:basedOn w:val="Normal"/>
    <w:next w:val="Normal"/>
    <w:link w:val="Heading3Char"/>
    <w:uiPriority w:val="9"/>
    <w:unhideWhenUsed/>
    <w:qFormat/>
    <w:rsid w:val="009408EE"/>
    <w:pPr>
      <w:keepNext/>
      <w:spacing w:before="120"/>
      <w:outlineLvl w:val="2"/>
    </w:pPr>
    <w:rPr>
      <w:rFonts w:ascii="Times New Roman" w:eastAsia="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8EE"/>
    <w:rPr>
      <w:rFonts w:ascii="Times New Roman" w:eastAsia="Times New Roman" w:hAnsi="Times New Roman" w:cs="Times New Roman"/>
      <w:b/>
      <w:bCs/>
      <w:kern w:val="32"/>
      <w:sz w:val="24"/>
      <w:szCs w:val="32"/>
      <w:lang w:val="en-GB"/>
    </w:rPr>
  </w:style>
  <w:style w:type="character" w:customStyle="1" w:styleId="Heading2Char">
    <w:name w:val="Heading 2 Char"/>
    <w:basedOn w:val="DefaultParagraphFont"/>
    <w:link w:val="Heading2"/>
    <w:uiPriority w:val="9"/>
    <w:rsid w:val="009408EE"/>
    <w:rPr>
      <w:rFonts w:ascii="Times New Roman" w:eastAsia="Times New Roman" w:hAnsi="Times New Roman" w:cs="Times New Roman"/>
      <w:b/>
      <w:bCs/>
      <w:iCs/>
      <w:sz w:val="24"/>
      <w:szCs w:val="28"/>
      <w:lang w:val="en-GB"/>
    </w:rPr>
  </w:style>
  <w:style w:type="character" w:customStyle="1" w:styleId="Heading3Char">
    <w:name w:val="Heading 3 Char"/>
    <w:basedOn w:val="DefaultParagraphFont"/>
    <w:link w:val="Heading3"/>
    <w:uiPriority w:val="9"/>
    <w:rsid w:val="009408EE"/>
    <w:rPr>
      <w:rFonts w:ascii="Times New Roman" w:eastAsia="Times New Roman" w:hAnsi="Times New Roman" w:cs="Times New Roman"/>
      <w:b/>
      <w:bCs/>
      <w:sz w:val="24"/>
      <w:szCs w:val="26"/>
      <w:lang w:val="en-GB"/>
    </w:rPr>
  </w:style>
  <w:style w:type="paragraph" w:customStyle="1" w:styleId="Tables">
    <w:name w:val="Tables"/>
    <w:basedOn w:val="Normal"/>
    <w:link w:val="TablesChar"/>
    <w:autoRedefine/>
    <w:qFormat/>
    <w:rsid w:val="00AB55DF"/>
    <w:pPr>
      <w:autoSpaceDE w:val="0"/>
      <w:autoSpaceDN w:val="0"/>
      <w:adjustRightInd w:val="0"/>
      <w:spacing w:line="276" w:lineRule="auto"/>
    </w:pPr>
    <w:rPr>
      <w:rFonts w:ascii="Times New Roman" w:hAnsi="Times New Roman"/>
      <w:sz w:val="24"/>
      <w:szCs w:val="24"/>
      <w:lang w:eastAsia="en-GB"/>
    </w:rPr>
  </w:style>
  <w:style w:type="character" w:customStyle="1" w:styleId="TablesChar">
    <w:name w:val="Tables Char"/>
    <w:basedOn w:val="DefaultParagraphFont"/>
    <w:link w:val="Tables"/>
    <w:rsid w:val="00AB55DF"/>
    <w:rPr>
      <w:rFonts w:ascii="Times New Roman" w:hAnsi="Times New Roman" w:cs="Times New Roman"/>
      <w:sz w:val="24"/>
      <w:szCs w:val="24"/>
      <w:lang w:val="en-GB" w:eastAsia="en-GB"/>
    </w:rPr>
  </w:style>
  <w:style w:type="paragraph" w:customStyle="1" w:styleId="Figures">
    <w:name w:val="Figures"/>
    <w:basedOn w:val="Normal"/>
    <w:link w:val="FiguresChar"/>
    <w:qFormat/>
    <w:rsid w:val="009408EE"/>
    <w:pPr>
      <w:spacing w:line="360" w:lineRule="auto"/>
      <w:jc w:val="both"/>
    </w:pPr>
    <w:rPr>
      <w:rFonts w:ascii="Times New Roman" w:eastAsia="Calibri" w:hAnsi="Times New Roman" w:cs="Calibri"/>
      <w:sz w:val="24"/>
      <w:szCs w:val="24"/>
    </w:rPr>
  </w:style>
  <w:style w:type="character" w:customStyle="1" w:styleId="FiguresChar">
    <w:name w:val="Figures Char"/>
    <w:basedOn w:val="DefaultParagraphFont"/>
    <w:link w:val="Figures"/>
    <w:rsid w:val="009408EE"/>
    <w:rPr>
      <w:rFonts w:ascii="Times New Roman" w:eastAsia="Calibri" w:hAnsi="Times New Roman" w:cs="Calibri"/>
      <w:sz w:val="24"/>
      <w:szCs w:val="24"/>
      <w:lang w:val="en-GB"/>
    </w:rPr>
  </w:style>
  <w:style w:type="paragraph" w:styleId="FootnoteText">
    <w:name w:val="footnote text"/>
    <w:basedOn w:val="Normal"/>
    <w:link w:val="FootnoteTextChar"/>
    <w:uiPriority w:val="99"/>
    <w:rsid w:val="009408EE"/>
    <w:rPr>
      <w:rFonts w:ascii="Times New Roman" w:eastAsia="Calibri" w:hAnsi="Times New Roman"/>
      <w:lang w:val="hr-HR"/>
    </w:rPr>
  </w:style>
  <w:style w:type="character" w:customStyle="1" w:styleId="FootnoteTextChar">
    <w:name w:val="Footnote Text Char"/>
    <w:basedOn w:val="DefaultParagraphFont"/>
    <w:link w:val="FootnoteText"/>
    <w:uiPriority w:val="99"/>
    <w:rsid w:val="009408EE"/>
    <w:rPr>
      <w:rFonts w:ascii="Times New Roman" w:eastAsia="Calibri" w:hAnsi="Times New Roman" w:cs="Times New Roman"/>
      <w:sz w:val="20"/>
      <w:szCs w:val="20"/>
      <w:lang w:val="hr-HR"/>
    </w:rPr>
  </w:style>
  <w:style w:type="character" w:styleId="FootnoteReference">
    <w:name w:val="footnote reference"/>
    <w:uiPriority w:val="99"/>
    <w:rsid w:val="009408EE"/>
    <w:rPr>
      <w:vertAlign w:val="superscript"/>
    </w:rPr>
  </w:style>
  <w:style w:type="paragraph" w:styleId="Header">
    <w:name w:val="header"/>
    <w:basedOn w:val="Normal"/>
    <w:link w:val="HeaderChar"/>
    <w:uiPriority w:val="99"/>
    <w:rsid w:val="009408EE"/>
    <w:pPr>
      <w:tabs>
        <w:tab w:val="center" w:pos="4536"/>
        <w:tab w:val="right" w:pos="9072"/>
      </w:tabs>
    </w:pPr>
    <w:rPr>
      <w:rFonts w:eastAsia="Calibri"/>
    </w:rPr>
  </w:style>
  <w:style w:type="character" w:customStyle="1" w:styleId="HeaderChar">
    <w:name w:val="Header Char"/>
    <w:basedOn w:val="DefaultParagraphFont"/>
    <w:link w:val="Header"/>
    <w:uiPriority w:val="99"/>
    <w:rsid w:val="009408EE"/>
    <w:rPr>
      <w:rFonts w:ascii="Calibri" w:eastAsia="Calibri" w:hAnsi="Calibri" w:cs="Times New Roman"/>
      <w:sz w:val="20"/>
      <w:szCs w:val="20"/>
      <w:lang w:val="en-GB"/>
    </w:rPr>
  </w:style>
  <w:style w:type="paragraph" w:styleId="Footer">
    <w:name w:val="footer"/>
    <w:basedOn w:val="Normal"/>
    <w:link w:val="FooterChar"/>
    <w:uiPriority w:val="99"/>
    <w:rsid w:val="009408EE"/>
    <w:pPr>
      <w:tabs>
        <w:tab w:val="center" w:pos="4536"/>
        <w:tab w:val="right" w:pos="9072"/>
      </w:tabs>
    </w:pPr>
    <w:rPr>
      <w:rFonts w:eastAsia="Calibri"/>
    </w:rPr>
  </w:style>
  <w:style w:type="character" w:customStyle="1" w:styleId="FooterChar">
    <w:name w:val="Footer Char"/>
    <w:basedOn w:val="DefaultParagraphFont"/>
    <w:link w:val="Footer"/>
    <w:uiPriority w:val="99"/>
    <w:rsid w:val="009408EE"/>
    <w:rPr>
      <w:rFonts w:ascii="Calibri" w:eastAsia="Calibri" w:hAnsi="Calibri" w:cs="Times New Roman"/>
      <w:sz w:val="20"/>
      <w:szCs w:val="20"/>
      <w:lang w:val="en-GB"/>
    </w:rPr>
  </w:style>
  <w:style w:type="table" w:styleId="TableGrid">
    <w:name w:val="Table Grid"/>
    <w:basedOn w:val="TableNormal"/>
    <w:uiPriority w:val="59"/>
    <w:rsid w:val="009408EE"/>
    <w:pPr>
      <w:spacing w:after="0" w:line="240" w:lineRule="auto"/>
    </w:pPr>
    <w:rPr>
      <w:rFonts w:ascii="Calibri" w:eastAsia="Calibri"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408EE"/>
    <w:rPr>
      <w:color w:val="0000FF"/>
      <w:u w:val="single"/>
    </w:rPr>
  </w:style>
  <w:style w:type="paragraph" w:styleId="BalloonText">
    <w:name w:val="Balloon Text"/>
    <w:basedOn w:val="Normal"/>
    <w:link w:val="BalloonTextChar"/>
    <w:uiPriority w:val="99"/>
    <w:semiHidden/>
    <w:rsid w:val="009408EE"/>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9408EE"/>
    <w:rPr>
      <w:rFonts w:ascii="Tahoma" w:eastAsia="Calibri" w:hAnsi="Tahoma" w:cs="Times New Roman"/>
      <w:sz w:val="16"/>
      <w:szCs w:val="16"/>
      <w:lang w:val="en-GB"/>
    </w:rPr>
  </w:style>
  <w:style w:type="paragraph" w:styleId="ListParagraph">
    <w:name w:val="List Paragraph"/>
    <w:basedOn w:val="Normal"/>
    <w:uiPriority w:val="34"/>
    <w:qFormat/>
    <w:rsid w:val="009408EE"/>
    <w:pPr>
      <w:ind w:left="720"/>
    </w:pPr>
  </w:style>
  <w:style w:type="character" w:styleId="FollowedHyperlink">
    <w:name w:val="FollowedHyperlink"/>
    <w:rsid w:val="009408EE"/>
    <w:rPr>
      <w:color w:val="800080"/>
      <w:u w:val="single"/>
    </w:rPr>
  </w:style>
  <w:style w:type="character" w:styleId="CommentReference">
    <w:name w:val="annotation reference"/>
    <w:uiPriority w:val="99"/>
    <w:semiHidden/>
    <w:rsid w:val="009408EE"/>
    <w:rPr>
      <w:sz w:val="16"/>
      <w:szCs w:val="16"/>
    </w:rPr>
  </w:style>
  <w:style w:type="paragraph" w:styleId="CommentText">
    <w:name w:val="annotation text"/>
    <w:basedOn w:val="Normal"/>
    <w:link w:val="CommentTextChar"/>
    <w:uiPriority w:val="99"/>
    <w:rsid w:val="009408EE"/>
    <w:rPr>
      <w:rFonts w:eastAsia="Calibri"/>
    </w:rPr>
  </w:style>
  <w:style w:type="character" w:customStyle="1" w:styleId="CommentTextChar">
    <w:name w:val="Comment Text Char"/>
    <w:basedOn w:val="DefaultParagraphFont"/>
    <w:link w:val="CommentText"/>
    <w:uiPriority w:val="99"/>
    <w:rsid w:val="009408EE"/>
    <w:rPr>
      <w:rFonts w:ascii="Calibri" w:eastAsia="Calibri" w:hAnsi="Calibri" w:cs="Times New Roman"/>
      <w:sz w:val="20"/>
      <w:szCs w:val="20"/>
      <w:lang w:val="en-GB"/>
    </w:rPr>
  </w:style>
  <w:style w:type="paragraph" w:customStyle="1" w:styleId="Default">
    <w:name w:val="Default"/>
    <w:rsid w:val="009408EE"/>
    <w:pPr>
      <w:autoSpaceDE w:val="0"/>
      <w:autoSpaceDN w:val="0"/>
      <w:adjustRightInd w:val="0"/>
      <w:spacing w:after="0" w:line="240" w:lineRule="auto"/>
    </w:pPr>
    <w:rPr>
      <w:rFonts w:ascii="ITC Franklin Gothic Std Med" w:eastAsia="Times New Roman" w:hAnsi="ITC Franklin Gothic Std Med" w:cs="ITC Franklin Gothic Std Med"/>
      <w:color w:val="000000"/>
      <w:sz w:val="24"/>
      <w:szCs w:val="24"/>
      <w:lang w:val="hr-BA" w:eastAsia="hr-BA"/>
    </w:rPr>
  </w:style>
  <w:style w:type="paragraph" w:customStyle="1" w:styleId="Pa6">
    <w:name w:val="Pa6"/>
    <w:basedOn w:val="Default"/>
    <w:next w:val="Default"/>
    <w:rsid w:val="009408EE"/>
    <w:pPr>
      <w:spacing w:line="201" w:lineRule="atLeast"/>
    </w:pPr>
    <w:rPr>
      <w:rFonts w:ascii="ITC Franklin Gothic Std Book" w:hAnsi="ITC Franklin Gothic Std Book" w:cs="Times New Roman"/>
      <w:color w:val="auto"/>
    </w:rPr>
  </w:style>
  <w:style w:type="paragraph" w:styleId="Bibliography">
    <w:name w:val="Bibliography"/>
    <w:basedOn w:val="Normal"/>
    <w:next w:val="Normal"/>
    <w:uiPriority w:val="37"/>
    <w:unhideWhenUsed/>
    <w:rsid w:val="009408EE"/>
  </w:style>
  <w:style w:type="paragraph" w:styleId="CommentSubject">
    <w:name w:val="annotation subject"/>
    <w:basedOn w:val="CommentText"/>
    <w:next w:val="CommentText"/>
    <w:link w:val="CommentSubjectChar"/>
    <w:uiPriority w:val="99"/>
    <w:semiHidden/>
    <w:rsid w:val="009408EE"/>
    <w:rPr>
      <w:rFonts w:cs="Calibri"/>
      <w:b/>
      <w:bCs/>
    </w:rPr>
  </w:style>
  <w:style w:type="character" w:customStyle="1" w:styleId="CommentSubjectChar">
    <w:name w:val="Comment Subject Char"/>
    <w:basedOn w:val="CommentTextChar"/>
    <w:link w:val="CommentSubject"/>
    <w:uiPriority w:val="99"/>
    <w:semiHidden/>
    <w:rsid w:val="009408EE"/>
    <w:rPr>
      <w:rFonts w:ascii="Calibri" w:eastAsia="Calibri" w:hAnsi="Calibri" w:cs="Calibri"/>
      <w:b/>
      <w:bCs/>
      <w:sz w:val="20"/>
      <w:szCs w:val="20"/>
      <w:lang w:val="en-GB"/>
    </w:rPr>
  </w:style>
  <w:style w:type="character" w:customStyle="1" w:styleId="hps">
    <w:name w:val="hps"/>
    <w:basedOn w:val="DefaultParagraphFont"/>
    <w:rsid w:val="009408EE"/>
  </w:style>
  <w:style w:type="character" w:customStyle="1" w:styleId="alt-edited1">
    <w:name w:val="alt-edited1"/>
    <w:rsid w:val="009408EE"/>
    <w:rPr>
      <w:color w:val="4D90F0"/>
    </w:rPr>
  </w:style>
  <w:style w:type="paragraph" w:styleId="Revision">
    <w:name w:val="Revision"/>
    <w:hidden/>
    <w:uiPriority w:val="99"/>
    <w:semiHidden/>
    <w:rsid w:val="009408EE"/>
    <w:pPr>
      <w:spacing w:after="0" w:line="240" w:lineRule="auto"/>
    </w:pPr>
    <w:rPr>
      <w:rFonts w:ascii="Calibri" w:eastAsia="Calibri" w:hAnsi="Calibri" w:cs="Calibri"/>
      <w:lang w:val="en-GB"/>
    </w:rPr>
  </w:style>
  <w:style w:type="paragraph" w:styleId="BodyText">
    <w:name w:val="Body Text"/>
    <w:basedOn w:val="Normal"/>
    <w:link w:val="BodyTextChar"/>
    <w:rsid w:val="009408EE"/>
    <w:pPr>
      <w:jc w:val="both"/>
    </w:pPr>
    <w:rPr>
      <w:rFonts w:ascii="Tahoma" w:eastAsia="Times New Roman" w:hAnsi="Tahoma"/>
      <w:sz w:val="24"/>
      <w:lang w:val="sr-Cyrl-CS"/>
    </w:rPr>
  </w:style>
  <w:style w:type="character" w:customStyle="1" w:styleId="BodyTextChar">
    <w:name w:val="Body Text Char"/>
    <w:basedOn w:val="DefaultParagraphFont"/>
    <w:link w:val="BodyText"/>
    <w:rsid w:val="009408EE"/>
    <w:rPr>
      <w:rFonts w:ascii="Tahoma" w:eastAsia="Times New Roman" w:hAnsi="Tahoma" w:cs="Times New Roman"/>
      <w:sz w:val="24"/>
      <w:szCs w:val="20"/>
      <w:lang w:val="sr-Cyrl-CS"/>
    </w:rPr>
  </w:style>
  <w:style w:type="paragraph" w:styleId="EndnoteText">
    <w:name w:val="endnote text"/>
    <w:basedOn w:val="Normal"/>
    <w:link w:val="EndnoteTextChar"/>
    <w:uiPriority w:val="99"/>
    <w:semiHidden/>
    <w:unhideWhenUsed/>
    <w:rsid w:val="009408EE"/>
    <w:rPr>
      <w:rFonts w:eastAsia="Calibri"/>
    </w:rPr>
  </w:style>
  <w:style w:type="character" w:customStyle="1" w:styleId="EndnoteTextChar">
    <w:name w:val="Endnote Text Char"/>
    <w:basedOn w:val="DefaultParagraphFont"/>
    <w:link w:val="EndnoteText"/>
    <w:uiPriority w:val="99"/>
    <w:semiHidden/>
    <w:rsid w:val="009408EE"/>
    <w:rPr>
      <w:rFonts w:ascii="Calibri" w:eastAsia="Calibri" w:hAnsi="Calibri" w:cs="Times New Roman"/>
      <w:sz w:val="20"/>
      <w:szCs w:val="20"/>
      <w:lang w:val="en-GB"/>
    </w:rPr>
  </w:style>
  <w:style w:type="character" w:styleId="EndnoteReference">
    <w:name w:val="endnote reference"/>
    <w:uiPriority w:val="99"/>
    <w:semiHidden/>
    <w:unhideWhenUsed/>
    <w:rsid w:val="009408EE"/>
    <w:rPr>
      <w:vertAlign w:val="superscript"/>
    </w:rPr>
  </w:style>
  <w:style w:type="paragraph" w:styleId="TOCHeading">
    <w:name w:val="TOC Heading"/>
    <w:basedOn w:val="Heading1"/>
    <w:next w:val="Normal"/>
    <w:uiPriority w:val="39"/>
    <w:unhideWhenUsed/>
    <w:qFormat/>
    <w:rsid w:val="009408EE"/>
    <w:pPr>
      <w:keepLines/>
      <w:spacing w:before="480"/>
      <w:outlineLvl w:val="9"/>
    </w:pPr>
    <w:rPr>
      <w:rFonts w:ascii="Cambria" w:hAnsi="Cambria"/>
      <w:color w:val="365F91"/>
      <w:kern w:val="0"/>
      <w:sz w:val="28"/>
      <w:szCs w:val="28"/>
      <w:lang w:val="en-US"/>
    </w:rPr>
  </w:style>
  <w:style w:type="paragraph" w:styleId="TOC1">
    <w:name w:val="toc 1"/>
    <w:basedOn w:val="Normal"/>
    <w:next w:val="Normal"/>
    <w:autoRedefine/>
    <w:uiPriority w:val="39"/>
    <w:qFormat/>
    <w:rsid w:val="009408EE"/>
    <w:pPr>
      <w:tabs>
        <w:tab w:val="right" w:leader="dot" w:pos="8222"/>
      </w:tabs>
      <w:spacing w:line="360" w:lineRule="auto"/>
    </w:pPr>
    <w:rPr>
      <w:rFonts w:ascii="Times New Roman" w:hAnsi="Times New Roman"/>
      <w:b/>
      <w:noProof/>
      <w:sz w:val="24"/>
      <w:szCs w:val="24"/>
    </w:rPr>
  </w:style>
  <w:style w:type="paragraph" w:styleId="TOC2">
    <w:name w:val="toc 2"/>
    <w:basedOn w:val="Normal"/>
    <w:next w:val="Normal"/>
    <w:autoRedefine/>
    <w:uiPriority w:val="39"/>
    <w:qFormat/>
    <w:rsid w:val="009408EE"/>
    <w:pPr>
      <w:tabs>
        <w:tab w:val="right" w:leader="dot" w:pos="8222"/>
      </w:tabs>
      <w:ind w:left="220"/>
    </w:pPr>
    <w:rPr>
      <w:rFonts w:ascii="Times New Roman" w:hAnsi="Times New Roman"/>
      <w:b/>
      <w:noProof/>
      <w:sz w:val="24"/>
      <w:szCs w:val="24"/>
    </w:rPr>
  </w:style>
  <w:style w:type="paragraph" w:customStyle="1" w:styleId="Style1">
    <w:name w:val="Style1"/>
    <w:basedOn w:val="FootnoteText"/>
    <w:link w:val="Style1Char"/>
    <w:qFormat/>
    <w:rsid w:val="009408EE"/>
    <w:pPr>
      <w:jc w:val="both"/>
    </w:pPr>
  </w:style>
  <w:style w:type="character" w:customStyle="1" w:styleId="Style1Char">
    <w:name w:val="Style1 Char"/>
    <w:basedOn w:val="FootnoteTextChar"/>
    <w:link w:val="Style1"/>
    <w:rsid w:val="009408EE"/>
    <w:rPr>
      <w:rFonts w:ascii="Times New Roman" w:eastAsia="Calibri" w:hAnsi="Times New Roman" w:cs="Times New Roman"/>
      <w:sz w:val="20"/>
      <w:szCs w:val="20"/>
      <w:lang w:val="hr-HR"/>
    </w:rPr>
  </w:style>
  <w:style w:type="paragraph" w:styleId="TOC3">
    <w:name w:val="toc 3"/>
    <w:basedOn w:val="Normal"/>
    <w:next w:val="Normal"/>
    <w:autoRedefine/>
    <w:uiPriority w:val="39"/>
    <w:qFormat/>
    <w:rsid w:val="009408EE"/>
    <w:pPr>
      <w:tabs>
        <w:tab w:val="right" w:leader="dot" w:pos="8222"/>
      </w:tabs>
      <w:ind w:left="440"/>
    </w:pPr>
  </w:style>
  <w:style w:type="paragraph" w:styleId="Caption">
    <w:name w:val="caption"/>
    <w:basedOn w:val="Normal"/>
    <w:next w:val="Normal"/>
    <w:unhideWhenUsed/>
    <w:qFormat/>
    <w:rsid w:val="009408EE"/>
    <w:rPr>
      <w:b/>
      <w:bCs/>
    </w:rPr>
  </w:style>
  <w:style w:type="paragraph" w:styleId="TableofFigures">
    <w:name w:val="table of figures"/>
    <w:basedOn w:val="Normal"/>
    <w:next w:val="Normal"/>
    <w:uiPriority w:val="99"/>
    <w:unhideWhenUsed/>
    <w:rsid w:val="009408EE"/>
  </w:style>
  <w:style w:type="character" w:styleId="PageNumber">
    <w:name w:val="page number"/>
    <w:rsid w:val="009408EE"/>
    <w:rPr>
      <w:rFonts w:cs="Times New Roman"/>
    </w:rPr>
  </w:style>
  <w:style w:type="character" w:customStyle="1" w:styleId="CommentTextChar2">
    <w:name w:val="Comment Text Char2"/>
    <w:uiPriority w:val="99"/>
    <w:rsid w:val="009408EE"/>
    <w:rPr>
      <w:lang w:val="en-GB" w:eastAsia="en-US"/>
    </w:rPr>
  </w:style>
  <w:style w:type="character" w:customStyle="1" w:styleId="FootnoteTextChar2">
    <w:name w:val="Footnote Text Char2"/>
    <w:uiPriority w:val="99"/>
    <w:semiHidden/>
    <w:rsid w:val="009408EE"/>
    <w:rPr>
      <w:lang w:val="en-GB" w:eastAsia="en-US"/>
    </w:rPr>
  </w:style>
  <w:style w:type="paragraph" w:styleId="NoSpacing">
    <w:name w:val="No Spacing"/>
    <w:uiPriority w:val="1"/>
    <w:qFormat/>
    <w:rsid w:val="009408EE"/>
    <w:pPr>
      <w:widowControl w:val="0"/>
      <w:adjustRightInd w:val="0"/>
      <w:spacing w:after="0" w:line="240" w:lineRule="auto"/>
      <w:jc w:val="both"/>
      <w:textAlignment w:val="baseline"/>
    </w:pPr>
    <w:rPr>
      <w:rFonts w:ascii="Times New Roman" w:eastAsia="Times New Roman" w:hAnsi="Times New Roman" w:cs="Times New Roman"/>
      <w:sz w:val="20"/>
      <w:szCs w:val="20"/>
      <w:lang w:val="en-GB" w:eastAsia="bs-Latn-BA"/>
    </w:rPr>
  </w:style>
  <w:style w:type="character" w:customStyle="1" w:styleId="apple-converted-space">
    <w:name w:val="apple-converted-space"/>
    <w:basedOn w:val="DefaultParagraphFont"/>
    <w:rsid w:val="009408EE"/>
  </w:style>
  <w:style w:type="paragraph" w:styleId="PlainText">
    <w:name w:val="Plain Text"/>
    <w:basedOn w:val="Normal"/>
    <w:link w:val="PlainTextChar"/>
    <w:uiPriority w:val="99"/>
    <w:unhideWhenUsed/>
    <w:rsid w:val="009408EE"/>
    <w:pPr>
      <w:widowControl w:val="0"/>
      <w:adjustRightInd w:val="0"/>
      <w:spacing w:line="360" w:lineRule="atLeast"/>
      <w:jc w:val="both"/>
      <w:textAlignment w:val="baseline"/>
    </w:pPr>
    <w:rPr>
      <w:rFonts w:ascii="Courier New" w:eastAsia="Times New Roman" w:hAnsi="Courier New"/>
    </w:rPr>
  </w:style>
  <w:style w:type="character" w:customStyle="1" w:styleId="PlainTextChar">
    <w:name w:val="Plain Text Char"/>
    <w:basedOn w:val="DefaultParagraphFont"/>
    <w:link w:val="PlainText"/>
    <w:uiPriority w:val="99"/>
    <w:rsid w:val="009408EE"/>
    <w:rPr>
      <w:rFonts w:ascii="Courier New" w:eastAsia="Times New Roman" w:hAnsi="Courier New" w:cs="Times New Roman"/>
      <w:sz w:val="20"/>
      <w:szCs w:val="20"/>
      <w:lang w:val="en-GB"/>
    </w:rPr>
  </w:style>
  <w:style w:type="numbering" w:customStyle="1" w:styleId="NoList1">
    <w:name w:val="No List1"/>
    <w:next w:val="NoList"/>
    <w:uiPriority w:val="99"/>
    <w:semiHidden/>
    <w:unhideWhenUsed/>
    <w:rsid w:val="009408EE"/>
  </w:style>
  <w:style w:type="character" w:customStyle="1" w:styleId="st">
    <w:name w:val="st"/>
    <w:rsid w:val="009408EE"/>
  </w:style>
  <w:style w:type="character" w:styleId="Emphasis">
    <w:name w:val="Emphasis"/>
    <w:uiPriority w:val="20"/>
    <w:qFormat/>
    <w:rsid w:val="009408EE"/>
    <w:rPr>
      <w:i/>
      <w:iCs/>
    </w:rPr>
  </w:style>
  <w:style w:type="character" w:customStyle="1" w:styleId="medium-normal1">
    <w:name w:val="medium-normal1"/>
    <w:rsid w:val="009408EE"/>
    <w:rPr>
      <w:rFonts w:ascii="Arial" w:hAnsi="Arial" w:cs="Arial" w:hint="default"/>
      <w:b w:val="0"/>
      <w:bCs w:val="0"/>
      <w:i w:val="0"/>
      <w:iCs w:val="0"/>
      <w:sz w:val="14"/>
      <w:szCs w:val="14"/>
    </w:rPr>
  </w:style>
  <w:style w:type="character" w:styleId="PlaceholderText">
    <w:name w:val="Placeholder Text"/>
    <w:uiPriority w:val="99"/>
    <w:semiHidden/>
    <w:rsid w:val="009408EE"/>
    <w:rPr>
      <w:color w:val="808080"/>
    </w:rPr>
  </w:style>
  <w:style w:type="table" w:customStyle="1" w:styleId="TableGrid1">
    <w:name w:val="Table Grid1"/>
    <w:basedOn w:val="TableNormal"/>
    <w:next w:val="TableGrid"/>
    <w:uiPriority w:val="59"/>
    <w:rsid w:val="009408E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408E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408E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408E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408E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9408E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08EE"/>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locked/>
    <w:rsid w:val="009408EE"/>
    <w:rPr>
      <w:rFonts w:cs="Times New Roman"/>
      <w:lang w:val="en-GB" w:eastAsia="en-US"/>
    </w:rPr>
  </w:style>
  <w:style w:type="character" w:customStyle="1" w:styleId="FootnoteTextChar1">
    <w:name w:val="Footnote Text Char1"/>
    <w:semiHidden/>
    <w:locked/>
    <w:rsid w:val="009408EE"/>
    <w:rPr>
      <w:rFonts w:cs="Times New Roman"/>
      <w:lang w:val="en-GB" w:eastAsia="en-US"/>
    </w:rPr>
  </w:style>
  <w:style w:type="character" w:customStyle="1" w:styleId="shorttext">
    <w:name w:val="short_text"/>
    <w:rsid w:val="009408EE"/>
  </w:style>
  <w:style w:type="character" w:styleId="Strong">
    <w:name w:val="Strong"/>
    <w:uiPriority w:val="22"/>
    <w:qFormat/>
    <w:rsid w:val="009408EE"/>
    <w:rPr>
      <w:b/>
      <w:bCs/>
    </w:rPr>
  </w:style>
  <w:style w:type="paragraph" w:customStyle="1" w:styleId="Appendix">
    <w:name w:val="Appendix"/>
    <w:basedOn w:val="Normal"/>
    <w:link w:val="AppendixChar"/>
    <w:qFormat/>
    <w:rsid w:val="009408EE"/>
    <w:pPr>
      <w:jc w:val="both"/>
    </w:pPr>
    <w:rPr>
      <w:rFonts w:ascii="Courier New" w:hAnsi="Courier New" w:cs="Courier New"/>
      <w:b/>
    </w:rPr>
  </w:style>
  <w:style w:type="character" w:customStyle="1" w:styleId="AppendixChar">
    <w:name w:val="Appendix Char"/>
    <w:basedOn w:val="DefaultParagraphFont"/>
    <w:link w:val="Appendix"/>
    <w:rsid w:val="009408EE"/>
    <w:rPr>
      <w:rFonts w:ascii="Courier New" w:hAnsi="Courier New" w:cs="Courier New"/>
      <w:b/>
      <w:sz w:val="20"/>
      <w:szCs w:val="20"/>
      <w:lang w:val="en-GB"/>
    </w:rPr>
  </w:style>
  <w:style w:type="character" w:customStyle="1" w:styleId="CommentSubjectChar1">
    <w:name w:val="Comment Subject Char1"/>
    <w:basedOn w:val="CommentTextChar1"/>
    <w:uiPriority w:val="99"/>
    <w:semiHidden/>
    <w:rsid w:val="009408EE"/>
    <w:rPr>
      <w:rFonts w:ascii="Calibri" w:hAnsi="Calibri" w:cs="Times New Roman"/>
      <w:b/>
      <w:bCs/>
      <w:sz w:val="20"/>
      <w:lang w:val="en-GB" w:eastAsia="en-US"/>
    </w:rPr>
  </w:style>
  <w:style w:type="paragraph" w:styleId="NormalWeb">
    <w:name w:val="Normal (Web)"/>
    <w:basedOn w:val="Normal"/>
    <w:uiPriority w:val="99"/>
    <w:semiHidden/>
    <w:unhideWhenUsed/>
    <w:rsid w:val="009408EE"/>
    <w:pPr>
      <w:spacing w:before="100" w:beforeAutospacing="1" w:after="100" w:afterAutospacing="1"/>
    </w:pPr>
    <w:rPr>
      <w:rFonts w:ascii="Times New Roman" w:eastAsiaTheme="minorEastAsia" w:hAnsi="Times New Roman"/>
      <w:sz w:val="24"/>
      <w:szCs w:val="24"/>
      <w:lang w:val="bs-Latn-BA" w:eastAsia="bs-Latn-BA"/>
    </w:rPr>
  </w:style>
  <w:style w:type="numbering" w:customStyle="1" w:styleId="NoList2">
    <w:name w:val="No List2"/>
    <w:next w:val="NoList"/>
    <w:uiPriority w:val="99"/>
    <w:semiHidden/>
    <w:unhideWhenUsed/>
    <w:rsid w:val="009408EE"/>
  </w:style>
  <w:style w:type="numbering" w:customStyle="1" w:styleId="NoList11">
    <w:name w:val="No List11"/>
    <w:next w:val="NoList"/>
    <w:uiPriority w:val="99"/>
    <w:semiHidden/>
    <w:unhideWhenUsed/>
    <w:rsid w:val="009408EE"/>
  </w:style>
  <w:style w:type="table" w:customStyle="1" w:styleId="TableGrid8">
    <w:name w:val="Table Grid8"/>
    <w:basedOn w:val="TableNormal"/>
    <w:next w:val="TableGrid"/>
    <w:uiPriority w:val="59"/>
    <w:rsid w:val="009408E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08E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50C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CB527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451">
      <w:bodyDiv w:val="1"/>
      <w:marLeft w:val="0"/>
      <w:marRight w:val="0"/>
      <w:marTop w:val="0"/>
      <w:marBottom w:val="0"/>
      <w:divBdr>
        <w:top w:val="none" w:sz="0" w:space="0" w:color="auto"/>
        <w:left w:val="none" w:sz="0" w:space="0" w:color="auto"/>
        <w:bottom w:val="none" w:sz="0" w:space="0" w:color="auto"/>
        <w:right w:val="none" w:sz="0" w:space="0" w:color="auto"/>
      </w:divBdr>
      <w:divsChild>
        <w:div w:id="1634943444">
          <w:marLeft w:val="0"/>
          <w:marRight w:val="0"/>
          <w:marTop w:val="375"/>
          <w:marBottom w:val="0"/>
          <w:divBdr>
            <w:top w:val="none" w:sz="0" w:space="0" w:color="auto"/>
            <w:left w:val="none" w:sz="0" w:space="0" w:color="auto"/>
            <w:bottom w:val="none" w:sz="0" w:space="0" w:color="auto"/>
            <w:right w:val="none" w:sz="0" w:space="0" w:color="auto"/>
          </w:divBdr>
        </w:div>
      </w:divsChild>
    </w:div>
    <w:div w:id="44912323">
      <w:bodyDiv w:val="1"/>
      <w:marLeft w:val="0"/>
      <w:marRight w:val="0"/>
      <w:marTop w:val="0"/>
      <w:marBottom w:val="0"/>
      <w:divBdr>
        <w:top w:val="none" w:sz="0" w:space="0" w:color="auto"/>
        <w:left w:val="none" w:sz="0" w:space="0" w:color="auto"/>
        <w:bottom w:val="none" w:sz="0" w:space="0" w:color="auto"/>
        <w:right w:val="none" w:sz="0" w:space="0" w:color="auto"/>
      </w:divBdr>
      <w:divsChild>
        <w:div w:id="871916541">
          <w:marLeft w:val="0"/>
          <w:marRight w:val="0"/>
          <w:marTop w:val="0"/>
          <w:marBottom w:val="195"/>
          <w:divBdr>
            <w:top w:val="none" w:sz="0" w:space="0" w:color="auto"/>
            <w:left w:val="none" w:sz="0" w:space="0" w:color="auto"/>
            <w:bottom w:val="none" w:sz="0" w:space="0" w:color="auto"/>
            <w:right w:val="none" w:sz="0" w:space="0" w:color="auto"/>
          </w:divBdr>
        </w:div>
      </w:divsChild>
    </w:div>
    <w:div w:id="191773582">
      <w:bodyDiv w:val="1"/>
      <w:marLeft w:val="0"/>
      <w:marRight w:val="0"/>
      <w:marTop w:val="0"/>
      <w:marBottom w:val="0"/>
      <w:divBdr>
        <w:top w:val="none" w:sz="0" w:space="0" w:color="auto"/>
        <w:left w:val="none" w:sz="0" w:space="0" w:color="auto"/>
        <w:bottom w:val="none" w:sz="0" w:space="0" w:color="auto"/>
        <w:right w:val="none" w:sz="0" w:space="0" w:color="auto"/>
      </w:divBdr>
    </w:div>
    <w:div w:id="211581695">
      <w:bodyDiv w:val="1"/>
      <w:marLeft w:val="0"/>
      <w:marRight w:val="0"/>
      <w:marTop w:val="0"/>
      <w:marBottom w:val="0"/>
      <w:divBdr>
        <w:top w:val="none" w:sz="0" w:space="0" w:color="auto"/>
        <w:left w:val="none" w:sz="0" w:space="0" w:color="auto"/>
        <w:bottom w:val="none" w:sz="0" w:space="0" w:color="auto"/>
        <w:right w:val="none" w:sz="0" w:space="0" w:color="auto"/>
      </w:divBdr>
    </w:div>
    <w:div w:id="493641229">
      <w:bodyDiv w:val="1"/>
      <w:marLeft w:val="0"/>
      <w:marRight w:val="0"/>
      <w:marTop w:val="0"/>
      <w:marBottom w:val="0"/>
      <w:divBdr>
        <w:top w:val="none" w:sz="0" w:space="0" w:color="auto"/>
        <w:left w:val="none" w:sz="0" w:space="0" w:color="auto"/>
        <w:bottom w:val="none" w:sz="0" w:space="0" w:color="auto"/>
        <w:right w:val="none" w:sz="0" w:space="0" w:color="auto"/>
      </w:divBdr>
    </w:div>
    <w:div w:id="532423428">
      <w:bodyDiv w:val="1"/>
      <w:marLeft w:val="0"/>
      <w:marRight w:val="0"/>
      <w:marTop w:val="0"/>
      <w:marBottom w:val="0"/>
      <w:divBdr>
        <w:top w:val="none" w:sz="0" w:space="0" w:color="auto"/>
        <w:left w:val="none" w:sz="0" w:space="0" w:color="auto"/>
        <w:bottom w:val="none" w:sz="0" w:space="0" w:color="auto"/>
        <w:right w:val="none" w:sz="0" w:space="0" w:color="auto"/>
      </w:divBdr>
    </w:div>
    <w:div w:id="567762063">
      <w:bodyDiv w:val="1"/>
      <w:marLeft w:val="0"/>
      <w:marRight w:val="0"/>
      <w:marTop w:val="0"/>
      <w:marBottom w:val="0"/>
      <w:divBdr>
        <w:top w:val="none" w:sz="0" w:space="0" w:color="auto"/>
        <w:left w:val="none" w:sz="0" w:space="0" w:color="auto"/>
        <w:bottom w:val="none" w:sz="0" w:space="0" w:color="auto"/>
        <w:right w:val="none" w:sz="0" w:space="0" w:color="auto"/>
      </w:divBdr>
      <w:divsChild>
        <w:div w:id="1127745864">
          <w:marLeft w:val="0"/>
          <w:marRight w:val="0"/>
          <w:marTop w:val="375"/>
          <w:marBottom w:val="0"/>
          <w:divBdr>
            <w:top w:val="none" w:sz="0" w:space="0" w:color="auto"/>
            <w:left w:val="none" w:sz="0" w:space="0" w:color="auto"/>
            <w:bottom w:val="none" w:sz="0" w:space="0" w:color="auto"/>
            <w:right w:val="none" w:sz="0" w:space="0" w:color="auto"/>
          </w:divBdr>
        </w:div>
      </w:divsChild>
    </w:div>
    <w:div w:id="571280994">
      <w:bodyDiv w:val="1"/>
      <w:marLeft w:val="0"/>
      <w:marRight w:val="0"/>
      <w:marTop w:val="0"/>
      <w:marBottom w:val="0"/>
      <w:divBdr>
        <w:top w:val="none" w:sz="0" w:space="0" w:color="auto"/>
        <w:left w:val="none" w:sz="0" w:space="0" w:color="auto"/>
        <w:bottom w:val="none" w:sz="0" w:space="0" w:color="auto"/>
        <w:right w:val="none" w:sz="0" w:space="0" w:color="auto"/>
      </w:divBdr>
    </w:div>
    <w:div w:id="577331025">
      <w:bodyDiv w:val="1"/>
      <w:marLeft w:val="0"/>
      <w:marRight w:val="0"/>
      <w:marTop w:val="0"/>
      <w:marBottom w:val="0"/>
      <w:divBdr>
        <w:top w:val="none" w:sz="0" w:space="0" w:color="auto"/>
        <w:left w:val="none" w:sz="0" w:space="0" w:color="auto"/>
        <w:bottom w:val="none" w:sz="0" w:space="0" w:color="auto"/>
        <w:right w:val="none" w:sz="0" w:space="0" w:color="auto"/>
      </w:divBdr>
      <w:divsChild>
        <w:div w:id="180509536">
          <w:marLeft w:val="0"/>
          <w:marRight w:val="0"/>
          <w:marTop w:val="0"/>
          <w:marBottom w:val="195"/>
          <w:divBdr>
            <w:top w:val="none" w:sz="0" w:space="0" w:color="auto"/>
            <w:left w:val="none" w:sz="0" w:space="0" w:color="auto"/>
            <w:bottom w:val="none" w:sz="0" w:space="0" w:color="auto"/>
            <w:right w:val="none" w:sz="0" w:space="0" w:color="auto"/>
          </w:divBdr>
        </w:div>
      </w:divsChild>
    </w:div>
    <w:div w:id="601453835">
      <w:bodyDiv w:val="1"/>
      <w:marLeft w:val="0"/>
      <w:marRight w:val="0"/>
      <w:marTop w:val="0"/>
      <w:marBottom w:val="0"/>
      <w:divBdr>
        <w:top w:val="none" w:sz="0" w:space="0" w:color="auto"/>
        <w:left w:val="none" w:sz="0" w:space="0" w:color="auto"/>
        <w:bottom w:val="none" w:sz="0" w:space="0" w:color="auto"/>
        <w:right w:val="none" w:sz="0" w:space="0" w:color="auto"/>
      </w:divBdr>
    </w:div>
    <w:div w:id="666052596">
      <w:bodyDiv w:val="1"/>
      <w:marLeft w:val="0"/>
      <w:marRight w:val="0"/>
      <w:marTop w:val="0"/>
      <w:marBottom w:val="0"/>
      <w:divBdr>
        <w:top w:val="none" w:sz="0" w:space="0" w:color="auto"/>
        <w:left w:val="none" w:sz="0" w:space="0" w:color="auto"/>
        <w:bottom w:val="none" w:sz="0" w:space="0" w:color="auto"/>
        <w:right w:val="none" w:sz="0" w:space="0" w:color="auto"/>
      </w:divBdr>
    </w:div>
    <w:div w:id="757752344">
      <w:bodyDiv w:val="1"/>
      <w:marLeft w:val="0"/>
      <w:marRight w:val="0"/>
      <w:marTop w:val="0"/>
      <w:marBottom w:val="0"/>
      <w:divBdr>
        <w:top w:val="none" w:sz="0" w:space="0" w:color="auto"/>
        <w:left w:val="none" w:sz="0" w:space="0" w:color="auto"/>
        <w:bottom w:val="none" w:sz="0" w:space="0" w:color="auto"/>
        <w:right w:val="none" w:sz="0" w:space="0" w:color="auto"/>
      </w:divBdr>
    </w:div>
    <w:div w:id="770971165">
      <w:bodyDiv w:val="1"/>
      <w:marLeft w:val="0"/>
      <w:marRight w:val="0"/>
      <w:marTop w:val="0"/>
      <w:marBottom w:val="0"/>
      <w:divBdr>
        <w:top w:val="none" w:sz="0" w:space="0" w:color="auto"/>
        <w:left w:val="none" w:sz="0" w:space="0" w:color="auto"/>
        <w:bottom w:val="none" w:sz="0" w:space="0" w:color="auto"/>
        <w:right w:val="none" w:sz="0" w:space="0" w:color="auto"/>
      </w:divBdr>
    </w:div>
    <w:div w:id="898981363">
      <w:bodyDiv w:val="1"/>
      <w:marLeft w:val="0"/>
      <w:marRight w:val="0"/>
      <w:marTop w:val="0"/>
      <w:marBottom w:val="0"/>
      <w:divBdr>
        <w:top w:val="none" w:sz="0" w:space="0" w:color="auto"/>
        <w:left w:val="none" w:sz="0" w:space="0" w:color="auto"/>
        <w:bottom w:val="none" w:sz="0" w:space="0" w:color="auto"/>
        <w:right w:val="none" w:sz="0" w:space="0" w:color="auto"/>
      </w:divBdr>
    </w:div>
    <w:div w:id="983119897">
      <w:bodyDiv w:val="1"/>
      <w:marLeft w:val="0"/>
      <w:marRight w:val="0"/>
      <w:marTop w:val="0"/>
      <w:marBottom w:val="0"/>
      <w:divBdr>
        <w:top w:val="none" w:sz="0" w:space="0" w:color="auto"/>
        <w:left w:val="none" w:sz="0" w:space="0" w:color="auto"/>
        <w:bottom w:val="none" w:sz="0" w:space="0" w:color="auto"/>
        <w:right w:val="none" w:sz="0" w:space="0" w:color="auto"/>
      </w:divBdr>
    </w:div>
    <w:div w:id="1138764654">
      <w:bodyDiv w:val="1"/>
      <w:marLeft w:val="0"/>
      <w:marRight w:val="0"/>
      <w:marTop w:val="0"/>
      <w:marBottom w:val="0"/>
      <w:divBdr>
        <w:top w:val="none" w:sz="0" w:space="0" w:color="auto"/>
        <w:left w:val="none" w:sz="0" w:space="0" w:color="auto"/>
        <w:bottom w:val="none" w:sz="0" w:space="0" w:color="auto"/>
        <w:right w:val="none" w:sz="0" w:space="0" w:color="auto"/>
      </w:divBdr>
    </w:div>
    <w:div w:id="1257254568">
      <w:bodyDiv w:val="1"/>
      <w:marLeft w:val="0"/>
      <w:marRight w:val="0"/>
      <w:marTop w:val="0"/>
      <w:marBottom w:val="0"/>
      <w:divBdr>
        <w:top w:val="none" w:sz="0" w:space="0" w:color="auto"/>
        <w:left w:val="none" w:sz="0" w:space="0" w:color="auto"/>
        <w:bottom w:val="none" w:sz="0" w:space="0" w:color="auto"/>
        <w:right w:val="none" w:sz="0" w:space="0" w:color="auto"/>
      </w:divBdr>
    </w:div>
    <w:div w:id="1326738357">
      <w:bodyDiv w:val="1"/>
      <w:marLeft w:val="0"/>
      <w:marRight w:val="0"/>
      <w:marTop w:val="0"/>
      <w:marBottom w:val="0"/>
      <w:divBdr>
        <w:top w:val="none" w:sz="0" w:space="0" w:color="auto"/>
        <w:left w:val="none" w:sz="0" w:space="0" w:color="auto"/>
        <w:bottom w:val="none" w:sz="0" w:space="0" w:color="auto"/>
        <w:right w:val="none" w:sz="0" w:space="0" w:color="auto"/>
      </w:divBdr>
    </w:div>
    <w:div w:id="1443106144">
      <w:bodyDiv w:val="1"/>
      <w:marLeft w:val="0"/>
      <w:marRight w:val="0"/>
      <w:marTop w:val="0"/>
      <w:marBottom w:val="0"/>
      <w:divBdr>
        <w:top w:val="none" w:sz="0" w:space="0" w:color="auto"/>
        <w:left w:val="none" w:sz="0" w:space="0" w:color="auto"/>
        <w:bottom w:val="none" w:sz="0" w:space="0" w:color="auto"/>
        <w:right w:val="none" w:sz="0" w:space="0" w:color="auto"/>
      </w:divBdr>
    </w:div>
    <w:div w:id="1595168527">
      <w:bodyDiv w:val="1"/>
      <w:marLeft w:val="0"/>
      <w:marRight w:val="0"/>
      <w:marTop w:val="0"/>
      <w:marBottom w:val="0"/>
      <w:divBdr>
        <w:top w:val="none" w:sz="0" w:space="0" w:color="auto"/>
        <w:left w:val="none" w:sz="0" w:space="0" w:color="auto"/>
        <w:bottom w:val="none" w:sz="0" w:space="0" w:color="auto"/>
        <w:right w:val="none" w:sz="0" w:space="0" w:color="auto"/>
      </w:divBdr>
    </w:div>
    <w:div w:id="1614946650">
      <w:bodyDiv w:val="1"/>
      <w:marLeft w:val="0"/>
      <w:marRight w:val="0"/>
      <w:marTop w:val="0"/>
      <w:marBottom w:val="0"/>
      <w:divBdr>
        <w:top w:val="none" w:sz="0" w:space="0" w:color="auto"/>
        <w:left w:val="none" w:sz="0" w:space="0" w:color="auto"/>
        <w:bottom w:val="none" w:sz="0" w:space="0" w:color="auto"/>
        <w:right w:val="none" w:sz="0" w:space="0" w:color="auto"/>
      </w:divBdr>
    </w:div>
    <w:div w:id="1615164969">
      <w:bodyDiv w:val="1"/>
      <w:marLeft w:val="0"/>
      <w:marRight w:val="0"/>
      <w:marTop w:val="0"/>
      <w:marBottom w:val="0"/>
      <w:divBdr>
        <w:top w:val="none" w:sz="0" w:space="0" w:color="auto"/>
        <w:left w:val="none" w:sz="0" w:space="0" w:color="auto"/>
        <w:bottom w:val="none" w:sz="0" w:space="0" w:color="auto"/>
        <w:right w:val="none" w:sz="0" w:space="0" w:color="auto"/>
      </w:divBdr>
    </w:div>
    <w:div w:id="1694187823">
      <w:bodyDiv w:val="1"/>
      <w:marLeft w:val="0"/>
      <w:marRight w:val="0"/>
      <w:marTop w:val="0"/>
      <w:marBottom w:val="0"/>
      <w:divBdr>
        <w:top w:val="none" w:sz="0" w:space="0" w:color="auto"/>
        <w:left w:val="none" w:sz="0" w:space="0" w:color="auto"/>
        <w:bottom w:val="none" w:sz="0" w:space="0" w:color="auto"/>
        <w:right w:val="none" w:sz="0" w:space="0" w:color="auto"/>
      </w:divBdr>
    </w:div>
    <w:div w:id="2028558684">
      <w:bodyDiv w:val="1"/>
      <w:marLeft w:val="0"/>
      <w:marRight w:val="0"/>
      <w:marTop w:val="0"/>
      <w:marBottom w:val="0"/>
      <w:divBdr>
        <w:top w:val="none" w:sz="0" w:space="0" w:color="auto"/>
        <w:left w:val="none" w:sz="0" w:space="0" w:color="auto"/>
        <w:bottom w:val="none" w:sz="0" w:space="0" w:color="auto"/>
        <w:right w:val="none" w:sz="0" w:space="0" w:color="auto"/>
      </w:divBdr>
      <w:divsChild>
        <w:div w:id="291635820">
          <w:marLeft w:val="0"/>
          <w:marRight w:val="0"/>
          <w:marTop w:val="375"/>
          <w:marBottom w:val="0"/>
          <w:divBdr>
            <w:top w:val="none" w:sz="0" w:space="0" w:color="auto"/>
            <w:left w:val="none" w:sz="0" w:space="0" w:color="auto"/>
            <w:bottom w:val="none" w:sz="0" w:space="0" w:color="auto"/>
            <w:right w:val="none" w:sz="0" w:space="0" w:color="auto"/>
          </w:divBdr>
        </w:div>
      </w:divsChild>
    </w:div>
    <w:div w:id="2106026172">
      <w:bodyDiv w:val="1"/>
      <w:marLeft w:val="0"/>
      <w:marRight w:val="0"/>
      <w:marTop w:val="0"/>
      <w:marBottom w:val="0"/>
      <w:divBdr>
        <w:top w:val="none" w:sz="0" w:space="0" w:color="auto"/>
        <w:left w:val="none" w:sz="0" w:space="0" w:color="auto"/>
        <w:bottom w:val="none" w:sz="0" w:space="0" w:color="auto"/>
        <w:right w:val="none" w:sz="0" w:space="0" w:color="auto"/>
      </w:divBdr>
    </w:div>
    <w:div w:id="21271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www.ecb.europa.eu/pub/pdf/scpops/ecbocp114.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elena.begovic\Downloads\Za%20update%20papera%20CBA%20-%20inflacija%20-%20skupljanje%20podataka%20-%201998-2015%20-%2025%20transition%20countri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elena.begovic\Downloads\Za%20update%20papera%20CBA%20-%20inflacija%20-%20skupljanje%20podataka%20-%201998-2015%20-%2025%20transition%20countri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ele\Desktop\Za%20update%20papera%20CBA%20-%20inflacija%20-%20skupljanje%20podataka%20-%201998-2015%20-%2025%20transition%20countrie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'[Za update papera CBA - inflacija - skupljanje podataka - 1998-2015 - 25 transition countries.xlsx]inflation per regime type'!$F$2</c:f>
              <c:strCache>
                <c:ptCount val="1"/>
                <c:pt idx="0">
                  <c:v>CBA</c:v>
                </c:pt>
              </c:strCache>
            </c:strRef>
          </c:tx>
          <c:spPr>
            <a:ln w="28575" cap="rnd">
              <a:solidFill>
                <a:schemeClr val="accent1"/>
              </a:solidFill>
              <a:round/>
            </a:ln>
            <a:effectLst/>
          </c:spPr>
          <c:marker>
            <c:symbol val="none"/>
          </c:marker>
          <c:cat>
            <c:strRef>
              <c:f>'[Za update papera CBA - inflacija - skupljanje podataka - 1998-2015 - 25 transition countries.xlsx]inflation per regime type'!$A$3:$A$20</c:f>
              <c:strCache>
                <c:ptCount val="18"/>
                <c:pt idx="0">
                  <c:v>98</c:v>
                </c:pt>
                <c:pt idx="1">
                  <c:v>99</c:v>
                </c:pt>
                <c:pt idx="2">
                  <c:v>00</c:v>
                </c:pt>
                <c:pt idx="3">
                  <c:v>01</c:v>
                </c:pt>
                <c:pt idx="4">
                  <c:v>02</c:v>
                </c:pt>
                <c:pt idx="5">
                  <c:v>03</c:v>
                </c:pt>
                <c:pt idx="6">
                  <c:v>04</c:v>
                </c:pt>
                <c:pt idx="7">
                  <c:v>05</c:v>
                </c:pt>
                <c:pt idx="8">
                  <c:v>06</c:v>
                </c:pt>
                <c:pt idx="9">
                  <c:v>07</c:v>
                </c:pt>
                <c:pt idx="10">
                  <c:v>08</c:v>
                </c:pt>
                <c:pt idx="11">
                  <c:v>09</c:v>
                </c:pt>
                <c:pt idx="12">
                  <c:v>10</c:v>
                </c:pt>
                <c:pt idx="13">
                  <c:v>11</c:v>
                </c:pt>
                <c:pt idx="14">
                  <c:v>12</c:v>
                </c:pt>
                <c:pt idx="15">
                  <c:v>13</c:v>
                </c:pt>
                <c:pt idx="16">
                  <c:v>14</c:v>
                </c:pt>
                <c:pt idx="17">
                  <c:v>15</c:v>
                </c:pt>
              </c:strCache>
            </c:strRef>
          </c:cat>
          <c:val>
            <c:numRef>
              <c:f>'[Za update papera CBA - inflacija - skupljanje podataka - 1998-2015 - 25 transition countries.xlsx]inflation per regime type'!$F$3:$F$20</c:f>
              <c:numCache>
                <c:formatCode>0.00</c:formatCode>
                <c:ptCount val="18"/>
                <c:pt idx="0">
                  <c:v>11.413881854474042</c:v>
                </c:pt>
                <c:pt idx="1">
                  <c:v>2.6057073400965267</c:v>
                </c:pt>
                <c:pt idx="2">
                  <c:v>5.0357569362288599</c:v>
                </c:pt>
                <c:pt idx="3">
                  <c:v>4.3903539888257725</c:v>
                </c:pt>
                <c:pt idx="4">
                  <c:v>2.5199390961681392</c:v>
                </c:pt>
                <c:pt idx="5">
                  <c:v>0.73741087787823745</c:v>
                </c:pt>
                <c:pt idx="6">
                  <c:v>2.7438816483660999</c:v>
                </c:pt>
                <c:pt idx="7">
                  <c:v>3.892999097819855</c:v>
                </c:pt>
                <c:pt idx="8">
                  <c:v>5.3841413008198549</c:v>
                </c:pt>
                <c:pt idx="9">
                  <c:v>5.5575923629705297</c:v>
                </c:pt>
                <c:pt idx="10">
                  <c:v>10.260446644819201</c:v>
                </c:pt>
                <c:pt idx="11">
                  <c:v>1.6761033195784991</c:v>
                </c:pt>
                <c:pt idx="12">
                  <c:v>2.212201254005095</c:v>
                </c:pt>
                <c:pt idx="13">
                  <c:v>4.2577128957798926</c:v>
                </c:pt>
                <c:pt idx="14">
                  <c:v>3.0191134262650077</c:v>
                </c:pt>
                <c:pt idx="15">
                  <c:v>1.1565142394103205</c:v>
                </c:pt>
                <c:pt idx="16">
                  <c:v>-0.58911101093898122</c:v>
                </c:pt>
                <c:pt idx="17">
                  <c:v>-0.61016462858634379</c:v>
                </c:pt>
              </c:numCache>
            </c:numRef>
          </c:val>
          <c:smooth val="0"/>
          <c:extLst>
            <c:ext xmlns:c16="http://schemas.microsoft.com/office/drawing/2014/chart" uri="{C3380CC4-5D6E-409C-BE32-E72D297353CC}">
              <c16:uniqueId val="{00000000-D493-4A00-BE00-B549ABAC5195}"/>
            </c:ext>
          </c:extLst>
        </c:ser>
        <c:ser>
          <c:idx val="1"/>
          <c:order val="1"/>
          <c:tx>
            <c:strRef>
              <c:f>'[Za update papera CBA - inflacija - skupljanje podataka - 1998-2015 - 25 transition countries.xlsx]inflation per regime type'!$K$2</c:f>
              <c:strCache>
                <c:ptCount val="1"/>
                <c:pt idx="0">
                  <c:v>De facto fix</c:v>
                </c:pt>
              </c:strCache>
            </c:strRef>
          </c:tx>
          <c:spPr>
            <a:ln w="28575" cap="rnd">
              <a:solidFill>
                <a:schemeClr val="accent2"/>
              </a:solidFill>
              <a:round/>
            </a:ln>
            <a:effectLst/>
          </c:spPr>
          <c:marker>
            <c:symbol val="none"/>
          </c:marker>
          <c:cat>
            <c:strRef>
              <c:f>'[Za update papera CBA - inflacija - skupljanje podataka - 1998-2015 - 25 transition countries.xlsx]inflation per regime type'!$A$3:$A$20</c:f>
              <c:strCache>
                <c:ptCount val="18"/>
                <c:pt idx="0">
                  <c:v>98</c:v>
                </c:pt>
                <c:pt idx="1">
                  <c:v>99</c:v>
                </c:pt>
                <c:pt idx="2">
                  <c:v>00</c:v>
                </c:pt>
                <c:pt idx="3">
                  <c:v>01</c:v>
                </c:pt>
                <c:pt idx="4">
                  <c:v>02</c:v>
                </c:pt>
                <c:pt idx="5">
                  <c:v>03</c:v>
                </c:pt>
                <c:pt idx="6">
                  <c:v>04</c:v>
                </c:pt>
                <c:pt idx="7">
                  <c:v>05</c:v>
                </c:pt>
                <c:pt idx="8">
                  <c:v>06</c:v>
                </c:pt>
                <c:pt idx="9">
                  <c:v>07</c:v>
                </c:pt>
                <c:pt idx="10">
                  <c:v>08</c:v>
                </c:pt>
                <c:pt idx="11">
                  <c:v>09</c:v>
                </c:pt>
                <c:pt idx="12">
                  <c:v>10</c:v>
                </c:pt>
                <c:pt idx="13">
                  <c:v>11</c:v>
                </c:pt>
                <c:pt idx="14">
                  <c:v>12</c:v>
                </c:pt>
                <c:pt idx="15">
                  <c:v>13</c:v>
                </c:pt>
                <c:pt idx="16">
                  <c:v>14</c:v>
                </c:pt>
                <c:pt idx="17">
                  <c:v>15</c:v>
                </c:pt>
              </c:strCache>
            </c:strRef>
          </c:cat>
          <c:val>
            <c:numRef>
              <c:f>'[Za update papera CBA - inflacija - skupljanje podataka - 1998-2015 - 25 transition countries.xlsx]inflation per regime type'!$K$3:$K$20</c:f>
              <c:numCache>
                <c:formatCode>0.00</c:formatCode>
                <c:ptCount val="18"/>
                <c:pt idx="0">
                  <c:v>6.4166523162075944</c:v>
                </c:pt>
                <c:pt idx="1">
                  <c:v>5.7744702447238456</c:v>
                </c:pt>
                <c:pt idx="2">
                  <c:v>7.0436220732646522</c:v>
                </c:pt>
                <c:pt idx="3">
                  <c:v>5.5018713044563921</c:v>
                </c:pt>
                <c:pt idx="4">
                  <c:v>3.5970648691348974</c:v>
                </c:pt>
                <c:pt idx="5">
                  <c:v>4.7142264868151154</c:v>
                </c:pt>
                <c:pt idx="6">
                  <c:v>4.8521702820346002</c:v>
                </c:pt>
                <c:pt idx="7">
                  <c:v>3.8068258748108925</c:v>
                </c:pt>
                <c:pt idx="8">
                  <c:v>4.1589296708161747</c:v>
                </c:pt>
                <c:pt idx="9">
                  <c:v>4.8520042188626702</c:v>
                </c:pt>
                <c:pt idx="10">
                  <c:v>7.9393786137789579</c:v>
                </c:pt>
                <c:pt idx="11">
                  <c:v>2.0801874171750128</c:v>
                </c:pt>
                <c:pt idx="12">
                  <c:v>0.68946868032059161</c:v>
                </c:pt>
                <c:pt idx="13">
                  <c:v>3.1009368965519002</c:v>
                </c:pt>
                <c:pt idx="14">
                  <c:v>2.9569864449155547</c:v>
                </c:pt>
                <c:pt idx="15">
                  <c:v>1.3443517482922624</c:v>
                </c:pt>
                <c:pt idx="16">
                  <c:v>0.12930815964982242</c:v>
                </c:pt>
                <c:pt idx="17">
                  <c:v>-0.27655800079534676</c:v>
                </c:pt>
              </c:numCache>
            </c:numRef>
          </c:val>
          <c:smooth val="0"/>
          <c:extLst>
            <c:ext xmlns:c16="http://schemas.microsoft.com/office/drawing/2014/chart" uri="{C3380CC4-5D6E-409C-BE32-E72D297353CC}">
              <c16:uniqueId val="{00000001-D493-4A00-BE00-B549ABAC5195}"/>
            </c:ext>
          </c:extLst>
        </c:ser>
        <c:ser>
          <c:idx val="2"/>
          <c:order val="2"/>
          <c:tx>
            <c:strRef>
              <c:f>'[Za update papera CBA - inflacija - skupljanje podataka - 1998-2015 - 25 transition countries.xlsx]inflation per regime type'!$O$2</c:f>
              <c:strCache>
                <c:ptCount val="1"/>
                <c:pt idx="0">
                  <c:v>From fixed to inflation targeting </c:v>
                </c:pt>
              </c:strCache>
            </c:strRef>
          </c:tx>
          <c:spPr>
            <a:ln w="28575" cap="rnd">
              <a:solidFill>
                <a:schemeClr val="accent3"/>
              </a:solidFill>
              <a:round/>
            </a:ln>
            <a:effectLst/>
          </c:spPr>
          <c:marker>
            <c:symbol val="none"/>
          </c:marker>
          <c:cat>
            <c:strRef>
              <c:f>'[Za update papera CBA - inflacija - skupljanje podataka - 1998-2015 - 25 transition countries.xlsx]inflation per regime type'!$A$3:$A$20</c:f>
              <c:strCache>
                <c:ptCount val="18"/>
                <c:pt idx="0">
                  <c:v>98</c:v>
                </c:pt>
                <c:pt idx="1">
                  <c:v>99</c:v>
                </c:pt>
                <c:pt idx="2">
                  <c:v>00</c:v>
                </c:pt>
                <c:pt idx="3">
                  <c:v>01</c:v>
                </c:pt>
                <c:pt idx="4">
                  <c:v>02</c:v>
                </c:pt>
                <c:pt idx="5">
                  <c:v>03</c:v>
                </c:pt>
                <c:pt idx="6">
                  <c:v>04</c:v>
                </c:pt>
                <c:pt idx="7">
                  <c:v>05</c:v>
                </c:pt>
                <c:pt idx="8">
                  <c:v>06</c:v>
                </c:pt>
                <c:pt idx="9">
                  <c:v>07</c:v>
                </c:pt>
                <c:pt idx="10">
                  <c:v>08</c:v>
                </c:pt>
                <c:pt idx="11">
                  <c:v>09</c:v>
                </c:pt>
                <c:pt idx="12">
                  <c:v>10</c:v>
                </c:pt>
                <c:pt idx="13">
                  <c:v>11</c:v>
                </c:pt>
                <c:pt idx="14">
                  <c:v>12</c:v>
                </c:pt>
                <c:pt idx="15">
                  <c:v>13</c:v>
                </c:pt>
                <c:pt idx="16">
                  <c:v>14</c:v>
                </c:pt>
                <c:pt idx="17">
                  <c:v>15</c:v>
                </c:pt>
              </c:strCache>
            </c:strRef>
          </c:cat>
          <c:val>
            <c:numRef>
              <c:f>'[Za update papera CBA - inflacija - skupljanje podataka - 1998-2015 - 25 transition countries.xlsx]inflation per regime type'!$O$3:$O$20</c:f>
              <c:numCache>
                <c:formatCode>0.00</c:formatCode>
                <c:ptCount val="18"/>
                <c:pt idx="0">
                  <c:v>12.175602747790165</c:v>
                </c:pt>
                <c:pt idx="1">
                  <c:v>6.4830187598239233</c:v>
                </c:pt>
                <c:pt idx="2">
                  <c:v>7.9144121534849035</c:v>
                </c:pt>
                <c:pt idx="3">
                  <c:v>6.4511106077601825</c:v>
                </c:pt>
                <c:pt idx="4">
                  <c:v>2.9822713043483398</c:v>
                </c:pt>
                <c:pt idx="5">
                  <c:v>1.848028318937539</c:v>
                </c:pt>
                <c:pt idx="6">
                  <c:v>4.3945927152537934</c:v>
                </c:pt>
                <c:pt idx="7">
                  <c:v>2.5013432581029633</c:v>
                </c:pt>
                <c:pt idx="8">
                  <c:v>2.5071204383580565</c:v>
                </c:pt>
                <c:pt idx="9">
                  <c:v>4.4168373492388033</c:v>
                </c:pt>
                <c:pt idx="10">
                  <c:v>5.5888405590511399</c:v>
                </c:pt>
                <c:pt idx="11">
                  <c:v>3.0266598684499364</c:v>
                </c:pt>
                <c:pt idx="12">
                  <c:v>2.9991717863927794</c:v>
                </c:pt>
                <c:pt idx="13">
                  <c:v>3.3718192656735262</c:v>
                </c:pt>
                <c:pt idx="14">
                  <c:v>4.1745275666523236</c:v>
                </c:pt>
                <c:pt idx="15">
                  <c:v>1.3966996385687835</c:v>
                </c:pt>
                <c:pt idx="16">
                  <c:v>7.3941236270807661E-2</c:v>
                </c:pt>
                <c:pt idx="17">
                  <c:v>-0.2389334680402587</c:v>
                </c:pt>
              </c:numCache>
            </c:numRef>
          </c:val>
          <c:smooth val="0"/>
          <c:extLst>
            <c:ext xmlns:c16="http://schemas.microsoft.com/office/drawing/2014/chart" uri="{C3380CC4-5D6E-409C-BE32-E72D297353CC}">
              <c16:uniqueId val="{00000002-D493-4A00-BE00-B549ABAC5195}"/>
            </c:ext>
          </c:extLst>
        </c:ser>
        <c:ser>
          <c:idx val="3"/>
          <c:order val="3"/>
          <c:tx>
            <c:strRef>
              <c:f>'[Za update papera CBA - inflacija - skupljanje podataka - 1998-2015 - 25 transition countries.xlsx]inflation per regime type'!$T$2</c:f>
              <c:strCache>
                <c:ptCount val="1"/>
                <c:pt idx="0">
                  <c:v>(Ex)-floaters-Europe</c:v>
                </c:pt>
              </c:strCache>
            </c:strRef>
          </c:tx>
          <c:spPr>
            <a:ln w="28575" cap="rnd">
              <a:solidFill>
                <a:schemeClr val="accent4"/>
              </a:solidFill>
              <a:round/>
            </a:ln>
            <a:effectLst/>
          </c:spPr>
          <c:marker>
            <c:symbol val="none"/>
          </c:marker>
          <c:cat>
            <c:strRef>
              <c:f>'[Za update papera CBA - inflacija - skupljanje podataka - 1998-2015 - 25 transition countries.xlsx]inflation per regime type'!$A$3:$A$20</c:f>
              <c:strCache>
                <c:ptCount val="18"/>
                <c:pt idx="0">
                  <c:v>98</c:v>
                </c:pt>
                <c:pt idx="1">
                  <c:v>99</c:v>
                </c:pt>
                <c:pt idx="2">
                  <c:v>00</c:v>
                </c:pt>
                <c:pt idx="3">
                  <c:v>01</c:v>
                </c:pt>
                <c:pt idx="4">
                  <c:v>02</c:v>
                </c:pt>
                <c:pt idx="5">
                  <c:v>03</c:v>
                </c:pt>
                <c:pt idx="6">
                  <c:v>04</c:v>
                </c:pt>
                <c:pt idx="7">
                  <c:v>05</c:v>
                </c:pt>
                <c:pt idx="8">
                  <c:v>06</c:v>
                </c:pt>
                <c:pt idx="9">
                  <c:v>07</c:v>
                </c:pt>
                <c:pt idx="10">
                  <c:v>08</c:v>
                </c:pt>
                <c:pt idx="11">
                  <c:v>09</c:v>
                </c:pt>
                <c:pt idx="12">
                  <c:v>10</c:v>
                </c:pt>
                <c:pt idx="13">
                  <c:v>11</c:v>
                </c:pt>
                <c:pt idx="14">
                  <c:v>12</c:v>
                </c:pt>
                <c:pt idx="15">
                  <c:v>13</c:v>
                </c:pt>
                <c:pt idx="16">
                  <c:v>14</c:v>
                </c:pt>
                <c:pt idx="17">
                  <c:v>15</c:v>
                </c:pt>
              </c:strCache>
            </c:strRef>
          </c:cat>
          <c:val>
            <c:numRef>
              <c:f>'[Za update papera CBA - inflacija - skupljanje podataka - 1998-2015 - 25 transition countries.xlsx]inflation per regime type'!$T$3:$T$20</c:f>
              <c:numCache>
                <c:formatCode>0.00</c:formatCode>
                <c:ptCount val="18"/>
                <c:pt idx="0">
                  <c:v>27.610835268245854</c:v>
                </c:pt>
                <c:pt idx="1">
                  <c:v>21.84195941869249</c:v>
                </c:pt>
                <c:pt idx="2">
                  <c:v>30.861165971352214</c:v>
                </c:pt>
                <c:pt idx="3">
                  <c:v>34.444866663922994</c:v>
                </c:pt>
                <c:pt idx="4">
                  <c:v>13.028291484069463</c:v>
                </c:pt>
                <c:pt idx="5">
                  <c:v>6.6845659570736728</c:v>
                </c:pt>
                <c:pt idx="6">
                  <c:v>6.5275172047457426</c:v>
                </c:pt>
                <c:pt idx="7">
                  <c:v>6.909845359479327</c:v>
                </c:pt>
                <c:pt idx="8">
                  <c:v>5.9732422566523624</c:v>
                </c:pt>
                <c:pt idx="9">
                  <c:v>4.1029815732447776</c:v>
                </c:pt>
                <c:pt idx="10">
                  <c:v>7.9876127516260809</c:v>
                </c:pt>
                <c:pt idx="11">
                  <c:v>3.8113706695394765</c:v>
                </c:pt>
                <c:pt idx="12">
                  <c:v>4.3247529994066074</c:v>
                </c:pt>
                <c:pt idx="13">
                  <c:v>6.0700690968673445</c:v>
                </c:pt>
                <c:pt idx="14">
                  <c:v>4.0029594191953572</c:v>
                </c:pt>
                <c:pt idx="15">
                  <c:v>4.1004062322327197</c:v>
                </c:pt>
                <c:pt idx="16">
                  <c:v>1.1255422198388425</c:v>
                </c:pt>
                <c:pt idx="17">
                  <c:v>0.59639249422858953</c:v>
                </c:pt>
              </c:numCache>
            </c:numRef>
          </c:val>
          <c:smooth val="0"/>
          <c:extLst>
            <c:ext xmlns:c16="http://schemas.microsoft.com/office/drawing/2014/chart" uri="{C3380CC4-5D6E-409C-BE32-E72D297353CC}">
              <c16:uniqueId val="{00000003-D493-4A00-BE00-B549ABAC5195}"/>
            </c:ext>
          </c:extLst>
        </c:ser>
        <c:ser>
          <c:idx val="4"/>
          <c:order val="4"/>
          <c:tx>
            <c:strRef>
              <c:f>'[Za update papera CBA - inflacija - skupljanje podataka - 1998-2015 - 25 transition countries.xlsx]inflation per regime type'!$AE$2</c:f>
              <c:strCache>
                <c:ptCount val="1"/>
                <c:pt idx="0">
                  <c:v>Mostly crawling band - Asian countries</c:v>
                </c:pt>
              </c:strCache>
            </c:strRef>
          </c:tx>
          <c:spPr>
            <a:ln w="28575" cap="rnd">
              <a:solidFill>
                <a:schemeClr val="accent5"/>
              </a:solidFill>
              <a:round/>
            </a:ln>
            <a:effectLst/>
          </c:spPr>
          <c:marker>
            <c:symbol val="none"/>
          </c:marker>
          <c:cat>
            <c:strRef>
              <c:f>'[Za update papera CBA - inflacija - skupljanje podataka - 1998-2015 - 25 transition countries.xlsx]inflation per regime type'!$A$3:$A$20</c:f>
              <c:strCache>
                <c:ptCount val="18"/>
                <c:pt idx="0">
                  <c:v>98</c:v>
                </c:pt>
                <c:pt idx="1">
                  <c:v>99</c:v>
                </c:pt>
                <c:pt idx="2">
                  <c:v>00</c:v>
                </c:pt>
                <c:pt idx="3">
                  <c:v>01</c:v>
                </c:pt>
                <c:pt idx="4">
                  <c:v>02</c:v>
                </c:pt>
                <c:pt idx="5">
                  <c:v>03</c:v>
                </c:pt>
                <c:pt idx="6">
                  <c:v>04</c:v>
                </c:pt>
                <c:pt idx="7">
                  <c:v>05</c:v>
                </c:pt>
                <c:pt idx="8">
                  <c:v>06</c:v>
                </c:pt>
                <c:pt idx="9">
                  <c:v>07</c:v>
                </c:pt>
                <c:pt idx="10">
                  <c:v>08</c:v>
                </c:pt>
                <c:pt idx="11">
                  <c:v>09</c:v>
                </c:pt>
                <c:pt idx="12">
                  <c:v>10</c:v>
                </c:pt>
                <c:pt idx="13">
                  <c:v>11</c:v>
                </c:pt>
                <c:pt idx="14">
                  <c:v>12</c:v>
                </c:pt>
                <c:pt idx="15">
                  <c:v>13</c:v>
                </c:pt>
                <c:pt idx="16">
                  <c:v>14</c:v>
                </c:pt>
                <c:pt idx="17">
                  <c:v>15</c:v>
                </c:pt>
              </c:strCache>
            </c:strRef>
          </c:cat>
          <c:val>
            <c:numRef>
              <c:f>'[Za update papera CBA - inflacija - skupljanje podataka - 1998-2015 - 25 transition countries.xlsx]inflation per regime type'!$AE$3:$AE$20</c:f>
              <c:numCache>
                <c:formatCode>0.00</c:formatCode>
                <c:ptCount val="18"/>
                <c:pt idx="0">
                  <c:v>16.442056786541016</c:v>
                </c:pt>
                <c:pt idx="1">
                  <c:v>55.324113982566629</c:v>
                </c:pt>
                <c:pt idx="2">
                  <c:v>31.745003503530963</c:v>
                </c:pt>
                <c:pt idx="3">
                  <c:v>16.739279810263021</c:v>
                </c:pt>
                <c:pt idx="4">
                  <c:v>9.3980444631821651</c:v>
                </c:pt>
                <c:pt idx="5">
                  <c:v>9.2390274453757808</c:v>
                </c:pt>
                <c:pt idx="6">
                  <c:v>8.7957690496021286</c:v>
                </c:pt>
                <c:pt idx="7">
                  <c:v>8.5953450118069661</c:v>
                </c:pt>
                <c:pt idx="8">
                  <c:v>8.3240873891728473</c:v>
                </c:pt>
                <c:pt idx="9">
                  <c:v>10.672924622246246</c:v>
                </c:pt>
                <c:pt idx="10">
                  <c:v>16.896670227865862</c:v>
                </c:pt>
                <c:pt idx="11">
                  <c:v>6.7639845105057503</c:v>
                </c:pt>
                <c:pt idx="12">
                  <c:v>7.3764727164771644</c:v>
                </c:pt>
                <c:pt idx="13">
                  <c:v>13.854819648171366</c:v>
                </c:pt>
                <c:pt idx="14">
                  <c:v>8.5750648474304185</c:v>
                </c:pt>
                <c:pt idx="15">
                  <c:v>5.4570323724199792</c:v>
                </c:pt>
                <c:pt idx="16">
                  <c:v>7.1001411541130128</c:v>
                </c:pt>
                <c:pt idx="17">
                  <c:v>12.398079471776501</c:v>
                </c:pt>
              </c:numCache>
            </c:numRef>
          </c:val>
          <c:smooth val="0"/>
          <c:extLst>
            <c:ext xmlns:c16="http://schemas.microsoft.com/office/drawing/2014/chart" uri="{C3380CC4-5D6E-409C-BE32-E72D297353CC}">
              <c16:uniqueId val="{00000004-D493-4A00-BE00-B549ABAC5195}"/>
            </c:ext>
          </c:extLst>
        </c:ser>
        <c:dLbls>
          <c:showLegendKey val="0"/>
          <c:showVal val="0"/>
          <c:showCatName val="0"/>
          <c:showSerName val="0"/>
          <c:showPercent val="0"/>
          <c:showBubbleSize val="0"/>
        </c:dLbls>
        <c:smooth val="0"/>
        <c:axId val="300738496"/>
        <c:axId val="300738888"/>
      </c:lineChart>
      <c:catAx>
        <c:axId val="300738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BA"/>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00738888"/>
        <c:crosses val="autoZero"/>
        <c:auto val="1"/>
        <c:lblAlgn val="ctr"/>
        <c:lblOffset val="100"/>
        <c:noMultiLvlLbl val="0"/>
      </c:catAx>
      <c:valAx>
        <c:axId val="300738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Inflation rate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00738496"/>
        <c:crosses val="autoZero"/>
        <c:crossBetween val="between"/>
      </c:valAx>
      <c:spPr>
        <a:noFill/>
        <a:ln>
          <a:noFill/>
        </a:ln>
        <a:effectLst/>
      </c:spPr>
    </c:plotArea>
    <c:legend>
      <c:legendPos val="b"/>
      <c:layout>
        <c:manualLayout>
          <c:xMode val="edge"/>
          <c:yMode val="edge"/>
          <c:x val="4.8299515445184737E-2"/>
          <c:y val="0.83310097338665245"/>
          <c:w val="0.93246971532404599"/>
          <c:h val="0.151481203609955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'[Za update papera CBA - inflacija - skupljanje podataka - 1998-2015 - 25 transition countries.xlsx]inflation per regime type'!$F$2</c:f>
              <c:strCache>
                <c:ptCount val="1"/>
                <c:pt idx="0">
                  <c:v>CBA</c:v>
                </c:pt>
              </c:strCache>
            </c:strRef>
          </c:tx>
          <c:spPr>
            <a:ln w="28575" cap="rnd">
              <a:solidFill>
                <a:schemeClr val="accent1"/>
              </a:solidFill>
              <a:round/>
            </a:ln>
            <a:effectLst/>
          </c:spPr>
          <c:marker>
            <c:symbol val="none"/>
          </c:marker>
          <c:cat>
            <c:strRef>
              <c:f>'[Za update papera CBA - inflacija - skupljanje podataka - 1998-2015 - 25 transition countries.xlsx]inflation per regime type'!$A$3:$A$20</c:f>
              <c:strCache>
                <c:ptCount val="18"/>
                <c:pt idx="0">
                  <c:v>98</c:v>
                </c:pt>
                <c:pt idx="1">
                  <c:v>99</c:v>
                </c:pt>
                <c:pt idx="2">
                  <c:v>00</c:v>
                </c:pt>
                <c:pt idx="3">
                  <c:v>01</c:v>
                </c:pt>
                <c:pt idx="4">
                  <c:v>02</c:v>
                </c:pt>
                <c:pt idx="5">
                  <c:v>03</c:v>
                </c:pt>
                <c:pt idx="6">
                  <c:v>04</c:v>
                </c:pt>
                <c:pt idx="7">
                  <c:v>05</c:v>
                </c:pt>
                <c:pt idx="8">
                  <c:v>06</c:v>
                </c:pt>
                <c:pt idx="9">
                  <c:v>07</c:v>
                </c:pt>
                <c:pt idx="10">
                  <c:v>08</c:v>
                </c:pt>
                <c:pt idx="11">
                  <c:v>09</c:v>
                </c:pt>
                <c:pt idx="12">
                  <c:v>10</c:v>
                </c:pt>
                <c:pt idx="13">
                  <c:v>11</c:v>
                </c:pt>
                <c:pt idx="14">
                  <c:v>12</c:v>
                </c:pt>
                <c:pt idx="15">
                  <c:v>13</c:v>
                </c:pt>
                <c:pt idx="16">
                  <c:v>14</c:v>
                </c:pt>
                <c:pt idx="17">
                  <c:v>15</c:v>
                </c:pt>
              </c:strCache>
            </c:strRef>
          </c:cat>
          <c:val>
            <c:numRef>
              <c:f>'[Za update papera CBA - inflacija - skupljanje podataka - 1998-2015 - 25 transition countries.xlsx]inflation per regime type'!$F$3:$F$20</c:f>
              <c:numCache>
                <c:formatCode>0.00</c:formatCode>
                <c:ptCount val="18"/>
                <c:pt idx="0">
                  <c:v>11.413881854474042</c:v>
                </c:pt>
                <c:pt idx="1">
                  <c:v>2.6057073400965267</c:v>
                </c:pt>
                <c:pt idx="2">
                  <c:v>5.0357569362288599</c:v>
                </c:pt>
                <c:pt idx="3">
                  <c:v>4.3903539888257725</c:v>
                </c:pt>
                <c:pt idx="4">
                  <c:v>2.5199390961681392</c:v>
                </c:pt>
                <c:pt idx="5">
                  <c:v>0.73741087787823745</c:v>
                </c:pt>
                <c:pt idx="6">
                  <c:v>2.7438816483660999</c:v>
                </c:pt>
                <c:pt idx="7">
                  <c:v>3.892999097819855</c:v>
                </c:pt>
                <c:pt idx="8">
                  <c:v>5.3841413008198549</c:v>
                </c:pt>
                <c:pt idx="9">
                  <c:v>5.5575923629705297</c:v>
                </c:pt>
                <c:pt idx="10">
                  <c:v>10.260446644819201</c:v>
                </c:pt>
                <c:pt idx="11">
                  <c:v>1.6761033195784991</c:v>
                </c:pt>
                <c:pt idx="12">
                  <c:v>2.212201254005095</c:v>
                </c:pt>
                <c:pt idx="13">
                  <c:v>4.2577128957798926</c:v>
                </c:pt>
                <c:pt idx="14">
                  <c:v>3.0191134262650077</c:v>
                </c:pt>
                <c:pt idx="15">
                  <c:v>1.1565142394103205</c:v>
                </c:pt>
                <c:pt idx="16">
                  <c:v>-0.58911101093898122</c:v>
                </c:pt>
                <c:pt idx="17">
                  <c:v>-0.61016462858634379</c:v>
                </c:pt>
              </c:numCache>
            </c:numRef>
          </c:val>
          <c:smooth val="0"/>
          <c:extLst>
            <c:ext xmlns:c16="http://schemas.microsoft.com/office/drawing/2014/chart" uri="{C3380CC4-5D6E-409C-BE32-E72D297353CC}">
              <c16:uniqueId val="{00000000-6579-4692-BA66-F0D87302F614}"/>
            </c:ext>
          </c:extLst>
        </c:ser>
        <c:ser>
          <c:idx val="1"/>
          <c:order val="1"/>
          <c:tx>
            <c:strRef>
              <c:f>'[Za update papera CBA - inflacija - skupljanje podataka - 1998-2015 - 25 transition countries.xlsx]inflation per regime type'!$K$2</c:f>
              <c:strCache>
                <c:ptCount val="1"/>
                <c:pt idx="0">
                  <c:v>De facto fix</c:v>
                </c:pt>
              </c:strCache>
            </c:strRef>
          </c:tx>
          <c:spPr>
            <a:ln w="28575" cap="rnd">
              <a:solidFill>
                <a:schemeClr val="accent2"/>
              </a:solidFill>
              <a:round/>
            </a:ln>
            <a:effectLst/>
          </c:spPr>
          <c:marker>
            <c:symbol val="none"/>
          </c:marker>
          <c:cat>
            <c:strRef>
              <c:f>'[Za update papera CBA - inflacija - skupljanje podataka - 1998-2015 - 25 transition countries.xlsx]inflation per regime type'!$A$3:$A$20</c:f>
              <c:strCache>
                <c:ptCount val="18"/>
                <c:pt idx="0">
                  <c:v>98</c:v>
                </c:pt>
                <c:pt idx="1">
                  <c:v>99</c:v>
                </c:pt>
                <c:pt idx="2">
                  <c:v>00</c:v>
                </c:pt>
                <c:pt idx="3">
                  <c:v>01</c:v>
                </c:pt>
                <c:pt idx="4">
                  <c:v>02</c:v>
                </c:pt>
                <c:pt idx="5">
                  <c:v>03</c:v>
                </c:pt>
                <c:pt idx="6">
                  <c:v>04</c:v>
                </c:pt>
                <c:pt idx="7">
                  <c:v>05</c:v>
                </c:pt>
                <c:pt idx="8">
                  <c:v>06</c:v>
                </c:pt>
                <c:pt idx="9">
                  <c:v>07</c:v>
                </c:pt>
                <c:pt idx="10">
                  <c:v>08</c:v>
                </c:pt>
                <c:pt idx="11">
                  <c:v>09</c:v>
                </c:pt>
                <c:pt idx="12">
                  <c:v>10</c:v>
                </c:pt>
                <c:pt idx="13">
                  <c:v>11</c:v>
                </c:pt>
                <c:pt idx="14">
                  <c:v>12</c:v>
                </c:pt>
                <c:pt idx="15">
                  <c:v>13</c:v>
                </c:pt>
                <c:pt idx="16">
                  <c:v>14</c:v>
                </c:pt>
                <c:pt idx="17">
                  <c:v>15</c:v>
                </c:pt>
              </c:strCache>
            </c:strRef>
          </c:cat>
          <c:val>
            <c:numRef>
              <c:f>'[Za update papera CBA - inflacija - skupljanje podataka - 1998-2015 - 25 transition countries.xlsx]inflation per regime type'!$K$3:$K$20</c:f>
              <c:numCache>
                <c:formatCode>0.00</c:formatCode>
                <c:ptCount val="18"/>
                <c:pt idx="0">
                  <c:v>6.4166523162075944</c:v>
                </c:pt>
                <c:pt idx="1">
                  <c:v>5.7744702447238456</c:v>
                </c:pt>
                <c:pt idx="2">
                  <c:v>7.0436220732646522</c:v>
                </c:pt>
                <c:pt idx="3">
                  <c:v>5.5018713044563921</c:v>
                </c:pt>
                <c:pt idx="4">
                  <c:v>3.5970648691348974</c:v>
                </c:pt>
                <c:pt idx="5">
                  <c:v>4.7142264868151154</c:v>
                </c:pt>
                <c:pt idx="6">
                  <c:v>4.8521702820346002</c:v>
                </c:pt>
                <c:pt idx="7">
                  <c:v>3.8068258748108925</c:v>
                </c:pt>
                <c:pt idx="8">
                  <c:v>4.1589296708161747</c:v>
                </c:pt>
                <c:pt idx="9">
                  <c:v>4.8520042188626702</c:v>
                </c:pt>
                <c:pt idx="10">
                  <c:v>7.9393786137789579</c:v>
                </c:pt>
                <c:pt idx="11">
                  <c:v>2.0801874171750128</c:v>
                </c:pt>
                <c:pt idx="12">
                  <c:v>0.68946868032059161</c:v>
                </c:pt>
                <c:pt idx="13">
                  <c:v>3.1009368965519002</c:v>
                </c:pt>
                <c:pt idx="14">
                  <c:v>2.9569864449155547</c:v>
                </c:pt>
                <c:pt idx="15">
                  <c:v>1.3443517482922624</c:v>
                </c:pt>
                <c:pt idx="16">
                  <c:v>0.12930815964982242</c:v>
                </c:pt>
                <c:pt idx="17">
                  <c:v>-0.27655800079534676</c:v>
                </c:pt>
              </c:numCache>
            </c:numRef>
          </c:val>
          <c:smooth val="0"/>
          <c:extLst>
            <c:ext xmlns:c16="http://schemas.microsoft.com/office/drawing/2014/chart" uri="{C3380CC4-5D6E-409C-BE32-E72D297353CC}">
              <c16:uniqueId val="{00000001-6579-4692-BA66-F0D87302F614}"/>
            </c:ext>
          </c:extLst>
        </c:ser>
        <c:ser>
          <c:idx val="2"/>
          <c:order val="2"/>
          <c:tx>
            <c:strRef>
              <c:f>'[Za update papera CBA - inflacija - skupljanje podataka - 1998-2015 - 25 transition countries.xlsx]inflation per regime type'!$O$2</c:f>
              <c:strCache>
                <c:ptCount val="1"/>
                <c:pt idx="0">
                  <c:v>From fixed to inflation targeting </c:v>
                </c:pt>
              </c:strCache>
            </c:strRef>
          </c:tx>
          <c:spPr>
            <a:ln w="28575" cap="rnd">
              <a:solidFill>
                <a:schemeClr val="accent3"/>
              </a:solidFill>
              <a:round/>
            </a:ln>
            <a:effectLst/>
          </c:spPr>
          <c:marker>
            <c:symbol val="none"/>
          </c:marker>
          <c:cat>
            <c:strRef>
              <c:f>'[Za update papera CBA - inflacija - skupljanje podataka - 1998-2015 - 25 transition countries.xlsx]inflation per regime type'!$A$3:$A$20</c:f>
              <c:strCache>
                <c:ptCount val="18"/>
                <c:pt idx="0">
                  <c:v>98</c:v>
                </c:pt>
                <c:pt idx="1">
                  <c:v>99</c:v>
                </c:pt>
                <c:pt idx="2">
                  <c:v>00</c:v>
                </c:pt>
                <c:pt idx="3">
                  <c:v>01</c:v>
                </c:pt>
                <c:pt idx="4">
                  <c:v>02</c:v>
                </c:pt>
                <c:pt idx="5">
                  <c:v>03</c:v>
                </c:pt>
                <c:pt idx="6">
                  <c:v>04</c:v>
                </c:pt>
                <c:pt idx="7">
                  <c:v>05</c:v>
                </c:pt>
                <c:pt idx="8">
                  <c:v>06</c:v>
                </c:pt>
                <c:pt idx="9">
                  <c:v>07</c:v>
                </c:pt>
                <c:pt idx="10">
                  <c:v>08</c:v>
                </c:pt>
                <c:pt idx="11">
                  <c:v>09</c:v>
                </c:pt>
                <c:pt idx="12">
                  <c:v>10</c:v>
                </c:pt>
                <c:pt idx="13">
                  <c:v>11</c:v>
                </c:pt>
                <c:pt idx="14">
                  <c:v>12</c:v>
                </c:pt>
                <c:pt idx="15">
                  <c:v>13</c:v>
                </c:pt>
                <c:pt idx="16">
                  <c:v>14</c:v>
                </c:pt>
                <c:pt idx="17">
                  <c:v>15</c:v>
                </c:pt>
              </c:strCache>
            </c:strRef>
          </c:cat>
          <c:val>
            <c:numRef>
              <c:f>'[Za update papera CBA - inflacija - skupljanje podataka - 1998-2015 - 25 transition countries.xlsx]inflation per regime type'!$O$3:$O$20</c:f>
              <c:numCache>
                <c:formatCode>0.00</c:formatCode>
                <c:ptCount val="18"/>
                <c:pt idx="0">
                  <c:v>12.175602747790165</c:v>
                </c:pt>
                <c:pt idx="1">
                  <c:v>6.4830187598239233</c:v>
                </c:pt>
                <c:pt idx="2">
                  <c:v>7.9144121534849035</c:v>
                </c:pt>
                <c:pt idx="3">
                  <c:v>6.4511106077601825</c:v>
                </c:pt>
                <c:pt idx="4">
                  <c:v>2.9822713043483398</c:v>
                </c:pt>
                <c:pt idx="5">
                  <c:v>1.848028318937539</c:v>
                </c:pt>
                <c:pt idx="6">
                  <c:v>4.3945927152537934</c:v>
                </c:pt>
                <c:pt idx="7">
                  <c:v>2.5013432581029633</c:v>
                </c:pt>
                <c:pt idx="8">
                  <c:v>2.5071204383580565</c:v>
                </c:pt>
                <c:pt idx="9">
                  <c:v>4.4168373492388033</c:v>
                </c:pt>
                <c:pt idx="10">
                  <c:v>5.5888405590511399</c:v>
                </c:pt>
                <c:pt idx="11">
                  <c:v>3.0266598684499364</c:v>
                </c:pt>
                <c:pt idx="12">
                  <c:v>2.9991717863927794</c:v>
                </c:pt>
                <c:pt idx="13">
                  <c:v>3.3718192656735262</c:v>
                </c:pt>
                <c:pt idx="14">
                  <c:v>4.1745275666523236</c:v>
                </c:pt>
                <c:pt idx="15">
                  <c:v>1.3966996385687835</c:v>
                </c:pt>
                <c:pt idx="16">
                  <c:v>7.3941236270807661E-2</c:v>
                </c:pt>
                <c:pt idx="17">
                  <c:v>-0.2389334680402587</c:v>
                </c:pt>
              </c:numCache>
            </c:numRef>
          </c:val>
          <c:smooth val="0"/>
          <c:extLst>
            <c:ext xmlns:c16="http://schemas.microsoft.com/office/drawing/2014/chart" uri="{C3380CC4-5D6E-409C-BE32-E72D297353CC}">
              <c16:uniqueId val="{00000002-6579-4692-BA66-F0D87302F614}"/>
            </c:ext>
          </c:extLst>
        </c:ser>
        <c:dLbls>
          <c:showLegendKey val="0"/>
          <c:showVal val="0"/>
          <c:showCatName val="0"/>
          <c:showSerName val="0"/>
          <c:showPercent val="0"/>
          <c:showBubbleSize val="0"/>
        </c:dLbls>
        <c:smooth val="0"/>
        <c:axId val="239689688"/>
        <c:axId val="239690080"/>
      </c:lineChart>
      <c:catAx>
        <c:axId val="239689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9690080"/>
        <c:crosses val="autoZero"/>
        <c:auto val="1"/>
        <c:lblAlgn val="ctr"/>
        <c:lblOffset val="100"/>
        <c:noMultiLvlLbl val="0"/>
      </c:catAx>
      <c:valAx>
        <c:axId val="239690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Inflation rate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r-Latn-R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39689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inflation!$J$2</c:f>
              <c:strCache>
                <c:ptCount val="1"/>
                <c:pt idx="0">
                  <c:v>CEB</c:v>
                </c:pt>
              </c:strCache>
            </c:strRef>
          </c:tx>
          <c:spPr>
            <a:ln w="28575" cap="rnd">
              <a:solidFill>
                <a:schemeClr val="accent1"/>
              </a:solidFill>
              <a:round/>
            </a:ln>
            <a:effectLst/>
          </c:spPr>
          <c:marker>
            <c:symbol val="none"/>
          </c:marker>
          <c:cat>
            <c:strRef>
              <c:f>inflation!$A$3:$A$20</c:f>
              <c:strCache>
                <c:ptCount val="18"/>
                <c:pt idx="0">
                  <c:v>98</c:v>
                </c:pt>
                <c:pt idx="1">
                  <c:v>99</c:v>
                </c:pt>
                <c:pt idx="2">
                  <c:v>00</c:v>
                </c:pt>
                <c:pt idx="3">
                  <c:v>01</c:v>
                </c:pt>
                <c:pt idx="4">
                  <c:v>02</c:v>
                </c:pt>
                <c:pt idx="5">
                  <c:v>03</c:v>
                </c:pt>
                <c:pt idx="6">
                  <c:v>04</c:v>
                </c:pt>
                <c:pt idx="7">
                  <c:v>05</c:v>
                </c:pt>
                <c:pt idx="8">
                  <c:v>06</c:v>
                </c:pt>
                <c:pt idx="9">
                  <c:v>07</c:v>
                </c:pt>
                <c:pt idx="10">
                  <c:v>08</c:v>
                </c:pt>
                <c:pt idx="11">
                  <c:v>09</c:v>
                </c:pt>
                <c:pt idx="12">
                  <c:v>10</c:v>
                </c:pt>
                <c:pt idx="13">
                  <c:v>11</c:v>
                </c:pt>
                <c:pt idx="14">
                  <c:v>12</c:v>
                </c:pt>
                <c:pt idx="15">
                  <c:v>13</c:v>
                </c:pt>
                <c:pt idx="16">
                  <c:v>14</c:v>
                </c:pt>
                <c:pt idx="17">
                  <c:v>15</c:v>
                </c:pt>
              </c:strCache>
            </c:strRef>
          </c:cat>
          <c:val>
            <c:numRef>
              <c:f>inflation!$J$3:$J$20</c:f>
              <c:numCache>
                <c:formatCode>0.00</c:formatCode>
                <c:ptCount val="18"/>
                <c:pt idx="0">
                  <c:v>8.6349998165586506</c:v>
                </c:pt>
                <c:pt idx="1">
                  <c:v>5.3222023498717945</c:v>
                </c:pt>
                <c:pt idx="2">
                  <c:v>6.5416471440340196</c:v>
                </c:pt>
                <c:pt idx="3">
                  <c:v>5.5855725016855491</c:v>
                </c:pt>
                <c:pt idx="4">
                  <c:v>3.1916143609355037</c:v>
                </c:pt>
                <c:pt idx="5">
                  <c:v>2.8532736963301071</c:v>
                </c:pt>
                <c:pt idx="6">
                  <c:v>4.3458069916976996</c:v>
                </c:pt>
                <c:pt idx="7">
                  <c:v>3.2684134857570402</c:v>
                </c:pt>
                <c:pt idx="8">
                  <c:v>3.64277574678552</c:v>
                </c:pt>
                <c:pt idx="9">
                  <c:v>5.2608911082274545</c:v>
                </c:pt>
                <c:pt idx="10">
                  <c:v>7.9675102798021076</c:v>
                </c:pt>
                <c:pt idx="11">
                  <c:v>2.4216802008247909</c:v>
                </c:pt>
                <c:pt idx="12">
                  <c:v>1.8793311797630197</c:v>
                </c:pt>
                <c:pt idx="13">
                  <c:v>3.6696782784502662</c:v>
                </c:pt>
                <c:pt idx="14">
                  <c:v>3.495167549444409</c:v>
                </c:pt>
                <c:pt idx="15">
                  <c:v>1.3983609076632177</c:v>
                </c:pt>
                <c:pt idx="16">
                  <c:v>0.11449139059660771</c:v>
                </c:pt>
                <c:pt idx="17">
                  <c:v>-0.33678994802315559</c:v>
                </c:pt>
              </c:numCache>
            </c:numRef>
          </c:val>
          <c:smooth val="0"/>
          <c:extLst>
            <c:ext xmlns:c16="http://schemas.microsoft.com/office/drawing/2014/chart" uri="{C3380CC4-5D6E-409C-BE32-E72D297353CC}">
              <c16:uniqueId val="{00000000-B90F-440B-BFCF-78FD152C53E3}"/>
            </c:ext>
          </c:extLst>
        </c:ser>
        <c:ser>
          <c:idx val="1"/>
          <c:order val="1"/>
          <c:tx>
            <c:strRef>
              <c:f>inflation!$R$2</c:f>
              <c:strCache>
                <c:ptCount val="1"/>
                <c:pt idx="0">
                  <c:v>SEE</c:v>
                </c:pt>
              </c:strCache>
            </c:strRef>
          </c:tx>
          <c:spPr>
            <a:ln w="28575" cap="rnd">
              <a:solidFill>
                <a:schemeClr val="accent2"/>
              </a:solidFill>
              <a:round/>
            </a:ln>
            <a:effectLst/>
          </c:spPr>
          <c:marker>
            <c:symbol val="none"/>
          </c:marker>
          <c:cat>
            <c:strRef>
              <c:f>inflation!$A$3:$A$20</c:f>
              <c:strCache>
                <c:ptCount val="18"/>
                <c:pt idx="0">
                  <c:v>98</c:v>
                </c:pt>
                <c:pt idx="1">
                  <c:v>99</c:v>
                </c:pt>
                <c:pt idx="2">
                  <c:v>00</c:v>
                </c:pt>
                <c:pt idx="3">
                  <c:v>01</c:v>
                </c:pt>
                <c:pt idx="4">
                  <c:v>02</c:v>
                </c:pt>
                <c:pt idx="5">
                  <c:v>03</c:v>
                </c:pt>
                <c:pt idx="6">
                  <c:v>04</c:v>
                </c:pt>
                <c:pt idx="7">
                  <c:v>05</c:v>
                </c:pt>
                <c:pt idx="8">
                  <c:v>06</c:v>
                </c:pt>
                <c:pt idx="9">
                  <c:v>07</c:v>
                </c:pt>
                <c:pt idx="10">
                  <c:v>08</c:v>
                </c:pt>
                <c:pt idx="11">
                  <c:v>09</c:v>
                </c:pt>
                <c:pt idx="12">
                  <c:v>10</c:v>
                </c:pt>
                <c:pt idx="13">
                  <c:v>11</c:v>
                </c:pt>
                <c:pt idx="14">
                  <c:v>12</c:v>
                </c:pt>
                <c:pt idx="15">
                  <c:v>13</c:v>
                </c:pt>
                <c:pt idx="16">
                  <c:v>14</c:v>
                </c:pt>
                <c:pt idx="17">
                  <c:v>15</c:v>
                </c:pt>
              </c:strCache>
            </c:strRef>
          </c:cat>
          <c:val>
            <c:numRef>
              <c:f>inflation!$R$3:$R$20</c:f>
              <c:numCache>
                <c:formatCode>0.00</c:formatCode>
                <c:ptCount val="18"/>
                <c:pt idx="0">
                  <c:v>21.316041066658752</c:v>
                </c:pt>
                <c:pt idx="1">
                  <c:v>13.965712213506981</c:v>
                </c:pt>
                <c:pt idx="2">
                  <c:v>20.453177033080781</c:v>
                </c:pt>
                <c:pt idx="3">
                  <c:v>21.716731376945255</c:v>
                </c:pt>
                <c:pt idx="4">
                  <c:v>8.5707258318644257</c:v>
                </c:pt>
                <c:pt idx="5">
                  <c:v>4.4661012390342663</c:v>
                </c:pt>
                <c:pt idx="6">
                  <c:v>4.9873712503950784</c:v>
                </c:pt>
                <c:pt idx="7">
                  <c:v>5.6850576023846955</c:v>
                </c:pt>
                <c:pt idx="8">
                  <c:v>5.7777726077062255</c:v>
                </c:pt>
                <c:pt idx="9">
                  <c:v>4.1733851146012393</c:v>
                </c:pt>
                <c:pt idx="10">
                  <c:v>8.2537416399476449</c:v>
                </c:pt>
                <c:pt idx="11">
                  <c:v>2.8538833748462054</c:v>
                </c:pt>
                <c:pt idx="12">
                  <c:v>3.2669368080004801</c:v>
                </c:pt>
                <c:pt idx="13">
                  <c:v>4.9247010180307145</c:v>
                </c:pt>
                <c:pt idx="14">
                  <c:v>3.4969256379864828</c:v>
                </c:pt>
                <c:pt idx="15">
                  <c:v>2.7726143620202603</c:v>
                </c:pt>
                <c:pt idx="16">
                  <c:v>0.28126429403404229</c:v>
                </c:pt>
                <c:pt idx="17">
                  <c:v>0.11659980563600929</c:v>
                </c:pt>
              </c:numCache>
            </c:numRef>
          </c:val>
          <c:smooth val="0"/>
          <c:extLst>
            <c:ext xmlns:c16="http://schemas.microsoft.com/office/drawing/2014/chart" uri="{C3380CC4-5D6E-409C-BE32-E72D297353CC}">
              <c16:uniqueId val="{00000001-B90F-440B-BFCF-78FD152C53E3}"/>
            </c:ext>
          </c:extLst>
        </c:ser>
        <c:ser>
          <c:idx val="2"/>
          <c:order val="2"/>
          <c:tx>
            <c:strRef>
              <c:f>inflation!$AC$2</c:f>
              <c:strCache>
                <c:ptCount val="1"/>
                <c:pt idx="0">
                  <c:v>CIS</c:v>
                </c:pt>
              </c:strCache>
            </c:strRef>
          </c:tx>
          <c:spPr>
            <a:ln w="28575" cap="rnd">
              <a:solidFill>
                <a:schemeClr val="accent3"/>
              </a:solidFill>
              <a:round/>
            </a:ln>
            <a:effectLst/>
          </c:spPr>
          <c:marker>
            <c:symbol val="none"/>
          </c:marker>
          <c:cat>
            <c:strRef>
              <c:f>inflation!$A$3:$A$20</c:f>
              <c:strCache>
                <c:ptCount val="18"/>
                <c:pt idx="0">
                  <c:v>98</c:v>
                </c:pt>
                <c:pt idx="1">
                  <c:v>99</c:v>
                </c:pt>
                <c:pt idx="2">
                  <c:v>00</c:v>
                </c:pt>
                <c:pt idx="3">
                  <c:v>01</c:v>
                </c:pt>
                <c:pt idx="4">
                  <c:v>02</c:v>
                </c:pt>
                <c:pt idx="5">
                  <c:v>03</c:v>
                </c:pt>
                <c:pt idx="6">
                  <c:v>04</c:v>
                </c:pt>
                <c:pt idx="7">
                  <c:v>05</c:v>
                </c:pt>
                <c:pt idx="8">
                  <c:v>06</c:v>
                </c:pt>
                <c:pt idx="9">
                  <c:v>07</c:v>
                </c:pt>
                <c:pt idx="10">
                  <c:v>08</c:v>
                </c:pt>
                <c:pt idx="11">
                  <c:v>09</c:v>
                </c:pt>
                <c:pt idx="12">
                  <c:v>10</c:v>
                </c:pt>
                <c:pt idx="13">
                  <c:v>11</c:v>
                </c:pt>
                <c:pt idx="14">
                  <c:v>12</c:v>
                </c:pt>
                <c:pt idx="15">
                  <c:v>13</c:v>
                </c:pt>
                <c:pt idx="16">
                  <c:v>14</c:v>
                </c:pt>
                <c:pt idx="17">
                  <c:v>15</c:v>
                </c:pt>
              </c:strCache>
            </c:strRef>
          </c:cat>
          <c:val>
            <c:numRef>
              <c:f>inflation!$AC$3:$AC$20</c:f>
              <c:numCache>
                <c:formatCode>0.00</c:formatCode>
                <c:ptCount val="18"/>
                <c:pt idx="0">
                  <c:v>16.442056786541016</c:v>
                </c:pt>
                <c:pt idx="1">
                  <c:v>55.324113982566644</c:v>
                </c:pt>
                <c:pt idx="2">
                  <c:v>31.74500350353097</c:v>
                </c:pt>
                <c:pt idx="3">
                  <c:v>16.739279810263021</c:v>
                </c:pt>
                <c:pt idx="4">
                  <c:v>9.3980444631821634</c:v>
                </c:pt>
                <c:pt idx="5">
                  <c:v>9.2390274453757808</c:v>
                </c:pt>
                <c:pt idx="6">
                  <c:v>8.7957690496021286</c:v>
                </c:pt>
                <c:pt idx="7">
                  <c:v>8.5953450118069661</c:v>
                </c:pt>
                <c:pt idx="8">
                  <c:v>8.3240873891728473</c:v>
                </c:pt>
                <c:pt idx="9">
                  <c:v>10.672924622246247</c:v>
                </c:pt>
                <c:pt idx="10">
                  <c:v>16.896670227865858</c:v>
                </c:pt>
                <c:pt idx="11">
                  <c:v>6.7639845105057486</c:v>
                </c:pt>
                <c:pt idx="12">
                  <c:v>7.3764727164771626</c:v>
                </c:pt>
                <c:pt idx="13">
                  <c:v>13.854819648171366</c:v>
                </c:pt>
                <c:pt idx="14">
                  <c:v>8.5750648474304167</c:v>
                </c:pt>
                <c:pt idx="15">
                  <c:v>5.4570323724199783</c:v>
                </c:pt>
                <c:pt idx="16">
                  <c:v>7.1001411541130137</c:v>
                </c:pt>
                <c:pt idx="17">
                  <c:v>12.3980794717765</c:v>
                </c:pt>
              </c:numCache>
            </c:numRef>
          </c:val>
          <c:smooth val="0"/>
          <c:extLst>
            <c:ext xmlns:c16="http://schemas.microsoft.com/office/drawing/2014/chart" uri="{C3380CC4-5D6E-409C-BE32-E72D297353CC}">
              <c16:uniqueId val="{00000002-B90F-440B-BFCF-78FD152C53E3}"/>
            </c:ext>
          </c:extLst>
        </c:ser>
        <c:dLbls>
          <c:showLegendKey val="0"/>
          <c:showVal val="0"/>
          <c:showCatName val="0"/>
          <c:showSerName val="0"/>
          <c:showPercent val="0"/>
          <c:showBubbleSize val="0"/>
        </c:dLbls>
        <c:smooth val="0"/>
        <c:axId val="401203808"/>
        <c:axId val="401194560"/>
      </c:lineChart>
      <c:catAx>
        <c:axId val="401203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401194560"/>
        <c:crosses val="autoZero"/>
        <c:auto val="1"/>
        <c:lblAlgn val="ctr"/>
        <c:lblOffset val="100"/>
        <c:noMultiLvlLbl val="0"/>
      </c:catAx>
      <c:valAx>
        <c:axId val="401194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Inflation rate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401203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81CF2-2DE9-4A07-9B0F-E9F89644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30</Pages>
  <Words>10253</Words>
  <Characters>58447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Selena</cp:lastModifiedBy>
  <cp:revision>65</cp:revision>
  <dcterms:created xsi:type="dcterms:W3CDTF">2019-10-02T08:48:00Z</dcterms:created>
  <dcterms:modified xsi:type="dcterms:W3CDTF">2019-11-06T20:38:00Z</dcterms:modified>
</cp:coreProperties>
</file>