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842BF" w14:textId="217BDC6D" w:rsidR="00BB7B6A" w:rsidRPr="001315F0" w:rsidRDefault="00BB7B6A" w:rsidP="00BB7B6A">
      <w:pPr>
        <w:pStyle w:val="NormalWeb"/>
        <w:jc w:val="center"/>
        <w:rPr>
          <w:rFonts w:asciiTheme="minorHAnsi" w:hAnsiTheme="minorHAnsi"/>
          <w:sz w:val="40"/>
        </w:rPr>
      </w:pPr>
      <w:r w:rsidRPr="001315F0">
        <w:rPr>
          <w:rFonts w:asciiTheme="minorHAnsi" w:hAnsiTheme="minorHAnsi"/>
          <w:sz w:val="40"/>
        </w:rPr>
        <w:t>Exploring carers’ experiences and perceptions of Special Guardianship Orders (SGOs) over time, from the point of applying to now.</w:t>
      </w:r>
    </w:p>
    <w:p w14:paraId="08D650F2" w14:textId="77777777" w:rsidR="00BB7B6A" w:rsidRPr="001315F0" w:rsidRDefault="00BB7B6A">
      <w:pPr>
        <w:rPr>
          <w:b/>
          <w:sz w:val="24"/>
        </w:rPr>
      </w:pPr>
    </w:p>
    <w:p w14:paraId="478F7D9E" w14:textId="46EEF686" w:rsidR="00BB7B6A" w:rsidRPr="001315F0" w:rsidRDefault="00BB7B6A" w:rsidP="00BB7B6A">
      <w:pPr>
        <w:pStyle w:val="NormalWeb"/>
        <w:spacing w:line="480" w:lineRule="auto"/>
        <w:rPr>
          <w:rFonts w:asciiTheme="minorHAnsi" w:hAnsiTheme="minorHAnsi"/>
        </w:rPr>
      </w:pPr>
      <w:r w:rsidRPr="001315F0">
        <w:rPr>
          <w:b/>
        </w:rPr>
        <w:br w:type="page"/>
      </w:r>
      <w:r w:rsidRPr="001315F0">
        <w:rPr>
          <w:rFonts w:asciiTheme="minorHAnsi" w:hAnsiTheme="minorHAnsi"/>
        </w:rPr>
        <w:lastRenderedPageBreak/>
        <w:t xml:space="preserve">Abstract </w:t>
      </w:r>
    </w:p>
    <w:p w14:paraId="34DE0AB7" w14:textId="77777777" w:rsidR="00050D95" w:rsidRDefault="00BB7B6A" w:rsidP="00BB7B6A">
      <w:pPr>
        <w:pStyle w:val="NormalWeb"/>
        <w:spacing w:line="480" w:lineRule="auto"/>
        <w:rPr>
          <w:rFonts w:asciiTheme="minorHAnsi" w:hAnsiTheme="minorHAnsi"/>
        </w:rPr>
      </w:pPr>
      <w:r w:rsidRPr="001315F0">
        <w:rPr>
          <w:rFonts w:asciiTheme="minorHAnsi" w:hAnsiTheme="minorHAnsi"/>
        </w:rPr>
        <w:t xml:space="preserve">In 2005, Special Guardianship Orders (SGOs) came into law in England enabling carers to take full legal responsibility for all aspects of a child’s care, and to therefore provide a foundation to build a life-long permanent relationship. To date, little research has been carried out with a particular emphasis on SGOs, </w:t>
      </w:r>
      <w:r w:rsidR="00050D95">
        <w:rPr>
          <w:rFonts w:asciiTheme="minorHAnsi" w:hAnsiTheme="minorHAnsi"/>
        </w:rPr>
        <w:t xml:space="preserve">and the impact that they have. </w:t>
      </w:r>
    </w:p>
    <w:p w14:paraId="2A88E308" w14:textId="1F48547D" w:rsidR="00BB7B6A" w:rsidRPr="001315F0" w:rsidRDefault="00BB7B6A" w:rsidP="00BB7B6A">
      <w:pPr>
        <w:pStyle w:val="NormalWeb"/>
        <w:spacing w:line="480" w:lineRule="auto"/>
        <w:rPr>
          <w:rFonts w:asciiTheme="minorHAnsi" w:hAnsiTheme="minorHAnsi"/>
        </w:rPr>
      </w:pPr>
      <w:r w:rsidRPr="001315F0">
        <w:rPr>
          <w:rFonts w:asciiTheme="minorHAnsi" w:hAnsiTheme="minorHAnsi"/>
        </w:rPr>
        <w:t xml:space="preserve">Q-Methodology explored carers’ experiences and perceptions of SGOs over time, from the point at which carers applied for the SGO until now. Ten participants each completed three Q-Sorts by way of sorting 47 statements.  </w:t>
      </w:r>
    </w:p>
    <w:p w14:paraId="512E3D6E" w14:textId="4DCF72B9" w:rsidR="00852BFE" w:rsidRPr="001315F0" w:rsidRDefault="00852BFE" w:rsidP="00BB7B6A">
      <w:pPr>
        <w:pStyle w:val="NormalWeb"/>
        <w:spacing w:line="480" w:lineRule="auto"/>
        <w:rPr>
          <w:rFonts w:asciiTheme="minorHAnsi" w:hAnsiTheme="minorHAnsi" w:cstheme="minorHAnsi"/>
        </w:rPr>
      </w:pPr>
      <w:r w:rsidRPr="001315F0">
        <w:rPr>
          <w:rFonts w:asciiTheme="minorHAnsi" w:hAnsiTheme="minorHAnsi" w:cstheme="minorHAnsi"/>
        </w:rPr>
        <w:t xml:space="preserve">7 factors emerged from the Factor Analysis but only five were found to be significant (Eigen values above 1.0). The factors reflected variance in Special Guardian’s perceptions of preparation for and understanding of their role, role-reward, obligation to take on the role, levels of support, relationship with the birth family, and their bond with the </w:t>
      </w:r>
      <w:proofErr w:type="gramStart"/>
      <w:r w:rsidRPr="001315F0">
        <w:rPr>
          <w:rFonts w:asciiTheme="minorHAnsi" w:hAnsiTheme="minorHAnsi" w:cstheme="minorHAnsi"/>
        </w:rPr>
        <w:t>child(</w:t>
      </w:r>
      <w:proofErr w:type="spellStart"/>
      <w:proofErr w:type="gramEnd"/>
      <w:r w:rsidRPr="001315F0">
        <w:rPr>
          <w:rFonts w:asciiTheme="minorHAnsi" w:hAnsiTheme="minorHAnsi" w:cstheme="minorHAnsi"/>
        </w:rPr>
        <w:t>ren</w:t>
      </w:r>
      <w:proofErr w:type="spellEnd"/>
      <w:r w:rsidRPr="001315F0">
        <w:rPr>
          <w:rFonts w:asciiTheme="minorHAnsi" w:hAnsiTheme="minorHAnsi" w:cstheme="minorHAnsi"/>
        </w:rPr>
        <w:t>) in their care.</w:t>
      </w:r>
    </w:p>
    <w:p w14:paraId="55625BF9" w14:textId="3477FC02" w:rsidR="00BB7B6A" w:rsidRDefault="00BB7B6A" w:rsidP="00BB7B6A">
      <w:pPr>
        <w:pStyle w:val="NormalWeb"/>
        <w:spacing w:line="480" w:lineRule="auto"/>
        <w:rPr>
          <w:rFonts w:asciiTheme="minorHAnsi" w:hAnsiTheme="minorHAnsi"/>
        </w:rPr>
      </w:pPr>
      <w:r w:rsidRPr="001315F0">
        <w:rPr>
          <w:rFonts w:asciiTheme="minorHAnsi" w:hAnsiTheme="minorHAnsi"/>
        </w:rPr>
        <w:t>This study provides an insight into the experiences of carers granted SGOs. The similarities and differences in these viewpoints are discussed. The findings suggest that more time and preparation is needed to ensure that carers are better prepared to manage any difficulties that may arise.</w:t>
      </w:r>
    </w:p>
    <w:p w14:paraId="0F470AFD" w14:textId="6F053CE3" w:rsidR="001315F0" w:rsidRPr="001315F0" w:rsidRDefault="001315F0" w:rsidP="00BB7B6A">
      <w:pPr>
        <w:pStyle w:val="NormalWeb"/>
        <w:spacing w:line="480" w:lineRule="auto"/>
        <w:rPr>
          <w:rFonts w:asciiTheme="minorHAnsi" w:hAnsiTheme="minorHAnsi"/>
        </w:rPr>
      </w:pPr>
      <w:r>
        <w:rPr>
          <w:rFonts w:asciiTheme="minorHAnsi" w:hAnsiTheme="minorHAnsi"/>
        </w:rPr>
        <w:t xml:space="preserve">Keywords: Looked after Children, Q-Methodology, </w:t>
      </w:r>
      <w:proofErr w:type="gramStart"/>
      <w:r>
        <w:rPr>
          <w:rFonts w:asciiTheme="minorHAnsi" w:hAnsiTheme="minorHAnsi"/>
        </w:rPr>
        <w:t>Special</w:t>
      </w:r>
      <w:proofErr w:type="gramEnd"/>
      <w:r>
        <w:rPr>
          <w:rFonts w:asciiTheme="minorHAnsi" w:hAnsiTheme="minorHAnsi"/>
        </w:rPr>
        <w:t xml:space="preserve"> Guardianship Orders. </w:t>
      </w:r>
    </w:p>
    <w:p w14:paraId="6265D31D" w14:textId="37167C97" w:rsidR="00E13D6D" w:rsidRPr="001315F0" w:rsidRDefault="00E13D6D">
      <w:pPr>
        <w:rPr>
          <w:b/>
          <w:sz w:val="24"/>
        </w:rPr>
      </w:pPr>
      <w:r w:rsidRPr="001315F0">
        <w:rPr>
          <w:b/>
          <w:sz w:val="24"/>
        </w:rPr>
        <w:br w:type="page"/>
      </w:r>
    </w:p>
    <w:p w14:paraId="0F55B76D" w14:textId="27BB9592" w:rsidR="00C83D0C" w:rsidRPr="001315F0" w:rsidRDefault="00C83D0C" w:rsidP="00CF04FC">
      <w:pPr>
        <w:spacing w:line="480" w:lineRule="auto"/>
        <w:jc w:val="center"/>
        <w:rPr>
          <w:b/>
          <w:sz w:val="24"/>
        </w:rPr>
      </w:pPr>
      <w:r w:rsidRPr="001315F0">
        <w:rPr>
          <w:b/>
          <w:sz w:val="24"/>
        </w:rPr>
        <w:lastRenderedPageBreak/>
        <w:t>Introduction</w:t>
      </w:r>
    </w:p>
    <w:p w14:paraId="666A8558" w14:textId="77777777" w:rsidR="00C83D0C" w:rsidRPr="001315F0" w:rsidRDefault="00C83D0C" w:rsidP="00CF04FC">
      <w:pPr>
        <w:spacing w:line="480" w:lineRule="auto"/>
        <w:jc w:val="both"/>
        <w:rPr>
          <w:rFonts w:cs="Arial"/>
          <w:sz w:val="24"/>
          <w:szCs w:val="24"/>
        </w:rPr>
      </w:pPr>
      <w:r w:rsidRPr="001315F0">
        <w:rPr>
          <w:sz w:val="24"/>
          <w:szCs w:val="24"/>
        </w:rPr>
        <w:t>On 31</w:t>
      </w:r>
      <w:r w:rsidRPr="001315F0">
        <w:rPr>
          <w:sz w:val="24"/>
          <w:szCs w:val="24"/>
          <w:vertAlign w:val="superscript"/>
        </w:rPr>
        <w:t>st</w:t>
      </w:r>
      <w:r w:rsidRPr="001315F0">
        <w:rPr>
          <w:sz w:val="24"/>
          <w:szCs w:val="24"/>
        </w:rPr>
        <w:t xml:space="preserve"> March </w:t>
      </w:r>
      <w:r w:rsidRPr="001315F0">
        <w:rPr>
          <w:rFonts w:cs="Arial"/>
          <w:sz w:val="24"/>
          <w:szCs w:val="24"/>
        </w:rPr>
        <w:t>2018, 75,420 children were in the care of local authorities in England (</w:t>
      </w:r>
      <w:r w:rsidR="008F44D4" w:rsidRPr="001315F0">
        <w:rPr>
          <w:rFonts w:cs="Arial"/>
          <w:sz w:val="24"/>
          <w:szCs w:val="24"/>
        </w:rPr>
        <w:t>Depar</w:t>
      </w:r>
      <w:r w:rsidR="00CF04FC" w:rsidRPr="001315F0">
        <w:rPr>
          <w:rFonts w:cs="Arial"/>
          <w:sz w:val="24"/>
          <w:szCs w:val="24"/>
        </w:rPr>
        <w:t>tment for Education, 2018) and were defined as being ‘looked after.’</w:t>
      </w:r>
      <w:r w:rsidRPr="001315F0">
        <w:rPr>
          <w:rFonts w:cs="Arial"/>
          <w:sz w:val="24"/>
          <w:szCs w:val="24"/>
        </w:rPr>
        <w:t xml:space="preserve">                                                                                                                      In accordance with the Children Act (1989), local authorities have a duty to safeguard and promote the welfare of children in their care, irrespective of where they are placed. It is documented throughout the literature however, that the difficult experiences that Looked After Children may encounter in their lives means that their mental health needs are often more significant than their peers.  Almost half of Looked after Children have a diagnosable mental health need (</w:t>
      </w:r>
      <w:proofErr w:type="spellStart"/>
      <w:r w:rsidRPr="001315F0">
        <w:rPr>
          <w:rFonts w:cs="Arial"/>
          <w:sz w:val="24"/>
          <w:szCs w:val="24"/>
        </w:rPr>
        <w:t>McAuley</w:t>
      </w:r>
      <w:proofErr w:type="spellEnd"/>
      <w:r w:rsidRPr="001315F0">
        <w:rPr>
          <w:rFonts w:cs="Arial"/>
          <w:sz w:val="24"/>
          <w:szCs w:val="24"/>
        </w:rPr>
        <w:t xml:space="preserve"> &amp; Davis, 2009</w:t>
      </w:r>
      <w:r w:rsidRPr="001315F0">
        <w:rPr>
          <w:rFonts w:ascii="Arial" w:hAnsi="Arial" w:cs="Arial"/>
        </w:rPr>
        <w:t>)</w:t>
      </w:r>
      <w:r w:rsidRPr="001315F0">
        <w:rPr>
          <w:rFonts w:cs="Arial"/>
          <w:sz w:val="24"/>
          <w:szCs w:val="24"/>
        </w:rPr>
        <w:t xml:space="preserve"> and almost two thirds have a special educational need, which usually falls in the area of emotional and behavioural difficulties (Department for Education, 2015). </w:t>
      </w:r>
    </w:p>
    <w:p w14:paraId="1F8A7C61" w14:textId="2C2F87B1" w:rsidR="00C83D0C" w:rsidRPr="001315F0" w:rsidRDefault="00C83D0C" w:rsidP="00CF04FC">
      <w:pPr>
        <w:spacing w:line="480" w:lineRule="auto"/>
        <w:jc w:val="both"/>
        <w:rPr>
          <w:rFonts w:cs="Arial"/>
          <w:sz w:val="24"/>
          <w:szCs w:val="24"/>
        </w:rPr>
      </w:pPr>
      <w:r w:rsidRPr="001315F0">
        <w:rPr>
          <w:sz w:val="24"/>
        </w:rPr>
        <w:t xml:space="preserve">Between April 2017 and March 2018, 73% of children in care in England were living with foster carers </w:t>
      </w:r>
      <w:r w:rsidRPr="001315F0">
        <w:rPr>
          <w:rFonts w:cs="Arial"/>
          <w:sz w:val="24"/>
          <w:szCs w:val="24"/>
        </w:rPr>
        <w:t>(Department for Education, 2018). It is known, however, that children in foster care can be exposed to numerous placement moves, worsening their chance of developing a secure attachment with a new caregiver (Munro &amp; Hardy, 2006). Sinclair et al</w:t>
      </w:r>
      <w:r w:rsidR="00F1299C" w:rsidRPr="001315F0">
        <w:rPr>
          <w:rFonts w:cs="Arial"/>
          <w:sz w:val="24"/>
          <w:szCs w:val="24"/>
        </w:rPr>
        <w:t>.</w:t>
      </w:r>
      <w:r w:rsidRPr="001315F0">
        <w:rPr>
          <w:rFonts w:cs="Arial"/>
          <w:sz w:val="24"/>
          <w:szCs w:val="24"/>
        </w:rPr>
        <w:t xml:space="preserve"> (2000) identified that in a sample of 944 foster carers, 47% had experienced a placement breakdown or disruption.</w:t>
      </w:r>
    </w:p>
    <w:p w14:paraId="1ED24EEF" w14:textId="36755530" w:rsidR="00C83D0C" w:rsidRPr="001315F0" w:rsidRDefault="00C83D0C" w:rsidP="00CF04FC">
      <w:pPr>
        <w:spacing w:line="480" w:lineRule="auto"/>
        <w:jc w:val="both"/>
        <w:rPr>
          <w:rFonts w:cs="Arial"/>
          <w:sz w:val="24"/>
          <w:szCs w:val="24"/>
        </w:rPr>
      </w:pPr>
      <w:proofErr w:type="spellStart"/>
      <w:r w:rsidRPr="001315F0">
        <w:rPr>
          <w:rFonts w:cs="Arial"/>
          <w:sz w:val="24"/>
          <w:szCs w:val="24"/>
        </w:rPr>
        <w:t>Oosterman</w:t>
      </w:r>
      <w:proofErr w:type="spellEnd"/>
      <w:r w:rsidRPr="001315F0">
        <w:rPr>
          <w:rFonts w:cs="Arial"/>
          <w:sz w:val="24"/>
          <w:szCs w:val="24"/>
        </w:rPr>
        <w:t xml:space="preserve"> et al</w:t>
      </w:r>
      <w:r w:rsidR="00F1299C" w:rsidRPr="001315F0">
        <w:rPr>
          <w:rFonts w:cs="Arial"/>
          <w:sz w:val="24"/>
          <w:szCs w:val="24"/>
        </w:rPr>
        <w:t>.</w:t>
      </w:r>
      <w:r w:rsidRPr="001315F0">
        <w:rPr>
          <w:rFonts w:cs="Arial"/>
          <w:sz w:val="24"/>
          <w:szCs w:val="24"/>
        </w:rPr>
        <w:t xml:space="preserve"> (2007) concluded, however, that unlike foster care, kinship care did not show a significant association with placement breakdown, suggesting that those children placed with family members or friends are likely to experience fewer placement moves. Studies have also demonstrated that those children in kinship care have fewer behavioural and emotional problems (</w:t>
      </w:r>
      <w:r w:rsidRPr="001315F0">
        <w:rPr>
          <w:rFonts w:eastAsia="Times New Roman" w:cs="Arial"/>
          <w:sz w:val="24"/>
          <w:szCs w:val="24"/>
          <w:lang w:eastAsia="en-GB"/>
        </w:rPr>
        <w:t>Holtan et al., 2005</w:t>
      </w:r>
      <w:r w:rsidRPr="001315F0">
        <w:rPr>
          <w:rFonts w:cs="Arial"/>
          <w:sz w:val="24"/>
          <w:szCs w:val="24"/>
        </w:rPr>
        <w:t>), are more likely to rate themselves as “happy” or “very happy,” and are more likely to say that they “always felt loved” (</w:t>
      </w:r>
      <w:proofErr w:type="spellStart"/>
      <w:r w:rsidRPr="001315F0">
        <w:rPr>
          <w:rFonts w:cs="Arial"/>
          <w:sz w:val="24"/>
          <w:szCs w:val="24"/>
        </w:rPr>
        <w:t>Berrick</w:t>
      </w:r>
      <w:proofErr w:type="spellEnd"/>
      <w:r w:rsidRPr="001315F0">
        <w:rPr>
          <w:rFonts w:cs="Arial"/>
          <w:sz w:val="24"/>
          <w:szCs w:val="24"/>
        </w:rPr>
        <w:t>, 1998).</w:t>
      </w:r>
    </w:p>
    <w:p w14:paraId="052AFB6C" w14:textId="77777777" w:rsidR="00C83D0C" w:rsidRPr="001315F0" w:rsidRDefault="00C83D0C" w:rsidP="00CF04FC">
      <w:pPr>
        <w:spacing w:line="480" w:lineRule="auto"/>
        <w:jc w:val="both"/>
        <w:rPr>
          <w:rFonts w:cs="Arial"/>
          <w:sz w:val="24"/>
        </w:rPr>
      </w:pPr>
      <w:r w:rsidRPr="001315F0">
        <w:rPr>
          <w:sz w:val="24"/>
        </w:rPr>
        <w:t>Given the challenges of achieving permanence and stability for some children in foster care</w:t>
      </w:r>
      <w:r w:rsidRPr="001315F0">
        <w:rPr>
          <w:rFonts w:cs="Arial"/>
          <w:sz w:val="24"/>
          <w:szCs w:val="24"/>
        </w:rPr>
        <w:t>, and the low success rates of reunification to birth families (Department for Education, 2018), there is a need for alternative ways for children separated from their birth families to achieve permanence.</w:t>
      </w:r>
      <w:r w:rsidRPr="001315F0">
        <w:rPr>
          <w:rFonts w:cs="Arial"/>
          <w:sz w:val="24"/>
        </w:rPr>
        <w:t xml:space="preserve"> In 2000, the Prime Minister’s review of adoption (Cabinet Office, 2000) also highlighted a need for an intermediate legal status for children that would offer greater security for them than long-term fostering and kinship care, but without cutting all legal ties with the birth family which is the case with adoption. </w:t>
      </w:r>
    </w:p>
    <w:p w14:paraId="5CFC147B" w14:textId="43767CE4" w:rsidR="00C83D0C" w:rsidRPr="001315F0" w:rsidRDefault="00C83D0C" w:rsidP="00CF04FC">
      <w:pPr>
        <w:spacing w:line="480" w:lineRule="auto"/>
        <w:jc w:val="both"/>
        <w:rPr>
          <w:rFonts w:cs="Arial"/>
          <w:sz w:val="24"/>
        </w:rPr>
      </w:pPr>
      <w:r w:rsidRPr="001315F0">
        <w:rPr>
          <w:rFonts w:cs="Arial"/>
          <w:sz w:val="24"/>
        </w:rPr>
        <w:t>Subsequently, in 2005 Special Guardianship Orders</w:t>
      </w:r>
      <w:r w:rsidR="00F1299C" w:rsidRPr="001315F0">
        <w:rPr>
          <w:rFonts w:cs="Arial"/>
          <w:sz w:val="24"/>
        </w:rPr>
        <w:t xml:space="preserve"> (SGO</w:t>
      </w:r>
      <w:r w:rsidRPr="001315F0">
        <w:rPr>
          <w:rFonts w:cs="Arial"/>
          <w:sz w:val="24"/>
        </w:rPr>
        <w:t xml:space="preserve">s) came into law in England (Department for Education, 2014), which enabled carers to take full responsibility for all aspects of a child’s care, which is not the case for foster carers or kinship carers. </w:t>
      </w:r>
      <w:r w:rsidR="00CD20F6" w:rsidRPr="001315F0">
        <w:rPr>
          <w:rFonts w:cs="Arial"/>
          <w:sz w:val="24"/>
        </w:rPr>
        <w:t>SGOs</w:t>
      </w:r>
      <w:r w:rsidRPr="001315F0">
        <w:rPr>
          <w:rFonts w:cs="Arial"/>
          <w:sz w:val="24"/>
        </w:rPr>
        <w:t xml:space="preserve"> provide a foundation to build a life-long permanent relationship, and offer the young person legal security, whilst retaining the basic relational link with the birth family, if appropriate. Though any guardian of a child can apply for an SGO, typically the majority of special guardians are known to the child as a family member or friend (The Department of Health, 2014).</w:t>
      </w:r>
    </w:p>
    <w:p w14:paraId="19149351" w14:textId="0411ECA4" w:rsidR="00544310" w:rsidRPr="001315F0" w:rsidRDefault="006E251E" w:rsidP="00CF04FC">
      <w:pPr>
        <w:spacing w:line="480" w:lineRule="auto"/>
        <w:jc w:val="both"/>
        <w:rPr>
          <w:rFonts w:cs="Arial"/>
          <w:sz w:val="24"/>
        </w:rPr>
      </w:pPr>
      <w:r w:rsidRPr="001315F0">
        <w:rPr>
          <w:rFonts w:cs="Arial"/>
          <w:sz w:val="24"/>
        </w:rPr>
        <w:t>Research highlights</w:t>
      </w:r>
      <w:r w:rsidR="003525E3" w:rsidRPr="001315F0">
        <w:rPr>
          <w:rFonts w:cs="Arial"/>
          <w:sz w:val="24"/>
        </w:rPr>
        <w:t xml:space="preserve"> that an increasing </w:t>
      </w:r>
      <w:r w:rsidR="00667269" w:rsidRPr="001315F0">
        <w:rPr>
          <w:rFonts w:cs="Arial"/>
          <w:sz w:val="24"/>
        </w:rPr>
        <w:t>number of children are now</w:t>
      </w:r>
      <w:r w:rsidR="003525E3" w:rsidRPr="001315F0">
        <w:rPr>
          <w:rFonts w:cs="Arial"/>
          <w:sz w:val="24"/>
        </w:rPr>
        <w:t xml:space="preserve"> cared for under an SGO (</w:t>
      </w:r>
      <w:proofErr w:type="spellStart"/>
      <w:r w:rsidR="003525E3" w:rsidRPr="001315F0">
        <w:rPr>
          <w:rFonts w:cs="Arial"/>
          <w:sz w:val="24"/>
        </w:rPr>
        <w:t>Harwin</w:t>
      </w:r>
      <w:proofErr w:type="spellEnd"/>
      <w:r w:rsidR="003525E3" w:rsidRPr="001315F0">
        <w:rPr>
          <w:rFonts w:cs="Arial"/>
          <w:sz w:val="24"/>
        </w:rPr>
        <w:t xml:space="preserve"> et al, 2016), however</w:t>
      </w:r>
      <w:r w:rsidR="00C83D0C" w:rsidRPr="001315F0">
        <w:rPr>
          <w:rFonts w:cs="Arial"/>
          <w:sz w:val="24"/>
        </w:rPr>
        <w:t xml:space="preserve"> </w:t>
      </w:r>
      <w:r w:rsidR="003525E3" w:rsidRPr="001315F0">
        <w:rPr>
          <w:rFonts w:cs="Arial"/>
          <w:sz w:val="24"/>
        </w:rPr>
        <w:t xml:space="preserve">to date, </w:t>
      </w:r>
      <w:r w:rsidR="00C83D0C" w:rsidRPr="001315F0">
        <w:rPr>
          <w:rFonts w:cs="Arial"/>
          <w:sz w:val="24"/>
        </w:rPr>
        <w:t xml:space="preserve">very little independent research </w:t>
      </w:r>
      <w:r w:rsidR="00F1299C" w:rsidRPr="001315F0">
        <w:rPr>
          <w:rFonts w:cs="Arial"/>
          <w:sz w:val="24"/>
        </w:rPr>
        <w:t>relating to</w:t>
      </w:r>
      <w:r w:rsidR="00544310" w:rsidRPr="001315F0">
        <w:rPr>
          <w:rFonts w:cs="Arial"/>
          <w:sz w:val="24"/>
        </w:rPr>
        <w:t xml:space="preserve"> carers experiences of</w:t>
      </w:r>
      <w:r w:rsidR="00F1299C" w:rsidRPr="001315F0">
        <w:rPr>
          <w:rFonts w:cs="Arial"/>
          <w:sz w:val="24"/>
        </w:rPr>
        <w:t xml:space="preserve"> SGO</w:t>
      </w:r>
      <w:r w:rsidR="008F44D4" w:rsidRPr="001315F0">
        <w:rPr>
          <w:rFonts w:cs="Arial"/>
          <w:sz w:val="24"/>
        </w:rPr>
        <w:t>s has</w:t>
      </w:r>
      <w:r w:rsidR="00C83D0C" w:rsidRPr="001315F0">
        <w:rPr>
          <w:rFonts w:cs="Arial"/>
          <w:sz w:val="24"/>
        </w:rPr>
        <w:t xml:space="preserve"> been completed</w:t>
      </w:r>
      <w:r w:rsidR="006B76A6" w:rsidRPr="001315F0">
        <w:rPr>
          <w:rFonts w:cs="Arial"/>
          <w:sz w:val="24"/>
        </w:rPr>
        <w:t xml:space="preserve">. </w:t>
      </w:r>
      <w:r w:rsidR="00C83D0C" w:rsidRPr="001315F0">
        <w:rPr>
          <w:rFonts w:cs="Arial"/>
          <w:sz w:val="24"/>
        </w:rPr>
        <w:t>The majorit</w:t>
      </w:r>
      <w:r w:rsidR="00667269" w:rsidRPr="001315F0">
        <w:rPr>
          <w:rFonts w:cs="Arial"/>
          <w:sz w:val="24"/>
        </w:rPr>
        <w:t>y of the available literature</w:t>
      </w:r>
      <w:r w:rsidR="001679BE" w:rsidRPr="001315F0">
        <w:rPr>
          <w:rFonts w:cs="Arial"/>
          <w:sz w:val="24"/>
        </w:rPr>
        <w:t xml:space="preserve"> currently available in relation to </w:t>
      </w:r>
      <w:r w:rsidR="00CD20F6" w:rsidRPr="001315F0">
        <w:rPr>
          <w:rFonts w:cs="Arial"/>
          <w:sz w:val="24"/>
        </w:rPr>
        <w:t>SGOs</w:t>
      </w:r>
      <w:r w:rsidR="009D717D" w:rsidRPr="001315F0">
        <w:rPr>
          <w:rFonts w:cs="Arial"/>
          <w:sz w:val="24"/>
        </w:rPr>
        <w:t xml:space="preserve"> </w:t>
      </w:r>
      <w:r w:rsidR="001679BE" w:rsidRPr="001315F0">
        <w:rPr>
          <w:rFonts w:cs="Arial"/>
          <w:sz w:val="24"/>
        </w:rPr>
        <w:t>in England,</w:t>
      </w:r>
      <w:r w:rsidR="00C83D0C" w:rsidRPr="001315F0">
        <w:rPr>
          <w:rFonts w:cs="Arial"/>
          <w:sz w:val="24"/>
        </w:rPr>
        <w:t xml:space="preserve"> relates</w:t>
      </w:r>
      <w:r w:rsidR="001679BE" w:rsidRPr="001315F0">
        <w:rPr>
          <w:rFonts w:cs="Arial"/>
          <w:sz w:val="24"/>
        </w:rPr>
        <w:t xml:space="preserve"> mainly</w:t>
      </w:r>
      <w:r w:rsidR="00C83D0C" w:rsidRPr="001315F0">
        <w:rPr>
          <w:rFonts w:cs="Arial"/>
          <w:sz w:val="24"/>
        </w:rPr>
        <w:t xml:space="preserve"> to policies and guidelines with one of the key documents being ‘special guardianship guidance’ published by the Department of Education (2017</w:t>
      </w:r>
      <w:r w:rsidR="002344FC" w:rsidRPr="001315F0">
        <w:rPr>
          <w:rFonts w:cs="Arial"/>
          <w:sz w:val="24"/>
        </w:rPr>
        <w:t>, p11</w:t>
      </w:r>
      <w:r w:rsidR="00667269" w:rsidRPr="001315F0">
        <w:rPr>
          <w:rFonts w:cs="Arial"/>
          <w:sz w:val="24"/>
        </w:rPr>
        <w:t>). The guidelines</w:t>
      </w:r>
      <w:r w:rsidR="00C83D0C" w:rsidRPr="001315F0">
        <w:rPr>
          <w:rFonts w:cs="Arial"/>
          <w:sz w:val="24"/>
        </w:rPr>
        <w:t xml:space="preserve"> state that ‘</w:t>
      </w:r>
      <w:r w:rsidR="00C83D0C" w:rsidRPr="001315F0">
        <w:rPr>
          <w:rFonts w:cs="Arial"/>
          <w:i/>
          <w:sz w:val="24"/>
        </w:rPr>
        <w:t>the local authority must make arrangements for the provision of special guardianship support services.’</w:t>
      </w:r>
      <w:r w:rsidR="00C83D0C" w:rsidRPr="001315F0">
        <w:rPr>
          <w:rFonts w:cs="Arial"/>
          <w:sz w:val="24"/>
        </w:rPr>
        <w:t xml:space="preserve"> Within that they specifically identify the need for financial support, mediation services in relation to contact, therapeutic services for the child, training for special guardians in relation to the needs of the child, and counselling advice and information. </w:t>
      </w:r>
    </w:p>
    <w:p w14:paraId="4DAAA001" w14:textId="1AA0D16B" w:rsidR="00C83D0C" w:rsidRPr="001315F0" w:rsidRDefault="00544310" w:rsidP="00CF04FC">
      <w:pPr>
        <w:spacing w:line="480" w:lineRule="auto"/>
        <w:jc w:val="both"/>
        <w:rPr>
          <w:rFonts w:cs="Arial"/>
          <w:sz w:val="24"/>
        </w:rPr>
      </w:pPr>
      <w:proofErr w:type="spellStart"/>
      <w:r w:rsidRPr="001315F0">
        <w:rPr>
          <w:rFonts w:cs="Arial"/>
          <w:sz w:val="24"/>
        </w:rPr>
        <w:t>Hingley</w:t>
      </w:r>
      <w:proofErr w:type="spellEnd"/>
      <w:r w:rsidRPr="001315F0">
        <w:rPr>
          <w:rFonts w:cs="Arial"/>
          <w:sz w:val="24"/>
        </w:rPr>
        <w:t>-Jones et al</w:t>
      </w:r>
      <w:r w:rsidR="00210230" w:rsidRPr="001315F0">
        <w:rPr>
          <w:rFonts w:cs="Arial"/>
          <w:sz w:val="24"/>
        </w:rPr>
        <w:t>.</w:t>
      </w:r>
      <w:r w:rsidRPr="001315F0">
        <w:rPr>
          <w:rFonts w:cs="Arial"/>
          <w:sz w:val="24"/>
        </w:rPr>
        <w:t xml:space="preserve"> (2019) looked at the experiences of </w:t>
      </w:r>
      <w:r w:rsidR="00667269" w:rsidRPr="001315F0">
        <w:rPr>
          <w:rFonts w:cs="Arial"/>
          <w:sz w:val="24"/>
        </w:rPr>
        <w:t>grandparent</w:t>
      </w:r>
      <w:r w:rsidRPr="001315F0">
        <w:rPr>
          <w:rFonts w:cs="Arial"/>
          <w:sz w:val="24"/>
        </w:rPr>
        <w:t xml:space="preserve"> </w:t>
      </w:r>
      <w:r w:rsidR="00667269" w:rsidRPr="001315F0">
        <w:rPr>
          <w:rFonts w:cs="Arial"/>
          <w:sz w:val="24"/>
        </w:rPr>
        <w:t>special guardians</w:t>
      </w:r>
      <w:r w:rsidRPr="001315F0">
        <w:rPr>
          <w:rFonts w:cs="Arial"/>
          <w:sz w:val="24"/>
        </w:rPr>
        <w:t xml:space="preserve"> and concluded that </w:t>
      </w:r>
      <w:r w:rsidR="00667269" w:rsidRPr="001315F0">
        <w:rPr>
          <w:rFonts w:cs="Arial"/>
          <w:sz w:val="24"/>
        </w:rPr>
        <w:t>they</w:t>
      </w:r>
      <w:r w:rsidRPr="001315F0">
        <w:rPr>
          <w:rFonts w:cs="Arial"/>
          <w:sz w:val="24"/>
        </w:rPr>
        <w:t xml:space="preserve"> </w:t>
      </w:r>
      <w:r w:rsidR="00667269" w:rsidRPr="001315F0">
        <w:rPr>
          <w:rFonts w:cs="Arial"/>
          <w:sz w:val="24"/>
        </w:rPr>
        <w:t>often</w:t>
      </w:r>
      <w:r w:rsidRPr="001315F0">
        <w:rPr>
          <w:rFonts w:cs="Arial"/>
          <w:sz w:val="24"/>
        </w:rPr>
        <w:t xml:space="preserve"> feel a sense of emotional pressure to take on the role, and the decision to do so is often made at a time of crisis. They also make reference to the complexities of managing contact within difficult family dynamics. </w:t>
      </w:r>
      <w:r w:rsidR="00C83D0C" w:rsidRPr="001315F0">
        <w:rPr>
          <w:rFonts w:cs="Arial"/>
          <w:sz w:val="24"/>
        </w:rPr>
        <w:t xml:space="preserve">It therefore seems important to explore whether the experiences of special guardians are consistent with the guidelines that are in place, particularly given that they hold full parental responsibility for the child, unlike foster carers or kinship carers.   </w:t>
      </w:r>
    </w:p>
    <w:p w14:paraId="25C920BB" w14:textId="7F6C4137" w:rsidR="00C83D0C" w:rsidRPr="001315F0" w:rsidRDefault="00C83D0C" w:rsidP="00CF04FC">
      <w:pPr>
        <w:pStyle w:val="CommentText"/>
        <w:spacing w:line="480" w:lineRule="auto"/>
        <w:rPr>
          <w:rFonts w:cs="Arial"/>
          <w:sz w:val="24"/>
          <w:szCs w:val="24"/>
        </w:rPr>
      </w:pPr>
      <w:r w:rsidRPr="001315F0">
        <w:rPr>
          <w:rFonts w:cs="Arial"/>
          <w:sz w:val="24"/>
        </w:rPr>
        <w:t xml:space="preserve">In summary, given that </w:t>
      </w:r>
      <w:r w:rsidR="001679BE" w:rsidRPr="001315F0">
        <w:rPr>
          <w:rFonts w:cs="Arial"/>
          <w:sz w:val="24"/>
        </w:rPr>
        <w:t>there are now an increasing number of children being cared for under an SGO</w:t>
      </w:r>
      <w:r w:rsidRPr="001315F0">
        <w:rPr>
          <w:rFonts w:cs="Arial"/>
          <w:sz w:val="24"/>
        </w:rPr>
        <w:t>, there is an implication for us to better understand the needs and experiences</w:t>
      </w:r>
      <w:r w:rsidR="001679BE" w:rsidRPr="001315F0">
        <w:rPr>
          <w:rFonts w:cs="Arial"/>
          <w:sz w:val="24"/>
        </w:rPr>
        <w:t xml:space="preserve"> of special </w:t>
      </w:r>
      <w:r w:rsidR="00E13D6D" w:rsidRPr="001315F0">
        <w:rPr>
          <w:rFonts w:cs="Arial"/>
          <w:sz w:val="24"/>
        </w:rPr>
        <w:t>guardians</w:t>
      </w:r>
      <w:r w:rsidRPr="001315F0">
        <w:rPr>
          <w:rFonts w:cs="Arial"/>
          <w:sz w:val="24"/>
        </w:rPr>
        <w:t xml:space="preserve">. </w:t>
      </w:r>
    </w:p>
    <w:p w14:paraId="2FF95BA9" w14:textId="77777777" w:rsidR="00C83D0C" w:rsidRPr="001315F0" w:rsidRDefault="00C83D0C" w:rsidP="00CF04FC">
      <w:pPr>
        <w:spacing w:line="480" w:lineRule="auto"/>
        <w:jc w:val="both"/>
        <w:rPr>
          <w:i/>
          <w:sz w:val="24"/>
        </w:rPr>
      </w:pPr>
    </w:p>
    <w:p w14:paraId="0C3E1EF1" w14:textId="77777777" w:rsidR="00C83D0C" w:rsidRPr="001315F0" w:rsidRDefault="00C83D0C" w:rsidP="00CF04FC">
      <w:pPr>
        <w:spacing w:line="480" w:lineRule="auto"/>
        <w:jc w:val="both"/>
        <w:rPr>
          <w:rFonts w:cs="Arial"/>
          <w:sz w:val="24"/>
          <w:szCs w:val="24"/>
        </w:rPr>
      </w:pPr>
      <w:r w:rsidRPr="001315F0">
        <w:rPr>
          <w:i/>
          <w:sz w:val="24"/>
        </w:rPr>
        <w:t>Aims</w:t>
      </w:r>
    </w:p>
    <w:p w14:paraId="4635AE09" w14:textId="63F48D71" w:rsidR="00C83D0C" w:rsidRPr="001315F0" w:rsidRDefault="00C83D0C" w:rsidP="00CF04FC">
      <w:pPr>
        <w:spacing w:line="480" w:lineRule="auto"/>
        <w:jc w:val="both"/>
        <w:rPr>
          <w:rFonts w:ascii="Arial" w:hAnsi="Arial" w:cs="Arial"/>
          <w:sz w:val="24"/>
        </w:rPr>
      </w:pPr>
      <w:r w:rsidRPr="001315F0">
        <w:rPr>
          <w:rFonts w:cs="Arial"/>
          <w:sz w:val="24"/>
        </w:rPr>
        <w:t>This study uses Q-methodology to</w:t>
      </w:r>
      <w:r w:rsidRPr="001315F0">
        <w:rPr>
          <w:rFonts w:ascii="Arial" w:hAnsi="Arial" w:cs="Arial"/>
        </w:rPr>
        <w:t xml:space="preserve"> </w:t>
      </w:r>
      <w:r w:rsidRPr="001315F0">
        <w:rPr>
          <w:rFonts w:cs="Arial"/>
          <w:sz w:val="24"/>
        </w:rPr>
        <w:t>retrospectively explore carers’ experiences and perceptions of the SGOs from the point of applying for the order, to the point at which the SGO was granted, and finally to the present day.</w:t>
      </w:r>
      <w:r w:rsidRPr="001315F0">
        <w:rPr>
          <w:rFonts w:ascii="Arial" w:hAnsi="Arial" w:cs="Arial"/>
          <w:sz w:val="24"/>
        </w:rPr>
        <w:t xml:space="preserve">   </w:t>
      </w:r>
    </w:p>
    <w:p w14:paraId="37E31898" w14:textId="1E335251" w:rsidR="00692BEB" w:rsidRPr="001315F0" w:rsidRDefault="00692BEB" w:rsidP="00CF04FC">
      <w:pPr>
        <w:spacing w:line="480" w:lineRule="auto"/>
        <w:jc w:val="both"/>
        <w:rPr>
          <w:rFonts w:ascii="Arial" w:hAnsi="Arial" w:cs="Arial"/>
          <w:sz w:val="24"/>
        </w:rPr>
      </w:pPr>
    </w:p>
    <w:p w14:paraId="31E9B1C3" w14:textId="1C42C1CC" w:rsidR="00692BEB" w:rsidRPr="001315F0" w:rsidRDefault="00692BEB" w:rsidP="00CF04FC">
      <w:pPr>
        <w:spacing w:line="480" w:lineRule="auto"/>
        <w:jc w:val="both"/>
        <w:rPr>
          <w:rFonts w:cstheme="minorHAnsi"/>
          <w:i/>
          <w:sz w:val="24"/>
        </w:rPr>
      </w:pPr>
      <w:r w:rsidRPr="001315F0">
        <w:rPr>
          <w:rFonts w:cstheme="minorHAnsi"/>
          <w:i/>
          <w:sz w:val="24"/>
        </w:rPr>
        <w:t>Research Question</w:t>
      </w:r>
    </w:p>
    <w:p w14:paraId="146268BD" w14:textId="01E9AF59" w:rsidR="00C83D0C" w:rsidRPr="001315F0" w:rsidRDefault="00692BEB" w:rsidP="00CF04FC">
      <w:pPr>
        <w:spacing w:line="480" w:lineRule="auto"/>
        <w:jc w:val="both"/>
        <w:rPr>
          <w:rFonts w:cstheme="minorHAnsi"/>
          <w:sz w:val="24"/>
        </w:rPr>
      </w:pPr>
      <w:r w:rsidRPr="001315F0">
        <w:rPr>
          <w:rFonts w:cstheme="minorHAnsi"/>
          <w:sz w:val="24"/>
        </w:rPr>
        <w:t xml:space="preserve">What are </w:t>
      </w:r>
      <w:r w:rsidR="001B2426" w:rsidRPr="001315F0">
        <w:rPr>
          <w:rFonts w:cstheme="minorHAnsi"/>
          <w:sz w:val="24"/>
        </w:rPr>
        <w:t>S</w:t>
      </w:r>
      <w:r w:rsidRPr="001315F0">
        <w:rPr>
          <w:rFonts w:cstheme="minorHAnsi"/>
          <w:sz w:val="24"/>
        </w:rPr>
        <w:t xml:space="preserve">pecial </w:t>
      </w:r>
      <w:r w:rsidR="001B2426" w:rsidRPr="001315F0">
        <w:rPr>
          <w:rFonts w:cstheme="minorHAnsi"/>
          <w:sz w:val="24"/>
        </w:rPr>
        <w:t>G</w:t>
      </w:r>
      <w:r w:rsidRPr="001315F0">
        <w:rPr>
          <w:rFonts w:cstheme="minorHAnsi"/>
          <w:sz w:val="24"/>
        </w:rPr>
        <w:t>uardian’s perceptions of SGO’s, and do those perceptions change over time?</w:t>
      </w:r>
    </w:p>
    <w:p w14:paraId="4F36AE67" w14:textId="77777777" w:rsidR="00C83D0C" w:rsidRPr="001315F0" w:rsidRDefault="00C83D0C" w:rsidP="00CF04FC">
      <w:pPr>
        <w:spacing w:line="480" w:lineRule="auto"/>
        <w:jc w:val="center"/>
        <w:rPr>
          <w:rFonts w:cs="Arial"/>
          <w:sz w:val="24"/>
          <w:szCs w:val="24"/>
        </w:rPr>
      </w:pPr>
      <w:r w:rsidRPr="001315F0">
        <w:rPr>
          <w:b/>
          <w:sz w:val="24"/>
        </w:rPr>
        <w:t>Methodology</w:t>
      </w:r>
    </w:p>
    <w:p w14:paraId="7FCD9821" w14:textId="77777777" w:rsidR="00C83D0C" w:rsidRPr="001315F0" w:rsidRDefault="00C83D0C" w:rsidP="00CF04FC">
      <w:pPr>
        <w:spacing w:line="480" w:lineRule="auto"/>
        <w:jc w:val="both"/>
        <w:rPr>
          <w:i/>
          <w:sz w:val="24"/>
        </w:rPr>
      </w:pPr>
      <w:r w:rsidRPr="001315F0">
        <w:rPr>
          <w:i/>
          <w:sz w:val="24"/>
        </w:rPr>
        <w:t>Ethical Approval</w:t>
      </w:r>
    </w:p>
    <w:p w14:paraId="0D522DB7" w14:textId="77777777" w:rsidR="00C83D0C" w:rsidRPr="001315F0" w:rsidRDefault="00C83D0C" w:rsidP="00CF04FC">
      <w:pPr>
        <w:spacing w:line="480" w:lineRule="auto"/>
        <w:jc w:val="both"/>
        <w:rPr>
          <w:i/>
          <w:sz w:val="24"/>
        </w:rPr>
      </w:pPr>
      <w:r w:rsidRPr="001315F0">
        <w:rPr>
          <w:sz w:val="24"/>
        </w:rPr>
        <w:t>Ethical approval for this study was granted by Staffordshire University Resear</w:t>
      </w:r>
      <w:r w:rsidR="00E501D5" w:rsidRPr="001315F0">
        <w:rPr>
          <w:sz w:val="24"/>
        </w:rPr>
        <w:t>ch Ethics Committee</w:t>
      </w:r>
      <w:r w:rsidRPr="001315F0">
        <w:rPr>
          <w:sz w:val="24"/>
        </w:rPr>
        <w:t>. HRA and REC approval was also granted from Coventry and Warwickshire Research Et</w:t>
      </w:r>
      <w:r w:rsidR="00E501D5" w:rsidRPr="001315F0">
        <w:rPr>
          <w:sz w:val="24"/>
        </w:rPr>
        <w:t>hics Committee</w:t>
      </w:r>
      <w:r w:rsidRPr="001315F0">
        <w:rPr>
          <w:sz w:val="24"/>
        </w:rPr>
        <w:t>.</w:t>
      </w:r>
    </w:p>
    <w:p w14:paraId="24B0858C" w14:textId="77777777" w:rsidR="00C83D0C" w:rsidRPr="001315F0" w:rsidRDefault="00C83D0C" w:rsidP="00CF04FC">
      <w:pPr>
        <w:spacing w:line="480" w:lineRule="auto"/>
        <w:jc w:val="both"/>
        <w:rPr>
          <w:i/>
          <w:sz w:val="24"/>
        </w:rPr>
      </w:pPr>
    </w:p>
    <w:p w14:paraId="23000AF3" w14:textId="77777777" w:rsidR="00C83D0C" w:rsidRPr="001315F0" w:rsidRDefault="00C83D0C" w:rsidP="00CF04FC">
      <w:pPr>
        <w:spacing w:line="480" w:lineRule="auto"/>
        <w:jc w:val="both"/>
        <w:rPr>
          <w:i/>
          <w:sz w:val="24"/>
        </w:rPr>
      </w:pPr>
      <w:r w:rsidRPr="001315F0">
        <w:rPr>
          <w:i/>
          <w:sz w:val="24"/>
        </w:rPr>
        <w:t>Design</w:t>
      </w:r>
    </w:p>
    <w:p w14:paraId="082B5DA0" w14:textId="0753716E" w:rsidR="007F14B5" w:rsidRPr="001315F0" w:rsidRDefault="007F14B5" w:rsidP="007F14B5">
      <w:pPr>
        <w:spacing w:line="360" w:lineRule="auto"/>
        <w:jc w:val="both"/>
        <w:rPr>
          <w:sz w:val="24"/>
        </w:rPr>
      </w:pPr>
      <w:r w:rsidRPr="001315F0">
        <w:rPr>
          <w:sz w:val="24"/>
        </w:rPr>
        <w:t>Due to the limited amount of existing research in this area, it seemed appropriate to select a design which would be explorat</w:t>
      </w:r>
      <w:r w:rsidR="00BB33F8" w:rsidRPr="001315F0">
        <w:rPr>
          <w:sz w:val="24"/>
        </w:rPr>
        <w:t>ory</w:t>
      </w:r>
      <w:r w:rsidRPr="001315F0">
        <w:rPr>
          <w:sz w:val="24"/>
        </w:rPr>
        <w:t xml:space="preserve"> in nature such as Q-methodology. </w:t>
      </w:r>
      <w:r w:rsidR="008F44D4" w:rsidRPr="001315F0">
        <w:rPr>
          <w:sz w:val="24"/>
        </w:rPr>
        <w:t xml:space="preserve">Q Methodology is a unique way of combining both quantitative and qualitative principles. </w:t>
      </w:r>
      <w:r w:rsidR="00967C77" w:rsidRPr="001315F0">
        <w:rPr>
          <w:sz w:val="24"/>
        </w:rPr>
        <w:t>It</w:t>
      </w:r>
      <w:r w:rsidR="00C83D0C" w:rsidRPr="001315F0">
        <w:rPr>
          <w:sz w:val="24"/>
        </w:rPr>
        <w:t xml:space="preserve"> explores subjective viewpoints, and allows the relationship between them to be quantified</w:t>
      </w:r>
      <w:r w:rsidR="00511CB6" w:rsidRPr="001315F0">
        <w:rPr>
          <w:sz w:val="24"/>
        </w:rPr>
        <w:t xml:space="preserve"> (Watts &amp; </w:t>
      </w:r>
      <w:proofErr w:type="spellStart"/>
      <w:r w:rsidR="00511CB6" w:rsidRPr="001315F0">
        <w:rPr>
          <w:sz w:val="24"/>
        </w:rPr>
        <w:t>Stenner</w:t>
      </w:r>
      <w:proofErr w:type="spellEnd"/>
      <w:r w:rsidR="00511CB6" w:rsidRPr="001315F0">
        <w:rPr>
          <w:sz w:val="24"/>
        </w:rPr>
        <w:t>, 2012)</w:t>
      </w:r>
      <w:r w:rsidR="00C83D0C" w:rsidRPr="001315F0">
        <w:rPr>
          <w:sz w:val="24"/>
        </w:rPr>
        <w:t xml:space="preserve">. </w:t>
      </w:r>
    </w:p>
    <w:p w14:paraId="0C43F45C" w14:textId="77777777" w:rsidR="007F14B5" w:rsidRPr="001315F0" w:rsidRDefault="007F14B5" w:rsidP="00CF04FC">
      <w:pPr>
        <w:spacing w:line="480" w:lineRule="auto"/>
        <w:jc w:val="both"/>
        <w:rPr>
          <w:sz w:val="24"/>
        </w:rPr>
      </w:pPr>
    </w:p>
    <w:p w14:paraId="7FBEF7B4" w14:textId="7FDAE9B0" w:rsidR="00C83D0C" w:rsidRPr="001315F0" w:rsidRDefault="00C83D0C" w:rsidP="00CF04FC">
      <w:pPr>
        <w:spacing w:line="480" w:lineRule="auto"/>
        <w:jc w:val="both"/>
        <w:rPr>
          <w:i/>
          <w:sz w:val="24"/>
        </w:rPr>
      </w:pPr>
      <w:r w:rsidRPr="001315F0">
        <w:rPr>
          <w:i/>
          <w:sz w:val="24"/>
        </w:rPr>
        <w:t>Development of the Q Set</w:t>
      </w:r>
    </w:p>
    <w:p w14:paraId="4B8CEF53" w14:textId="1DD3FA14" w:rsidR="00C83D0C" w:rsidRPr="001315F0" w:rsidRDefault="00C83D0C" w:rsidP="00CF04FC">
      <w:pPr>
        <w:spacing w:line="480" w:lineRule="auto"/>
        <w:jc w:val="both"/>
        <w:rPr>
          <w:sz w:val="24"/>
        </w:rPr>
      </w:pPr>
      <w:r w:rsidRPr="001315F0">
        <w:rPr>
          <w:sz w:val="24"/>
        </w:rPr>
        <w:t>The beginning of any Q Methodological research is the generation of the ‘Q-Set,’ the collection of statements that the participants will be asked to rank. In order to develop the statement concourse, a systematic search and review of the current literature was carried out. The reviewed literature included articles relating to Looked after Children and articles relating to carers perceptions of the caring role. Due to the limited nature of av</w:t>
      </w:r>
      <w:r w:rsidR="00F1299C" w:rsidRPr="001315F0">
        <w:rPr>
          <w:sz w:val="24"/>
        </w:rPr>
        <w:t>ailable research looking at SGO</w:t>
      </w:r>
      <w:r w:rsidRPr="001315F0">
        <w:rPr>
          <w:sz w:val="24"/>
        </w:rPr>
        <w:t>s specifically it was not possible to limit research to this topic area only. C</w:t>
      </w:r>
      <w:r w:rsidR="00511CB6" w:rsidRPr="001315F0">
        <w:rPr>
          <w:sz w:val="24"/>
        </w:rPr>
        <w:t xml:space="preserve">onsultations </w:t>
      </w:r>
      <w:r w:rsidRPr="001315F0">
        <w:rPr>
          <w:sz w:val="24"/>
        </w:rPr>
        <w:t xml:space="preserve">also took place with </w:t>
      </w:r>
      <w:r w:rsidR="00511CB6" w:rsidRPr="001315F0">
        <w:rPr>
          <w:sz w:val="24"/>
        </w:rPr>
        <w:t>experts in the field</w:t>
      </w:r>
      <w:r w:rsidRPr="001315F0">
        <w:rPr>
          <w:sz w:val="24"/>
        </w:rPr>
        <w:t xml:space="preserve"> from both specialist Looked-After Children’s services and the Local Authority within the West Midlands area in order to gain more spe</w:t>
      </w:r>
      <w:r w:rsidR="00F1299C" w:rsidRPr="001315F0">
        <w:rPr>
          <w:sz w:val="24"/>
        </w:rPr>
        <w:t>cific perceptions of SGO</w:t>
      </w:r>
      <w:r w:rsidRPr="001315F0">
        <w:rPr>
          <w:sz w:val="24"/>
        </w:rPr>
        <w:t>s in particular. A total of 47 statements were i</w:t>
      </w:r>
      <w:r w:rsidR="00E501D5" w:rsidRPr="001315F0">
        <w:rPr>
          <w:sz w:val="24"/>
        </w:rPr>
        <w:t>ncluded in the final concourse</w:t>
      </w:r>
      <w:r w:rsidR="00350CCD" w:rsidRPr="001315F0">
        <w:rPr>
          <w:sz w:val="24"/>
        </w:rPr>
        <w:t>.</w:t>
      </w:r>
    </w:p>
    <w:p w14:paraId="46A8BE66" w14:textId="77777777" w:rsidR="001768BB" w:rsidRPr="001315F0" w:rsidRDefault="001768BB" w:rsidP="00CF04FC">
      <w:pPr>
        <w:spacing w:line="480" w:lineRule="auto"/>
        <w:jc w:val="both"/>
        <w:rPr>
          <w:sz w:val="24"/>
        </w:rPr>
      </w:pPr>
    </w:p>
    <w:p w14:paraId="42175BA2" w14:textId="77777777" w:rsidR="00350CCD" w:rsidRPr="001315F0" w:rsidRDefault="00350CCD" w:rsidP="00350CCD">
      <w:pPr>
        <w:spacing w:line="480" w:lineRule="auto"/>
        <w:jc w:val="both"/>
        <w:rPr>
          <w:i/>
          <w:sz w:val="24"/>
        </w:rPr>
      </w:pPr>
      <w:r w:rsidRPr="001315F0">
        <w:rPr>
          <w:i/>
          <w:sz w:val="24"/>
        </w:rPr>
        <w:t>Recruitment</w:t>
      </w:r>
    </w:p>
    <w:p w14:paraId="15232AE7" w14:textId="4F3F1D5E" w:rsidR="00350CCD" w:rsidRPr="001315F0" w:rsidRDefault="00350CCD" w:rsidP="00350CCD">
      <w:pPr>
        <w:spacing w:line="480" w:lineRule="auto"/>
        <w:jc w:val="both"/>
        <w:rPr>
          <w:sz w:val="24"/>
        </w:rPr>
      </w:pPr>
      <w:r w:rsidRPr="001315F0">
        <w:rPr>
          <w:sz w:val="24"/>
          <w:szCs w:val="24"/>
        </w:rPr>
        <w:t>Purpos</w:t>
      </w:r>
      <w:r w:rsidR="006E72FE">
        <w:rPr>
          <w:sz w:val="24"/>
          <w:szCs w:val="24"/>
        </w:rPr>
        <w:t>iv</w:t>
      </w:r>
      <w:r w:rsidRPr="001315F0">
        <w:rPr>
          <w:sz w:val="24"/>
          <w:szCs w:val="24"/>
        </w:rPr>
        <w:t>e sampling was used to recruit participants. Two sites were involved in recruitment: a specialist Looked after Children’s Child and Adolescent Mental Health Service (CAMHS) and a Local Authority, both based in the Midlands.</w:t>
      </w:r>
      <w:r w:rsidRPr="001315F0">
        <w:t xml:space="preserve"> </w:t>
      </w:r>
      <w:r w:rsidRPr="001315F0">
        <w:rPr>
          <w:sz w:val="24"/>
        </w:rPr>
        <w:t xml:space="preserve">Information relating to the study, the inclusion criteria and opt in information was provided to all special guardians from the two recruitment sites via professionals working with them. Inclusion criteria for participants comprised having at least one child in their care under an SGO, for at least 6 months prior to participating in the research, and also having a familial relationship with the child. If carers felt they met the inclusion criteria and were happy to take part they then made contact with the lead researcher. </w:t>
      </w:r>
    </w:p>
    <w:p w14:paraId="0D56FDD9" w14:textId="77777777" w:rsidR="00350CCD" w:rsidRPr="001315F0" w:rsidRDefault="00350CCD" w:rsidP="00CF04FC">
      <w:pPr>
        <w:spacing w:line="480" w:lineRule="auto"/>
        <w:jc w:val="both"/>
        <w:rPr>
          <w:i/>
          <w:sz w:val="24"/>
        </w:rPr>
      </w:pPr>
    </w:p>
    <w:p w14:paraId="78C63078" w14:textId="51538D0D" w:rsidR="00C83D0C" w:rsidRPr="001315F0" w:rsidRDefault="00C83D0C" w:rsidP="00CF04FC">
      <w:pPr>
        <w:spacing w:line="480" w:lineRule="auto"/>
        <w:jc w:val="both"/>
        <w:rPr>
          <w:sz w:val="24"/>
        </w:rPr>
      </w:pPr>
      <w:r w:rsidRPr="001315F0">
        <w:rPr>
          <w:i/>
          <w:sz w:val="24"/>
        </w:rPr>
        <w:t>Participants</w:t>
      </w:r>
    </w:p>
    <w:p w14:paraId="47BA2824" w14:textId="77777777" w:rsidR="00F5779F" w:rsidRPr="001315F0" w:rsidRDefault="00C83D0C" w:rsidP="00CF04FC">
      <w:pPr>
        <w:spacing w:line="480" w:lineRule="auto"/>
        <w:jc w:val="both"/>
        <w:rPr>
          <w:sz w:val="24"/>
        </w:rPr>
      </w:pPr>
      <w:r w:rsidRPr="001315F0">
        <w:rPr>
          <w:sz w:val="24"/>
        </w:rPr>
        <w:t xml:space="preserve">In total 10 carers took part in the study.  Each carer completed the Q-sort from three different time perspectives during the same research interview, generating a total of 30 Q-sorts. Demographics of the participants can be found in table 1. </w:t>
      </w:r>
    </w:p>
    <w:p w14:paraId="7BAEB53D" w14:textId="77777777" w:rsidR="00210230" w:rsidRPr="001315F0" w:rsidRDefault="00210230" w:rsidP="00CF04FC">
      <w:pPr>
        <w:spacing w:line="480" w:lineRule="auto"/>
        <w:jc w:val="both"/>
        <w:rPr>
          <w:sz w:val="24"/>
        </w:rPr>
      </w:pPr>
    </w:p>
    <w:p w14:paraId="4D7262C7" w14:textId="77777777" w:rsidR="00210230" w:rsidRPr="001315F0" w:rsidRDefault="00210230" w:rsidP="00CF04FC">
      <w:pPr>
        <w:spacing w:line="480" w:lineRule="auto"/>
        <w:jc w:val="both"/>
        <w:rPr>
          <w:sz w:val="24"/>
        </w:rPr>
      </w:pPr>
    </w:p>
    <w:p w14:paraId="03687366" w14:textId="77777777" w:rsidR="00210230" w:rsidRPr="001315F0" w:rsidRDefault="00210230" w:rsidP="00CF04FC">
      <w:pPr>
        <w:spacing w:line="480" w:lineRule="auto"/>
        <w:jc w:val="both"/>
        <w:rPr>
          <w:sz w:val="24"/>
        </w:rPr>
      </w:pPr>
    </w:p>
    <w:p w14:paraId="663E6C52" w14:textId="33920221" w:rsidR="00C83D0C" w:rsidRPr="001315F0" w:rsidRDefault="00C83D0C" w:rsidP="00CF04FC">
      <w:pPr>
        <w:spacing w:line="480" w:lineRule="auto"/>
        <w:jc w:val="both"/>
        <w:rPr>
          <w:sz w:val="24"/>
        </w:rPr>
      </w:pPr>
      <w:r w:rsidRPr="001315F0">
        <w:rPr>
          <w:sz w:val="24"/>
        </w:rPr>
        <w:t>Table 1: Sample Demographics</w:t>
      </w:r>
    </w:p>
    <w:tbl>
      <w:tblPr>
        <w:tblStyle w:val="TableGrid5"/>
        <w:tblW w:w="0" w:type="auto"/>
        <w:tblLook w:val="04A0" w:firstRow="1" w:lastRow="0" w:firstColumn="1" w:lastColumn="0" w:noHBand="0" w:noVBand="1"/>
      </w:tblPr>
      <w:tblGrid>
        <w:gridCol w:w="1266"/>
        <w:gridCol w:w="898"/>
        <w:gridCol w:w="1003"/>
        <w:gridCol w:w="1581"/>
        <w:gridCol w:w="1720"/>
        <w:gridCol w:w="1280"/>
        <w:gridCol w:w="1268"/>
      </w:tblGrid>
      <w:tr w:rsidR="001315F0" w:rsidRPr="001315F0" w14:paraId="431F9BEA" w14:textId="77777777" w:rsidTr="00CF04FC">
        <w:tc>
          <w:tcPr>
            <w:tcW w:w="1274" w:type="dxa"/>
            <w:shd w:val="clear" w:color="auto" w:fill="DBE5F1" w:themeFill="accent1" w:themeFillTint="33"/>
          </w:tcPr>
          <w:p w14:paraId="03CE6208" w14:textId="77777777" w:rsidR="00C83D0C" w:rsidRPr="001315F0" w:rsidRDefault="00C83D0C" w:rsidP="00E501D5">
            <w:pPr>
              <w:spacing w:line="276" w:lineRule="auto"/>
              <w:jc w:val="center"/>
            </w:pPr>
            <w:r w:rsidRPr="001315F0">
              <w:t>Participant</w:t>
            </w:r>
          </w:p>
        </w:tc>
        <w:tc>
          <w:tcPr>
            <w:tcW w:w="936" w:type="dxa"/>
            <w:shd w:val="clear" w:color="auto" w:fill="DBE5F1" w:themeFill="accent1" w:themeFillTint="33"/>
          </w:tcPr>
          <w:p w14:paraId="1F937106" w14:textId="77777777" w:rsidR="00C83D0C" w:rsidRPr="001315F0" w:rsidRDefault="00C83D0C" w:rsidP="00E501D5">
            <w:pPr>
              <w:spacing w:line="276" w:lineRule="auto"/>
              <w:jc w:val="center"/>
            </w:pPr>
            <w:r w:rsidRPr="001315F0">
              <w:t>Age</w:t>
            </w:r>
          </w:p>
        </w:tc>
        <w:tc>
          <w:tcPr>
            <w:tcW w:w="1017" w:type="dxa"/>
            <w:shd w:val="clear" w:color="auto" w:fill="DBE5F1" w:themeFill="accent1" w:themeFillTint="33"/>
          </w:tcPr>
          <w:p w14:paraId="7663BBC8" w14:textId="77777777" w:rsidR="00C83D0C" w:rsidRPr="001315F0" w:rsidRDefault="00C83D0C" w:rsidP="00E501D5">
            <w:pPr>
              <w:spacing w:line="276" w:lineRule="auto"/>
              <w:jc w:val="center"/>
            </w:pPr>
            <w:r w:rsidRPr="001315F0">
              <w:t>Gender</w:t>
            </w:r>
          </w:p>
        </w:tc>
        <w:tc>
          <w:tcPr>
            <w:tcW w:w="1637" w:type="dxa"/>
            <w:shd w:val="clear" w:color="auto" w:fill="DBE5F1" w:themeFill="accent1" w:themeFillTint="33"/>
          </w:tcPr>
          <w:p w14:paraId="6B27E83B" w14:textId="77777777" w:rsidR="00C83D0C" w:rsidRPr="001315F0" w:rsidRDefault="00C83D0C" w:rsidP="00E501D5">
            <w:pPr>
              <w:spacing w:line="276" w:lineRule="auto"/>
              <w:jc w:val="center"/>
            </w:pPr>
            <w:r w:rsidRPr="001315F0">
              <w:t>Recruited From</w:t>
            </w:r>
          </w:p>
        </w:tc>
        <w:tc>
          <w:tcPr>
            <w:tcW w:w="1750" w:type="dxa"/>
            <w:shd w:val="clear" w:color="auto" w:fill="DBE5F1" w:themeFill="accent1" w:themeFillTint="33"/>
          </w:tcPr>
          <w:p w14:paraId="750513F2" w14:textId="77777777" w:rsidR="00C83D0C" w:rsidRPr="001315F0" w:rsidRDefault="00C83D0C" w:rsidP="00E501D5">
            <w:pPr>
              <w:spacing w:line="276" w:lineRule="auto"/>
              <w:jc w:val="center"/>
            </w:pPr>
            <w:r w:rsidRPr="001315F0">
              <w:t>Relationship to child/children</w:t>
            </w:r>
          </w:p>
        </w:tc>
        <w:tc>
          <w:tcPr>
            <w:tcW w:w="1318" w:type="dxa"/>
            <w:shd w:val="clear" w:color="auto" w:fill="DBE5F1" w:themeFill="accent1" w:themeFillTint="33"/>
          </w:tcPr>
          <w:p w14:paraId="5EDB1623" w14:textId="77777777" w:rsidR="00C83D0C" w:rsidRPr="001315F0" w:rsidRDefault="00C83D0C" w:rsidP="00E501D5">
            <w:pPr>
              <w:spacing w:line="276" w:lineRule="auto"/>
              <w:jc w:val="center"/>
            </w:pPr>
            <w:r w:rsidRPr="001315F0">
              <w:t>No. of children cared for</w:t>
            </w:r>
          </w:p>
        </w:tc>
        <w:tc>
          <w:tcPr>
            <w:tcW w:w="1310" w:type="dxa"/>
            <w:shd w:val="clear" w:color="auto" w:fill="DBE5F1" w:themeFill="accent1" w:themeFillTint="33"/>
          </w:tcPr>
          <w:p w14:paraId="15ED13DC" w14:textId="77777777" w:rsidR="00C83D0C" w:rsidRPr="001315F0" w:rsidRDefault="00C83D0C" w:rsidP="00E501D5">
            <w:pPr>
              <w:spacing w:line="276" w:lineRule="auto"/>
              <w:jc w:val="center"/>
            </w:pPr>
            <w:r w:rsidRPr="001315F0">
              <w:t>How long the SGO has been in place</w:t>
            </w:r>
          </w:p>
        </w:tc>
      </w:tr>
      <w:tr w:rsidR="001315F0" w:rsidRPr="001315F0" w14:paraId="0C3E67CB" w14:textId="77777777" w:rsidTr="00CF04FC">
        <w:tc>
          <w:tcPr>
            <w:tcW w:w="1274" w:type="dxa"/>
          </w:tcPr>
          <w:p w14:paraId="2EAD344E" w14:textId="77777777" w:rsidR="00C83D0C" w:rsidRPr="001315F0" w:rsidRDefault="00C83D0C" w:rsidP="00CF04FC">
            <w:pPr>
              <w:spacing w:line="480" w:lineRule="auto"/>
              <w:jc w:val="center"/>
            </w:pPr>
            <w:r w:rsidRPr="001315F0">
              <w:t>1</w:t>
            </w:r>
          </w:p>
        </w:tc>
        <w:tc>
          <w:tcPr>
            <w:tcW w:w="936" w:type="dxa"/>
          </w:tcPr>
          <w:p w14:paraId="45BC5513" w14:textId="77777777" w:rsidR="00C83D0C" w:rsidRPr="001315F0" w:rsidRDefault="00C83D0C" w:rsidP="00CF04FC">
            <w:pPr>
              <w:spacing w:line="480" w:lineRule="auto"/>
              <w:jc w:val="center"/>
            </w:pPr>
            <w:r w:rsidRPr="001315F0">
              <w:t>31-40</w:t>
            </w:r>
          </w:p>
        </w:tc>
        <w:tc>
          <w:tcPr>
            <w:tcW w:w="1017" w:type="dxa"/>
          </w:tcPr>
          <w:p w14:paraId="65189157" w14:textId="77777777" w:rsidR="00C83D0C" w:rsidRPr="001315F0" w:rsidRDefault="00C83D0C" w:rsidP="00CF04FC">
            <w:pPr>
              <w:spacing w:line="480" w:lineRule="auto"/>
              <w:jc w:val="center"/>
            </w:pPr>
            <w:r w:rsidRPr="001315F0">
              <w:t>Female</w:t>
            </w:r>
          </w:p>
        </w:tc>
        <w:tc>
          <w:tcPr>
            <w:tcW w:w="1637" w:type="dxa"/>
          </w:tcPr>
          <w:p w14:paraId="7A8CB5D5" w14:textId="77777777" w:rsidR="00C83D0C" w:rsidRPr="001315F0" w:rsidRDefault="00C83D0C" w:rsidP="00CF04FC">
            <w:pPr>
              <w:spacing w:line="480" w:lineRule="auto"/>
              <w:jc w:val="center"/>
            </w:pPr>
            <w:r w:rsidRPr="001315F0">
              <w:t>LAC Service</w:t>
            </w:r>
          </w:p>
        </w:tc>
        <w:tc>
          <w:tcPr>
            <w:tcW w:w="1750" w:type="dxa"/>
          </w:tcPr>
          <w:p w14:paraId="0328968E" w14:textId="77777777" w:rsidR="00C83D0C" w:rsidRPr="001315F0" w:rsidRDefault="00C83D0C" w:rsidP="00CF04FC">
            <w:pPr>
              <w:spacing w:line="480" w:lineRule="auto"/>
              <w:jc w:val="center"/>
            </w:pPr>
            <w:r w:rsidRPr="001315F0">
              <w:t>Aunt</w:t>
            </w:r>
          </w:p>
        </w:tc>
        <w:tc>
          <w:tcPr>
            <w:tcW w:w="1318" w:type="dxa"/>
          </w:tcPr>
          <w:p w14:paraId="472487E6" w14:textId="77777777" w:rsidR="00C83D0C" w:rsidRPr="001315F0" w:rsidRDefault="00C83D0C" w:rsidP="00CF04FC">
            <w:pPr>
              <w:spacing w:line="480" w:lineRule="auto"/>
              <w:jc w:val="center"/>
            </w:pPr>
            <w:r w:rsidRPr="001315F0">
              <w:t>1</w:t>
            </w:r>
          </w:p>
        </w:tc>
        <w:tc>
          <w:tcPr>
            <w:tcW w:w="1310" w:type="dxa"/>
          </w:tcPr>
          <w:p w14:paraId="5F7E52E1" w14:textId="77777777" w:rsidR="00C83D0C" w:rsidRPr="001315F0" w:rsidRDefault="00C83D0C" w:rsidP="00CF04FC">
            <w:pPr>
              <w:spacing w:line="480" w:lineRule="auto"/>
              <w:jc w:val="center"/>
            </w:pPr>
            <w:r w:rsidRPr="001315F0">
              <w:t>5 years</w:t>
            </w:r>
          </w:p>
        </w:tc>
      </w:tr>
      <w:tr w:rsidR="001315F0" w:rsidRPr="001315F0" w14:paraId="04218D8D" w14:textId="77777777" w:rsidTr="00CF04FC">
        <w:tc>
          <w:tcPr>
            <w:tcW w:w="1274" w:type="dxa"/>
          </w:tcPr>
          <w:p w14:paraId="5120995B" w14:textId="77777777" w:rsidR="00C83D0C" w:rsidRPr="001315F0" w:rsidRDefault="00C83D0C" w:rsidP="00CF04FC">
            <w:pPr>
              <w:spacing w:line="480" w:lineRule="auto"/>
              <w:jc w:val="center"/>
            </w:pPr>
            <w:r w:rsidRPr="001315F0">
              <w:t>2</w:t>
            </w:r>
          </w:p>
        </w:tc>
        <w:tc>
          <w:tcPr>
            <w:tcW w:w="936" w:type="dxa"/>
          </w:tcPr>
          <w:p w14:paraId="6AA82441" w14:textId="77777777" w:rsidR="00C83D0C" w:rsidRPr="001315F0" w:rsidRDefault="00C83D0C" w:rsidP="00CF04FC">
            <w:pPr>
              <w:spacing w:line="480" w:lineRule="auto"/>
              <w:jc w:val="center"/>
            </w:pPr>
            <w:r w:rsidRPr="001315F0">
              <w:t>51+</w:t>
            </w:r>
          </w:p>
        </w:tc>
        <w:tc>
          <w:tcPr>
            <w:tcW w:w="1017" w:type="dxa"/>
          </w:tcPr>
          <w:p w14:paraId="4F83B68B" w14:textId="77777777" w:rsidR="00C83D0C" w:rsidRPr="001315F0" w:rsidRDefault="00C83D0C" w:rsidP="00CF04FC">
            <w:pPr>
              <w:spacing w:line="480" w:lineRule="auto"/>
              <w:jc w:val="center"/>
            </w:pPr>
            <w:r w:rsidRPr="001315F0">
              <w:t>Male</w:t>
            </w:r>
          </w:p>
        </w:tc>
        <w:tc>
          <w:tcPr>
            <w:tcW w:w="1637" w:type="dxa"/>
          </w:tcPr>
          <w:p w14:paraId="0AFEBFAD" w14:textId="77777777" w:rsidR="00C83D0C" w:rsidRPr="001315F0" w:rsidRDefault="00C83D0C" w:rsidP="00CF04FC">
            <w:pPr>
              <w:spacing w:line="480" w:lineRule="auto"/>
              <w:jc w:val="center"/>
            </w:pPr>
            <w:r w:rsidRPr="001315F0">
              <w:t>Local Authority</w:t>
            </w:r>
          </w:p>
        </w:tc>
        <w:tc>
          <w:tcPr>
            <w:tcW w:w="1750" w:type="dxa"/>
          </w:tcPr>
          <w:p w14:paraId="6A0C06C5" w14:textId="77777777" w:rsidR="00C83D0C" w:rsidRPr="001315F0" w:rsidRDefault="00C83D0C" w:rsidP="00CF04FC">
            <w:pPr>
              <w:spacing w:line="480" w:lineRule="auto"/>
              <w:jc w:val="center"/>
            </w:pPr>
            <w:r w:rsidRPr="001315F0">
              <w:t>Foster carer</w:t>
            </w:r>
          </w:p>
        </w:tc>
        <w:tc>
          <w:tcPr>
            <w:tcW w:w="1318" w:type="dxa"/>
          </w:tcPr>
          <w:p w14:paraId="6A6C92DF" w14:textId="77777777" w:rsidR="00C83D0C" w:rsidRPr="001315F0" w:rsidRDefault="00C83D0C" w:rsidP="00CF04FC">
            <w:pPr>
              <w:spacing w:line="480" w:lineRule="auto"/>
              <w:jc w:val="center"/>
            </w:pPr>
            <w:r w:rsidRPr="001315F0">
              <w:t>5</w:t>
            </w:r>
          </w:p>
        </w:tc>
        <w:tc>
          <w:tcPr>
            <w:tcW w:w="1310" w:type="dxa"/>
          </w:tcPr>
          <w:p w14:paraId="624B7703" w14:textId="77777777" w:rsidR="00C83D0C" w:rsidRPr="001315F0" w:rsidRDefault="00C83D0C" w:rsidP="00CF04FC">
            <w:pPr>
              <w:spacing w:line="480" w:lineRule="auto"/>
              <w:jc w:val="center"/>
            </w:pPr>
            <w:r w:rsidRPr="001315F0">
              <w:t>5 years</w:t>
            </w:r>
          </w:p>
        </w:tc>
      </w:tr>
      <w:tr w:rsidR="001315F0" w:rsidRPr="001315F0" w14:paraId="08C763F2" w14:textId="77777777" w:rsidTr="00CF04FC">
        <w:tc>
          <w:tcPr>
            <w:tcW w:w="1274" w:type="dxa"/>
          </w:tcPr>
          <w:p w14:paraId="16401D70" w14:textId="77777777" w:rsidR="00C83D0C" w:rsidRPr="001315F0" w:rsidRDefault="00C83D0C" w:rsidP="00CF04FC">
            <w:pPr>
              <w:spacing w:line="480" w:lineRule="auto"/>
              <w:jc w:val="center"/>
            </w:pPr>
            <w:r w:rsidRPr="001315F0">
              <w:t>3</w:t>
            </w:r>
          </w:p>
        </w:tc>
        <w:tc>
          <w:tcPr>
            <w:tcW w:w="936" w:type="dxa"/>
          </w:tcPr>
          <w:p w14:paraId="34B6028B" w14:textId="77777777" w:rsidR="00C83D0C" w:rsidRPr="001315F0" w:rsidRDefault="00C83D0C" w:rsidP="00CF04FC">
            <w:pPr>
              <w:spacing w:line="480" w:lineRule="auto"/>
              <w:jc w:val="center"/>
            </w:pPr>
            <w:r w:rsidRPr="001315F0">
              <w:t>51+</w:t>
            </w:r>
          </w:p>
        </w:tc>
        <w:tc>
          <w:tcPr>
            <w:tcW w:w="1017" w:type="dxa"/>
          </w:tcPr>
          <w:p w14:paraId="458C5275" w14:textId="77777777" w:rsidR="00C83D0C" w:rsidRPr="001315F0" w:rsidRDefault="00C83D0C" w:rsidP="00CF04FC">
            <w:pPr>
              <w:spacing w:line="480" w:lineRule="auto"/>
              <w:jc w:val="center"/>
            </w:pPr>
            <w:r w:rsidRPr="001315F0">
              <w:t>Female</w:t>
            </w:r>
          </w:p>
        </w:tc>
        <w:tc>
          <w:tcPr>
            <w:tcW w:w="1637" w:type="dxa"/>
          </w:tcPr>
          <w:p w14:paraId="334422AE" w14:textId="77777777" w:rsidR="00C83D0C" w:rsidRPr="001315F0" w:rsidRDefault="00C83D0C" w:rsidP="00CF04FC">
            <w:pPr>
              <w:spacing w:line="480" w:lineRule="auto"/>
              <w:jc w:val="center"/>
            </w:pPr>
            <w:r w:rsidRPr="001315F0">
              <w:t>Local Authority</w:t>
            </w:r>
          </w:p>
        </w:tc>
        <w:tc>
          <w:tcPr>
            <w:tcW w:w="1750" w:type="dxa"/>
          </w:tcPr>
          <w:p w14:paraId="57F32E53" w14:textId="77777777" w:rsidR="00C83D0C" w:rsidRPr="001315F0" w:rsidRDefault="00C83D0C" w:rsidP="00CF04FC">
            <w:pPr>
              <w:spacing w:line="480" w:lineRule="auto"/>
              <w:jc w:val="center"/>
            </w:pPr>
            <w:r w:rsidRPr="001315F0">
              <w:t>Distant relative</w:t>
            </w:r>
          </w:p>
        </w:tc>
        <w:tc>
          <w:tcPr>
            <w:tcW w:w="1318" w:type="dxa"/>
          </w:tcPr>
          <w:p w14:paraId="2744FA13" w14:textId="77777777" w:rsidR="00C83D0C" w:rsidRPr="001315F0" w:rsidRDefault="00C83D0C" w:rsidP="00CF04FC">
            <w:pPr>
              <w:spacing w:line="480" w:lineRule="auto"/>
              <w:jc w:val="center"/>
            </w:pPr>
            <w:r w:rsidRPr="001315F0">
              <w:t>2</w:t>
            </w:r>
          </w:p>
        </w:tc>
        <w:tc>
          <w:tcPr>
            <w:tcW w:w="1310" w:type="dxa"/>
          </w:tcPr>
          <w:p w14:paraId="1C3A6F2A" w14:textId="77777777" w:rsidR="00C83D0C" w:rsidRPr="001315F0" w:rsidRDefault="00C83D0C" w:rsidP="00CF04FC">
            <w:pPr>
              <w:spacing w:line="480" w:lineRule="auto"/>
              <w:jc w:val="center"/>
            </w:pPr>
            <w:r w:rsidRPr="001315F0">
              <w:t>6 months</w:t>
            </w:r>
          </w:p>
        </w:tc>
      </w:tr>
      <w:tr w:rsidR="001315F0" w:rsidRPr="001315F0" w14:paraId="5D2C566C" w14:textId="77777777" w:rsidTr="00CF04FC">
        <w:tc>
          <w:tcPr>
            <w:tcW w:w="1274" w:type="dxa"/>
          </w:tcPr>
          <w:p w14:paraId="6451EB8A" w14:textId="77777777" w:rsidR="00C83D0C" w:rsidRPr="001315F0" w:rsidRDefault="00C83D0C" w:rsidP="00CF04FC">
            <w:pPr>
              <w:spacing w:line="480" w:lineRule="auto"/>
              <w:jc w:val="center"/>
            </w:pPr>
            <w:r w:rsidRPr="001315F0">
              <w:t>4</w:t>
            </w:r>
          </w:p>
        </w:tc>
        <w:tc>
          <w:tcPr>
            <w:tcW w:w="936" w:type="dxa"/>
          </w:tcPr>
          <w:p w14:paraId="35C608EA" w14:textId="77777777" w:rsidR="00C83D0C" w:rsidRPr="001315F0" w:rsidRDefault="00C83D0C" w:rsidP="00CF04FC">
            <w:pPr>
              <w:spacing w:line="480" w:lineRule="auto"/>
              <w:jc w:val="center"/>
            </w:pPr>
            <w:r w:rsidRPr="001315F0">
              <w:t>51+</w:t>
            </w:r>
          </w:p>
        </w:tc>
        <w:tc>
          <w:tcPr>
            <w:tcW w:w="1017" w:type="dxa"/>
          </w:tcPr>
          <w:p w14:paraId="0950D58C" w14:textId="77777777" w:rsidR="00C83D0C" w:rsidRPr="001315F0" w:rsidRDefault="00C83D0C" w:rsidP="00CF04FC">
            <w:pPr>
              <w:spacing w:line="480" w:lineRule="auto"/>
              <w:jc w:val="center"/>
            </w:pPr>
            <w:r w:rsidRPr="001315F0">
              <w:t>Male</w:t>
            </w:r>
          </w:p>
        </w:tc>
        <w:tc>
          <w:tcPr>
            <w:tcW w:w="1637" w:type="dxa"/>
          </w:tcPr>
          <w:p w14:paraId="7D1D1BD8" w14:textId="77777777" w:rsidR="00C83D0C" w:rsidRPr="001315F0" w:rsidRDefault="00C83D0C" w:rsidP="00CF04FC">
            <w:pPr>
              <w:spacing w:line="480" w:lineRule="auto"/>
              <w:jc w:val="center"/>
            </w:pPr>
            <w:r w:rsidRPr="001315F0">
              <w:t>Local Authority</w:t>
            </w:r>
          </w:p>
        </w:tc>
        <w:tc>
          <w:tcPr>
            <w:tcW w:w="1750" w:type="dxa"/>
          </w:tcPr>
          <w:p w14:paraId="60C23251" w14:textId="77777777" w:rsidR="00C83D0C" w:rsidRPr="001315F0" w:rsidRDefault="00C83D0C" w:rsidP="00CF04FC">
            <w:pPr>
              <w:spacing w:line="480" w:lineRule="auto"/>
              <w:jc w:val="center"/>
            </w:pPr>
            <w:r w:rsidRPr="001315F0">
              <w:t>Distant relative</w:t>
            </w:r>
          </w:p>
        </w:tc>
        <w:tc>
          <w:tcPr>
            <w:tcW w:w="1318" w:type="dxa"/>
          </w:tcPr>
          <w:p w14:paraId="15112937" w14:textId="77777777" w:rsidR="00C83D0C" w:rsidRPr="001315F0" w:rsidRDefault="00C83D0C" w:rsidP="00CF04FC">
            <w:pPr>
              <w:spacing w:line="480" w:lineRule="auto"/>
              <w:jc w:val="center"/>
            </w:pPr>
            <w:r w:rsidRPr="001315F0">
              <w:t>2</w:t>
            </w:r>
          </w:p>
        </w:tc>
        <w:tc>
          <w:tcPr>
            <w:tcW w:w="1310" w:type="dxa"/>
          </w:tcPr>
          <w:p w14:paraId="4E66EA03" w14:textId="77777777" w:rsidR="00C83D0C" w:rsidRPr="001315F0" w:rsidRDefault="00C83D0C" w:rsidP="00CF04FC">
            <w:pPr>
              <w:spacing w:line="480" w:lineRule="auto"/>
              <w:jc w:val="center"/>
            </w:pPr>
            <w:r w:rsidRPr="001315F0">
              <w:t>6 months</w:t>
            </w:r>
          </w:p>
        </w:tc>
      </w:tr>
      <w:tr w:rsidR="001315F0" w:rsidRPr="001315F0" w14:paraId="3088FBE4" w14:textId="77777777" w:rsidTr="00CF04FC">
        <w:tc>
          <w:tcPr>
            <w:tcW w:w="1274" w:type="dxa"/>
          </w:tcPr>
          <w:p w14:paraId="08FC4534" w14:textId="77777777" w:rsidR="00C83D0C" w:rsidRPr="001315F0" w:rsidRDefault="00C83D0C" w:rsidP="00CF04FC">
            <w:pPr>
              <w:spacing w:line="480" w:lineRule="auto"/>
              <w:jc w:val="center"/>
            </w:pPr>
            <w:r w:rsidRPr="001315F0">
              <w:t>5</w:t>
            </w:r>
          </w:p>
        </w:tc>
        <w:tc>
          <w:tcPr>
            <w:tcW w:w="936" w:type="dxa"/>
          </w:tcPr>
          <w:p w14:paraId="50F798CE" w14:textId="77777777" w:rsidR="00C83D0C" w:rsidRPr="001315F0" w:rsidRDefault="00C83D0C" w:rsidP="00CF04FC">
            <w:pPr>
              <w:spacing w:line="480" w:lineRule="auto"/>
              <w:jc w:val="center"/>
            </w:pPr>
            <w:r w:rsidRPr="001315F0">
              <w:t>51+</w:t>
            </w:r>
          </w:p>
        </w:tc>
        <w:tc>
          <w:tcPr>
            <w:tcW w:w="1017" w:type="dxa"/>
          </w:tcPr>
          <w:p w14:paraId="45AE0A86" w14:textId="77777777" w:rsidR="00C83D0C" w:rsidRPr="001315F0" w:rsidRDefault="00C83D0C" w:rsidP="00CF04FC">
            <w:pPr>
              <w:spacing w:line="480" w:lineRule="auto"/>
              <w:jc w:val="center"/>
            </w:pPr>
            <w:r w:rsidRPr="001315F0">
              <w:t>Female</w:t>
            </w:r>
          </w:p>
        </w:tc>
        <w:tc>
          <w:tcPr>
            <w:tcW w:w="1637" w:type="dxa"/>
          </w:tcPr>
          <w:p w14:paraId="40D6A1E7" w14:textId="77777777" w:rsidR="00C83D0C" w:rsidRPr="001315F0" w:rsidRDefault="00C83D0C" w:rsidP="00CF04FC">
            <w:pPr>
              <w:spacing w:line="480" w:lineRule="auto"/>
              <w:jc w:val="center"/>
            </w:pPr>
            <w:r w:rsidRPr="001315F0">
              <w:t>LAC Service</w:t>
            </w:r>
          </w:p>
        </w:tc>
        <w:tc>
          <w:tcPr>
            <w:tcW w:w="1750" w:type="dxa"/>
          </w:tcPr>
          <w:p w14:paraId="050DF1FD" w14:textId="77777777" w:rsidR="00C83D0C" w:rsidRPr="001315F0" w:rsidRDefault="00C83D0C" w:rsidP="00CF04FC">
            <w:pPr>
              <w:spacing w:line="480" w:lineRule="auto"/>
              <w:jc w:val="center"/>
            </w:pPr>
            <w:r w:rsidRPr="001315F0">
              <w:t>Distant relative</w:t>
            </w:r>
          </w:p>
        </w:tc>
        <w:tc>
          <w:tcPr>
            <w:tcW w:w="1318" w:type="dxa"/>
          </w:tcPr>
          <w:p w14:paraId="03092CF0" w14:textId="77777777" w:rsidR="00C83D0C" w:rsidRPr="001315F0" w:rsidRDefault="00C83D0C" w:rsidP="00CF04FC">
            <w:pPr>
              <w:spacing w:line="480" w:lineRule="auto"/>
              <w:jc w:val="center"/>
            </w:pPr>
            <w:r w:rsidRPr="001315F0">
              <w:t>1</w:t>
            </w:r>
          </w:p>
        </w:tc>
        <w:tc>
          <w:tcPr>
            <w:tcW w:w="1310" w:type="dxa"/>
          </w:tcPr>
          <w:p w14:paraId="120DA53E" w14:textId="77777777" w:rsidR="00C83D0C" w:rsidRPr="001315F0" w:rsidRDefault="00C83D0C" w:rsidP="00CF04FC">
            <w:pPr>
              <w:spacing w:line="480" w:lineRule="auto"/>
              <w:jc w:val="center"/>
            </w:pPr>
            <w:r w:rsidRPr="001315F0">
              <w:t>5 years</w:t>
            </w:r>
          </w:p>
        </w:tc>
      </w:tr>
      <w:tr w:rsidR="001315F0" w:rsidRPr="001315F0" w14:paraId="7DA8AF69" w14:textId="77777777" w:rsidTr="00CF04FC">
        <w:tc>
          <w:tcPr>
            <w:tcW w:w="1274" w:type="dxa"/>
          </w:tcPr>
          <w:p w14:paraId="1234256F" w14:textId="77777777" w:rsidR="00C83D0C" w:rsidRPr="001315F0" w:rsidRDefault="00C83D0C" w:rsidP="00CF04FC">
            <w:pPr>
              <w:spacing w:line="480" w:lineRule="auto"/>
              <w:jc w:val="center"/>
            </w:pPr>
            <w:r w:rsidRPr="001315F0">
              <w:t>6</w:t>
            </w:r>
          </w:p>
        </w:tc>
        <w:tc>
          <w:tcPr>
            <w:tcW w:w="936" w:type="dxa"/>
          </w:tcPr>
          <w:p w14:paraId="758CD15D" w14:textId="77777777" w:rsidR="00C83D0C" w:rsidRPr="001315F0" w:rsidRDefault="00C83D0C" w:rsidP="00CF04FC">
            <w:pPr>
              <w:spacing w:line="480" w:lineRule="auto"/>
              <w:jc w:val="center"/>
            </w:pPr>
            <w:r w:rsidRPr="001315F0">
              <w:t>31-40</w:t>
            </w:r>
          </w:p>
        </w:tc>
        <w:tc>
          <w:tcPr>
            <w:tcW w:w="1017" w:type="dxa"/>
          </w:tcPr>
          <w:p w14:paraId="3648C5E9" w14:textId="77777777" w:rsidR="00C83D0C" w:rsidRPr="001315F0" w:rsidRDefault="00C83D0C" w:rsidP="00CF04FC">
            <w:pPr>
              <w:spacing w:line="480" w:lineRule="auto"/>
              <w:jc w:val="center"/>
            </w:pPr>
            <w:r w:rsidRPr="001315F0">
              <w:t>Female</w:t>
            </w:r>
          </w:p>
        </w:tc>
        <w:tc>
          <w:tcPr>
            <w:tcW w:w="1637" w:type="dxa"/>
          </w:tcPr>
          <w:p w14:paraId="20DD4F7E" w14:textId="77777777" w:rsidR="00C83D0C" w:rsidRPr="001315F0" w:rsidRDefault="00C83D0C" w:rsidP="00CF04FC">
            <w:pPr>
              <w:spacing w:line="480" w:lineRule="auto"/>
              <w:jc w:val="center"/>
            </w:pPr>
            <w:r w:rsidRPr="001315F0">
              <w:t>LAC Service</w:t>
            </w:r>
          </w:p>
        </w:tc>
        <w:tc>
          <w:tcPr>
            <w:tcW w:w="1750" w:type="dxa"/>
          </w:tcPr>
          <w:p w14:paraId="653F5210" w14:textId="77777777" w:rsidR="00C83D0C" w:rsidRPr="001315F0" w:rsidRDefault="00C83D0C" w:rsidP="00CF04FC">
            <w:pPr>
              <w:spacing w:line="480" w:lineRule="auto"/>
              <w:jc w:val="center"/>
            </w:pPr>
            <w:r w:rsidRPr="001315F0">
              <w:t>Grandparent</w:t>
            </w:r>
          </w:p>
        </w:tc>
        <w:tc>
          <w:tcPr>
            <w:tcW w:w="1318" w:type="dxa"/>
          </w:tcPr>
          <w:p w14:paraId="493C1FFB" w14:textId="77777777" w:rsidR="00C83D0C" w:rsidRPr="001315F0" w:rsidRDefault="00C83D0C" w:rsidP="00CF04FC">
            <w:pPr>
              <w:spacing w:line="480" w:lineRule="auto"/>
              <w:jc w:val="center"/>
            </w:pPr>
            <w:r w:rsidRPr="001315F0">
              <w:t>1</w:t>
            </w:r>
          </w:p>
        </w:tc>
        <w:tc>
          <w:tcPr>
            <w:tcW w:w="1310" w:type="dxa"/>
          </w:tcPr>
          <w:p w14:paraId="22A3B6CE" w14:textId="77777777" w:rsidR="00C83D0C" w:rsidRPr="001315F0" w:rsidRDefault="00C83D0C" w:rsidP="00CF04FC">
            <w:pPr>
              <w:spacing w:line="480" w:lineRule="auto"/>
              <w:jc w:val="center"/>
            </w:pPr>
            <w:r w:rsidRPr="001315F0">
              <w:t>5 years</w:t>
            </w:r>
          </w:p>
        </w:tc>
      </w:tr>
      <w:tr w:rsidR="001315F0" w:rsidRPr="001315F0" w14:paraId="2811E07D" w14:textId="77777777" w:rsidTr="00CF04FC">
        <w:tc>
          <w:tcPr>
            <w:tcW w:w="1274" w:type="dxa"/>
          </w:tcPr>
          <w:p w14:paraId="4B5E4049" w14:textId="77777777" w:rsidR="00C83D0C" w:rsidRPr="001315F0" w:rsidRDefault="00C83D0C" w:rsidP="00CF04FC">
            <w:pPr>
              <w:spacing w:line="480" w:lineRule="auto"/>
              <w:jc w:val="center"/>
            </w:pPr>
            <w:r w:rsidRPr="001315F0">
              <w:t>7</w:t>
            </w:r>
          </w:p>
        </w:tc>
        <w:tc>
          <w:tcPr>
            <w:tcW w:w="936" w:type="dxa"/>
          </w:tcPr>
          <w:p w14:paraId="79D51525" w14:textId="77777777" w:rsidR="00C83D0C" w:rsidRPr="001315F0" w:rsidRDefault="00C83D0C" w:rsidP="00CF04FC">
            <w:pPr>
              <w:spacing w:line="480" w:lineRule="auto"/>
              <w:jc w:val="center"/>
            </w:pPr>
            <w:r w:rsidRPr="001315F0">
              <w:t>41-50</w:t>
            </w:r>
          </w:p>
        </w:tc>
        <w:tc>
          <w:tcPr>
            <w:tcW w:w="1017" w:type="dxa"/>
          </w:tcPr>
          <w:p w14:paraId="7E992A78" w14:textId="77777777" w:rsidR="00C83D0C" w:rsidRPr="001315F0" w:rsidRDefault="00C83D0C" w:rsidP="00CF04FC">
            <w:pPr>
              <w:spacing w:line="480" w:lineRule="auto"/>
              <w:jc w:val="center"/>
            </w:pPr>
            <w:r w:rsidRPr="001315F0">
              <w:t>Female</w:t>
            </w:r>
          </w:p>
        </w:tc>
        <w:tc>
          <w:tcPr>
            <w:tcW w:w="1637" w:type="dxa"/>
          </w:tcPr>
          <w:p w14:paraId="54FF2B83" w14:textId="77777777" w:rsidR="00C83D0C" w:rsidRPr="001315F0" w:rsidRDefault="00C83D0C" w:rsidP="00CF04FC">
            <w:pPr>
              <w:spacing w:line="480" w:lineRule="auto"/>
              <w:jc w:val="center"/>
            </w:pPr>
            <w:r w:rsidRPr="001315F0">
              <w:t>LAC Service</w:t>
            </w:r>
          </w:p>
        </w:tc>
        <w:tc>
          <w:tcPr>
            <w:tcW w:w="1750" w:type="dxa"/>
          </w:tcPr>
          <w:p w14:paraId="5C352C69" w14:textId="77777777" w:rsidR="00C83D0C" w:rsidRPr="001315F0" w:rsidRDefault="00C83D0C" w:rsidP="00CF04FC">
            <w:pPr>
              <w:spacing w:line="480" w:lineRule="auto"/>
              <w:jc w:val="center"/>
            </w:pPr>
            <w:r w:rsidRPr="001315F0">
              <w:t>Grandparent</w:t>
            </w:r>
          </w:p>
        </w:tc>
        <w:tc>
          <w:tcPr>
            <w:tcW w:w="1318" w:type="dxa"/>
          </w:tcPr>
          <w:p w14:paraId="7EF5A097" w14:textId="77777777" w:rsidR="00C83D0C" w:rsidRPr="001315F0" w:rsidRDefault="00C83D0C" w:rsidP="00CF04FC">
            <w:pPr>
              <w:spacing w:line="480" w:lineRule="auto"/>
              <w:jc w:val="center"/>
            </w:pPr>
            <w:r w:rsidRPr="001315F0">
              <w:t>1</w:t>
            </w:r>
          </w:p>
        </w:tc>
        <w:tc>
          <w:tcPr>
            <w:tcW w:w="1310" w:type="dxa"/>
          </w:tcPr>
          <w:p w14:paraId="301EC900" w14:textId="77777777" w:rsidR="00C83D0C" w:rsidRPr="001315F0" w:rsidRDefault="00C83D0C" w:rsidP="00CF04FC">
            <w:pPr>
              <w:spacing w:line="480" w:lineRule="auto"/>
              <w:jc w:val="center"/>
            </w:pPr>
            <w:r w:rsidRPr="001315F0">
              <w:t>4 years</w:t>
            </w:r>
          </w:p>
        </w:tc>
      </w:tr>
      <w:tr w:rsidR="001315F0" w:rsidRPr="001315F0" w14:paraId="5C49BFEE" w14:textId="77777777" w:rsidTr="00CF04FC">
        <w:tc>
          <w:tcPr>
            <w:tcW w:w="1274" w:type="dxa"/>
          </w:tcPr>
          <w:p w14:paraId="50DDECEE" w14:textId="77777777" w:rsidR="00C83D0C" w:rsidRPr="001315F0" w:rsidRDefault="00C83D0C" w:rsidP="00CF04FC">
            <w:pPr>
              <w:spacing w:line="480" w:lineRule="auto"/>
              <w:jc w:val="center"/>
            </w:pPr>
            <w:r w:rsidRPr="001315F0">
              <w:t>8</w:t>
            </w:r>
          </w:p>
        </w:tc>
        <w:tc>
          <w:tcPr>
            <w:tcW w:w="936" w:type="dxa"/>
          </w:tcPr>
          <w:p w14:paraId="6CD75846" w14:textId="77777777" w:rsidR="00C83D0C" w:rsidRPr="001315F0" w:rsidRDefault="00C83D0C" w:rsidP="00CF04FC">
            <w:pPr>
              <w:spacing w:line="480" w:lineRule="auto"/>
              <w:jc w:val="center"/>
            </w:pPr>
            <w:r w:rsidRPr="001315F0">
              <w:t>51+</w:t>
            </w:r>
          </w:p>
        </w:tc>
        <w:tc>
          <w:tcPr>
            <w:tcW w:w="1017" w:type="dxa"/>
          </w:tcPr>
          <w:p w14:paraId="1C627243" w14:textId="77777777" w:rsidR="00C83D0C" w:rsidRPr="001315F0" w:rsidRDefault="00C83D0C" w:rsidP="00CF04FC">
            <w:pPr>
              <w:spacing w:line="480" w:lineRule="auto"/>
              <w:jc w:val="center"/>
            </w:pPr>
            <w:r w:rsidRPr="001315F0">
              <w:t>Female</w:t>
            </w:r>
          </w:p>
        </w:tc>
        <w:tc>
          <w:tcPr>
            <w:tcW w:w="1637" w:type="dxa"/>
          </w:tcPr>
          <w:p w14:paraId="07C63F7F" w14:textId="77777777" w:rsidR="00C83D0C" w:rsidRPr="001315F0" w:rsidRDefault="00C83D0C" w:rsidP="00CF04FC">
            <w:pPr>
              <w:spacing w:line="480" w:lineRule="auto"/>
              <w:jc w:val="center"/>
            </w:pPr>
            <w:r w:rsidRPr="001315F0">
              <w:t>LAC Service</w:t>
            </w:r>
          </w:p>
        </w:tc>
        <w:tc>
          <w:tcPr>
            <w:tcW w:w="1750" w:type="dxa"/>
          </w:tcPr>
          <w:p w14:paraId="5B7EA5BB" w14:textId="77777777" w:rsidR="00C83D0C" w:rsidRPr="001315F0" w:rsidRDefault="00C83D0C" w:rsidP="00CF04FC">
            <w:pPr>
              <w:spacing w:line="480" w:lineRule="auto"/>
              <w:jc w:val="center"/>
            </w:pPr>
            <w:r w:rsidRPr="001315F0">
              <w:t>Grandparent</w:t>
            </w:r>
          </w:p>
        </w:tc>
        <w:tc>
          <w:tcPr>
            <w:tcW w:w="1318" w:type="dxa"/>
          </w:tcPr>
          <w:p w14:paraId="24A8D26C" w14:textId="77777777" w:rsidR="00C83D0C" w:rsidRPr="001315F0" w:rsidRDefault="00C83D0C" w:rsidP="00CF04FC">
            <w:pPr>
              <w:spacing w:line="480" w:lineRule="auto"/>
              <w:jc w:val="center"/>
            </w:pPr>
            <w:r w:rsidRPr="001315F0">
              <w:t>2</w:t>
            </w:r>
          </w:p>
        </w:tc>
        <w:tc>
          <w:tcPr>
            <w:tcW w:w="1310" w:type="dxa"/>
          </w:tcPr>
          <w:p w14:paraId="7B9D4AC1" w14:textId="77777777" w:rsidR="00C83D0C" w:rsidRPr="001315F0" w:rsidRDefault="00C83D0C" w:rsidP="00CF04FC">
            <w:pPr>
              <w:spacing w:line="480" w:lineRule="auto"/>
              <w:jc w:val="center"/>
            </w:pPr>
            <w:r w:rsidRPr="001315F0">
              <w:t>5 Years</w:t>
            </w:r>
          </w:p>
        </w:tc>
      </w:tr>
      <w:tr w:rsidR="001315F0" w:rsidRPr="001315F0" w14:paraId="4D16311B" w14:textId="77777777" w:rsidTr="00CF04FC">
        <w:tc>
          <w:tcPr>
            <w:tcW w:w="1274" w:type="dxa"/>
          </w:tcPr>
          <w:p w14:paraId="1454E402" w14:textId="77777777" w:rsidR="00C83D0C" w:rsidRPr="001315F0" w:rsidRDefault="00C83D0C" w:rsidP="00CF04FC">
            <w:pPr>
              <w:spacing w:line="480" w:lineRule="auto"/>
              <w:jc w:val="center"/>
            </w:pPr>
            <w:r w:rsidRPr="001315F0">
              <w:t>9</w:t>
            </w:r>
          </w:p>
        </w:tc>
        <w:tc>
          <w:tcPr>
            <w:tcW w:w="936" w:type="dxa"/>
          </w:tcPr>
          <w:p w14:paraId="17BBCC56" w14:textId="77777777" w:rsidR="00C83D0C" w:rsidRPr="001315F0" w:rsidRDefault="00C83D0C" w:rsidP="00CF04FC">
            <w:pPr>
              <w:spacing w:line="480" w:lineRule="auto"/>
              <w:jc w:val="center"/>
            </w:pPr>
            <w:r w:rsidRPr="001315F0">
              <w:t>51+</w:t>
            </w:r>
          </w:p>
        </w:tc>
        <w:tc>
          <w:tcPr>
            <w:tcW w:w="1017" w:type="dxa"/>
          </w:tcPr>
          <w:p w14:paraId="1A9ACE25" w14:textId="77777777" w:rsidR="00C83D0C" w:rsidRPr="001315F0" w:rsidRDefault="00C83D0C" w:rsidP="00CF04FC">
            <w:pPr>
              <w:spacing w:line="480" w:lineRule="auto"/>
              <w:jc w:val="center"/>
            </w:pPr>
            <w:r w:rsidRPr="001315F0">
              <w:t>Female</w:t>
            </w:r>
          </w:p>
        </w:tc>
        <w:tc>
          <w:tcPr>
            <w:tcW w:w="1637" w:type="dxa"/>
          </w:tcPr>
          <w:p w14:paraId="3FE31F2F" w14:textId="77777777" w:rsidR="00C83D0C" w:rsidRPr="001315F0" w:rsidRDefault="00C83D0C" w:rsidP="00CF04FC">
            <w:pPr>
              <w:spacing w:line="480" w:lineRule="auto"/>
              <w:jc w:val="center"/>
            </w:pPr>
            <w:r w:rsidRPr="001315F0">
              <w:t>LAC Service</w:t>
            </w:r>
          </w:p>
        </w:tc>
        <w:tc>
          <w:tcPr>
            <w:tcW w:w="1750" w:type="dxa"/>
          </w:tcPr>
          <w:p w14:paraId="07301B54" w14:textId="77777777" w:rsidR="00C83D0C" w:rsidRPr="001315F0" w:rsidRDefault="00C83D0C" w:rsidP="00CF04FC">
            <w:pPr>
              <w:spacing w:line="480" w:lineRule="auto"/>
              <w:jc w:val="center"/>
            </w:pPr>
            <w:r w:rsidRPr="001315F0">
              <w:t>Foster carer</w:t>
            </w:r>
          </w:p>
        </w:tc>
        <w:tc>
          <w:tcPr>
            <w:tcW w:w="1318" w:type="dxa"/>
          </w:tcPr>
          <w:p w14:paraId="5B952368" w14:textId="77777777" w:rsidR="00C83D0C" w:rsidRPr="001315F0" w:rsidRDefault="00C83D0C" w:rsidP="00CF04FC">
            <w:pPr>
              <w:spacing w:line="480" w:lineRule="auto"/>
              <w:jc w:val="center"/>
            </w:pPr>
            <w:r w:rsidRPr="001315F0">
              <w:t>1</w:t>
            </w:r>
          </w:p>
        </w:tc>
        <w:tc>
          <w:tcPr>
            <w:tcW w:w="1310" w:type="dxa"/>
          </w:tcPr>
          <w:p w14:paraId="037C27F9" w14:textId="77777777" w:rsidR="00C83D0C" w:rsidRPr="001315F0" w:rsidRDefault="00C83D0C" w:rsidP="00CF04FC">
            <w:pPr>
              <w:spacing w:line="480" w:lineRule="auto"/>
              <w:jc w:val="center"/>
            </w:pPr>
            <w:r w:rsidRPr="001315F0">
              <w:t>5 years</w:t>
            </w:r>
          </w:p>
        </w:tc>
      </w:tr>
      <w:tr w:rsidR="00C83D0C" w:rsidRPr="001315F0" w14:paraId="137B62C4" w14:textId="77777777" w:rsidTr="00CF04FC">
        <w:tc>
          <w:tcPr>
            <w:tcW w:w="1274" w:type="dxa"/>
          </w:tcPr>
          <w:p w14:paraId="6766B4BE" w14:textId="77777777" w:rsidR="00C83D0C" w:rsidRPr="001315F0" w:rsidRDefault="00C83D0C" w:rsidP="00CF04FC">
            <w:pPr>
              <w:spacing w:line="480" w:lineRule="auto"/>
              <w:jc w:val="center"/>
            </w:pPr>
            <w:r w:rsidRPr="001315F0">
              <w:t>10</w:t>
            </w:r>
          </w:p>
        </w:tc>
        <w:tc>
          <w:tcPr>
            <w:tcW w:w="936" w:type="dxa"/>
          </w:tcPr>
          <w:p w14:paraId="6A30D85A" w14:textId="77777777" w:rsidR="00C83D0C" w:rsidRPr="001315F0" w:rsidRDefault="00C83D0C" w:rsidP="00CF04FC">
            <w:pPr>
              <w:spacing w:line="480" w:lineRule="auto"/>
              <w:jc w:val="center"/>
            </w:pPr>
            <w:r w:rsidRPr="001315F0">
              <w:t>31-40</w:t>
            </w:r>
          </w:p>
        </w:tc>
        <w:tc>
          <w:tcPr>
            <w:tcW w:w="1017" w:type="dxa"/>
          </w:tcPr>
          <w:p w14:paraId="6EE8F425" w14:textId="77777777" w:rsidR="00C83D0C" w:rsidRPr="001315F0" w:rsidRDefault="00C83D0C" w:rsidP="00CF04FC">
            <w:pPr>
              <w:spacing w:line="480" w:lineRule="auto"/>
              <w:jc w:val="center"/>
            </w:pPr>
            <w:r w:rsidRPr="001315F0">
              <w:t>Female</w:t>
            </w:r>
          </w:p>
        </w:tc>
        <w:tc>
          <w:tcPr>
            <w:tcW w:w="1637" w:type="dxa"/>
          </w:tcPr>
          <w:p w14:paraId="79EB2E84" w14:textId="77777777" w:rsidR="00C83D0C" w:rsidRPr="001315F0" w:rsidRDefault="00C83D0C" w:rsidP="00CF04FC">
            <w:pPr>
              <w:spacing w:line="480" w:lineRule="auto"/>
              <w:jc w:val="center"/>
            </w:pPr>
            <w:r w:rsidRPr="001315F0">
              <w:t>LAC Service</w:t>
            </w:r>
          </w:p>
        </w:tc>
        <w:tc>
          <w:tcPr>
            <w:tcW w:w="1750" w:type="dxa"/>
          </w:tcPr>
          <w:p w14:paraId="4E64808D" w14:textId="77777777" w:rsidR="00C83D0C" w:rsidRPr="001315F0" w:rsidRDefault="00C83D0C" w:rsidP="00CF04FC">
            <w:pPr>
              <w:spacing w:line="480" w:lineRule="auto"/>
              <w:jc w:val="center"/>
            </w:pPr>
            <w:r w:rsidRPr="001315F0">
              <w:t>Family friend</w:t>
            </w:r>
          </w:p>
        </w:tc>
        <w:tc>
          <w:tcPr>
            <w:tcW w:w="1318" w:type="dxa"/>
          </w:tcPr>
          <w:p w14:paraId="00A49225" w14:textId="77777777" w:rsidR="00C83D0C" w:rsidRPr="001315F0" w:rsidRDefault="00C83D0C" w:rsidP="00CF04FC">
            <w:pPr>
              <w:spacing w:line="480" w:lineRule="auto"/>
              <w:jc w:val="center"/>
            </w:pPr>
            <w:r w:rsidRPr="001315F0">
              <w:t>1</w:t>
            </w:r>
          </w:p>
        </w:tc>
        <w:tc>
          <w:tcPr>
            <w:tcW w:w="1310" w:type="dxa"/>
          </w:tcPr>
          <w:p w14:paraId="44873EA7" w14:textId="77777777" w:rsidR="00C83D0C" w:rsidRPr="001315F0" w:rsidRDefault="00C83D0C" w:rsidP="00CF04FC">
            <w:pPr>
              <w:spacing w:line="480" w:lineRule="auto"/>
              <w:jc w:val="center"/>
            </w:pPr>
            <w:r w:rsidRPr="001315F0">
              <w:t>5.5 years</w:t>
            </w:r>
          </w:p>
        </w:tc>
      </w:tr>
    </w:tbl>
    <w:p w14:paraId="7F88ACD3" w14:textId="77777777" w:rsidR="00C83D0C" w:rsidRPr="001315F0" w:rsidRDefault="00C83D0C" w:rsidP="00CF04FC">
      <w:pPr>
        <w:spacing w:line="480" w:lineRule="auto"/>
        <w:jc w:val="both"/>
        <w:rPr>
          <w:sz w:val="24"/>
        </w:rPr>
      </w:pPr>
    </w:p>
    <w:p w14:paraId="6CB73A78" w14:textId="294AFD2D" w:rsidR="00350CCD" w:rsidRPr="001315F0" w:rsidRDefault="00350CCD" w:rsidP="00350CCD">
      <w:pPr>
        <w:spacing w:line="480" w:lineRule="auto"/>
        <w:jc w:val="both"/>
        <w:rPr>
          <w:sz w:val="28"/>
        </w:rPr>
      </w:pPr>
      <w:r w:rsidRPr="001315F0">
        <w:rPr>
          <w:sz w:val="24"/>
        </w:rPr>
        <w:t>Three of the carers who opted into the study and were interviewed were not directly</w:t>
      </w:r>
      <w:r w:rsidRPr="001315F0">
        <w:rPr>
          <w:i/>
          <w:sz w:val="24"/>
        </w:rPr>
        <w:t xml:space="preserve"> </w:t>
      </w:r>
      <w:r w:rsidRPr="001315F0">
        <w:rPr>
          <w:sz w:val="24"/>
        </w:rPr>
        <w:t xml:space="preserve">related to the child in their care. However, they considered themselves to have a ‘familial’ relationship with the child and had known the children for five to six years each. No specific definition was provided of ‘familial relationship’ in the recruitment materials as it was assumed this would be self-explanatory, however participants volunteered who classified themselves as having a familial relationship yet were previously known to the child as a foster carer or a family friend.’   </w:t>
      </w:r>
      <w:r w:rsidRPr="001315F0">
        <w:rPr>
          <w:sz w:val="28"/>
        </w:rPr>
        <w:t xml:space="preserve"> </w:t>
      </w:r>
    </w:p>
    <w:p w14:paraId="4453248C" w14:textId="77777777" w:rsidR="0009784A" w:rsidRPr="001315F0" w:rsidRDefault="0009784A" w:rsidP="00CF04FC">
      <w:pPr>
        <w:spacing w:line="480" w:lineRule="auto"/>
        <w:jc w:val="both"/>
        <w:rPr>
          <w:sz w:val="24"/>
        </w:rPr>
      </w:pPr>
    </w:p>
    <w:p w14:paraId="2FD380E9" w14:textId="77777777" w:rsidR="00210230" w:rsidRPr="001315F0" w:rsidRDefault="00210230" w:rsidP="00CF04FC">
      <w:pPr>
        <w:spacing w:line="480" w:lineRule="auto"/>
        <w:jc w:val="both"/>
        <w:rPr>
          <w:sz w:val="24"/>
        </w:rPr>
      </w:pPr>
    </w:p>
    <w:p w14:paraId="6AC9DFA4" w14:textId="644E6DB4" w:rsidR="00C83D0C" w:rsidRPr="001315F0" w:rsidRDefault="00C83D0C" w:rsidP="00CF04FC">
      <w:pPr>
        <w:spacing w:line="480" w:lineRule="auto"/>
        <w:jc w:val="both"/>
        <w:rPr>
          <w:i/>
          <w:sz w:val="24"/>
        </w:rPr>
      </w:pPr>
      <w:r w:rsidRPr="001315F0">
        <w:rPr>
          <w:sz w:val="24"/>
        </w:rPr>
        <w:t xml:space="preserve"> </w:t>
      </w:r>
      <w:r w:rsidRPr="001315F0">
        <w:rPr>
          <w:i/>
          <w:sz w:val="24"/>
        </w:rPr>
        <w:t>Procedure</w:t>
      </w:r>
    </w:p>
    <w:p w14:paraId="5D959954" w14:textId="57CB823D" w:rsidR="00C83D0C" w:rsidRPr="001315F0" w:rsidRDefault="00C83D0C" w:rsidP="00CF04FC">
      <w:pPr>
        <w:spacing w:line="480" w:lineRule="auto"/>
        <w:jc w:val="both"/>
        <w:rPr>
          <w:sz w:val="24"/>
        </w:rPr>
      </w:pPr>
      <w:r w:rsidRPr="001315F0">
        <w:rPr>
          <w:sz w:val="24"/>
        </w:rPr>
        <w:t>Each participant met with the lead researcher at a mutually agreed time and location. The confidential</w:t>
      </w:r>
      <w:r w:rsidR="00E501D5" w:rsidRPr="001315F0">
        <w:rPr>
          <w:sz w:val="24"/>
        </w:rPr>
        <w:t xml:space="preserve">ity procedure was explained, </w:t>
      </w:r>
      <w:r w:rsidRPr="001315F0">
        <w:rPr>
          <w:sz w:val="24"/>
        </w:rPr>
        <w:t>written consent was gained</w:t>
      </w:r>
      <w:r w:rsidR="00667269" w:rsidRPr="001315F0">
        <w:rPr>
          <w:sz w:val="24"/>
        </w:rPr>
        <w:t>,</w:t>
      </w:r>
      <w:r w:rsidRPr="001315F0">
        <w:rPr>
          <w:sz w:val="24"/>
        </w:rPr>
        <w:t xml:space="preserve"> and a demographic questio</w:t>
      </w:r>
      <w:r w:rsidR="009B2699" w:rsidRPr="001315F0">
        <w:rPr>
          <w:sz w:val="24"/>
        </w:rPr>
        <w:t>nnaire was completed</w:t>
      </w:r>
      <w:r w:rsidRPr="001315F0">
        <w:rPr>
          <w:sz w:val="24"/>
        </w:rPr>
        <w:t xml:space="preserve">. </w:t>
      </w:r>
    </w:p>
    <w:p w14:paraId="4F280401" w14:textId="2842BD05" w:rsidR="00C83D0C" w:rsidRPr="001315F0" w:rsidRDefault="00C83D0C" w:rsidP="00CF04FC">
      <w:pPr>
        <w:spacing w:line="480" w:lineRule="auto"/>
        <w:jc w:val="both"/>
        <w:rPr>
          <w:sz w:val="24"/>
        </w:rPr>
      </w:pPr>
      <w:r w:rsidRPr="001315F0">
        <w:rPr>
          <w:sz w:val="24"/>
        </w:rPr>
        <w:t>Each participant was presented with the</w:t>
      </w:r>
      <w:r w:rsidR="00511CB6" w:rsidRPr="001315F0">
        <w:rPr>
          <w:sz w:val="24"/>
        </w:rPr>
        <w:t xml:space="preserve"> research question</w:t>
      </w:r>
      <w:r w:rsidRPr="001315F0">
        <w:rPr>
          <w:sz w:val="24"/>
        </w:rPr>
        <w:t xml:space="preserve"> and</w:t>
      </w:r>
      <w:r w:rsidR="009B2699" w:rsidRPr="001315F0">
        <w:rPr>
          <w:sz w:val="24"/>
        </w:rPr>
        <w:t xml:space="preserve"> the shuffled Q-set statements. </w:t>
      </w:r>
      <w:r w:rsidRPr="001315F0">
        <w:rPr>
          <w:sz w:val="24"/>
        </w:rPr>
        <w:t>Participants were asked to read each individual statement in turn and then allocate each statement to one of three piles; ‘agree,’ ‘disagree,’ and ‘neither agree nor disagree.’ On completion of the first sorting exercise participants were shown the Q-distribution grid (Figure 1). The grid consisted of an 11-point scale ranging from -5 at ‘completely disagree’ to +5 at ‘completely agree.’ Participants were then asked to further sort the statements onto the grid using the condition of</w:t>
      </w:r>
      <w:r w:rsidR="009B2699" w:rsidRPr="001315F0">
        <w:rPr>
          <w:sz w:val="24"/>
        </w:rPr>
        <w:t xml:space="preserve"> instruction sheets</w:t>
      </w:r>
      <w:r w:rsidRPr="001315F0">
        <w:rPr>
          <w:sz w:val="24"/>
        </w:rPr>
        <w:t xml:space="preserve">. Participants were asked to do this exercise three times during the session thinking about three separate time points including; the point at which they were applying to the courts for the SGO, the point at which the SGO had been legally granted; and the </w:t>
      </w:r>
      <w:r w:rsidR="00692BEB" w:rsidRPr="001315F0">
        <w:rPr>
          <w:sz w:val="24"/>
        </w:rPr>
        <w:t>present time. During</w:t>
      </w:r>
      <w:r w:rsidRPr="001315F0">
        <w:rPr>
          <w:sz w:val="24"/>
        </w:rPr>
        <w:t xml:space="preserve"> the sort, verbal feedback was welcomed from the participants.</w:t>
      </w:r>
      <w:r w:rsidR="00F1299C" w:rsidRPr="001315F0">
        <w:rPr>
          <w:sz w:val="24"/>
        </w:rPr>
        <w:t xml:space="preserve"> A series of 5 questions relating to why each participant had sorted the cards as they had was </w:t>
      </w:r>
      <w:r w:rsidR="00692BEB" w:rsidRPr="001315F0">
        <w:rPr>
          <w:sz w:val="24"/>
        </w:rPr>
        <w:t xml:space="preserve">also </w:t>
      </w:r>
      <w:r w:rsidR="00F1299C" w:rsidRPr="001315F0">
        <w:rPr>
          <w:sz w:val="24"/>
        </w:rPr>
        <w:t>asked at the end of the sort. These answers were recorded on a response sheet by the lead researcher</w:t>
      </w:r>
      <w:r w:rsidR="00E80603" w:rsidRPr="001315F0">
        <w:rPr>
          <w:sz w:val="24"/>
        </w:rPr>
        <w:t xml:space="preserve"> and were used to support the quantitative data</w:t>
      </w:r>
      <w:r w:rsidR="00F1299C" w:rsidRPr="001315F0">
        <w:rPr>
          <w:sz w:val="24"/>
        </w:rPr>
        <w:t xml:space="preserve">. </w:t>
      </w:r>
    </w:p>
    <w:p w14:paraId="4D2E880F" w14:textId="77777777" w:rsidR="00C83D0C" w:rsidRPr="001315F0" w:rsidRDefault="00C83D0C" w:rsidP="00CF04FC">
      <w:pPr>
        <w:spacing w:line="480" w:lineRule="auto"/>
        <w:jc w:val="both"/>
        <w:rPr>
          <w:sz w:val="24"/>
        </w:rPr>
      </w:pPr>
    </w:p>
    <w:p w14:paraId="0D267E4B" w14:textId="77777777" w:rsidR="00C83D0C" w:rsidRPr="001315F0" w:rsidRDefault="00C83D0C" w:rsidP="00CF04FC">
      <w:pPr>
        <w:spacing w:line="480" w:lineRule="auto"/>
        <w:jc w:val="both"/>
        <w:rPr>
          <w:i/>
          <w:sz w:val="24"/>
        </w:rPr>
      </w:pPr>
      <w:r w:rsidRPr="001315F0">
        <w:rPr>
          <w:noProof/>
          <w:lang w:eastAsia="en-GB"/>
        </w:rPr>
        <w:drawing>
          <wp:anchor distT="0" distB="0" distL="114300" distR="114300" simplePos="0" relativeHeight="251658240" behindDoc="1" locked="0" layoutInCell="1" allowOverlap="1" wp14:anchorId="5DD4A6AB" wp14:editId="420ACA0F">
            <wp:simplePos x="0" y="0"/>
            <wp:positionH relativeFrom="column">
              <wp:posOffset>744220</wp:posOffset>
            </wp:positionH>
            <wp:positionV relativeFrom="paragraph">
              <wp:posOffset>-188595</wp:posOffset>
            </wp:positionV>
            <wp:extent cx="4143375" cy="2803525"/>
            <wp:effectExtent l="0" t="0" r="9525" b="0"/>
            <wp:wrapTight wrapText="bothSides">
              <wp:wrapPolygon edited="0">
                <wp:start x="0" y="0"/>
                <wp:lineTo x="0" y="21429"/>
                <wp:lineTo x="21550" y="21429"/>
                <wp:lineTo x="21550" y="0"/>
                <wp:lineTo x="0" y="0"/>
              </wp:wrapPolygon>
            </wp:wrapTight>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3375" cy="280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7CABB" w14:textId="77777777" w:rsidR="00C83D0C" w:rsidRPr="001315F0" w:rsidRDefault="00C83D0C" w:rsidP="00CF04FC">
      <w:pPr>
        <w:spacing w:line="480" w:lineRule="auto"/>
        <w:jc w:val="both"/>
        <w:rPr>
          <w:i/>
          <w:sz w:val="24"/>
        </w:rPr>
      </w:pPr>
    </w:p>
    <w:p w14:paraId="43B92659" w14:textId="77777777" w:rsidR="00C83D0C" w:rsidRPr="001315F0" w:rsidRDefault="00C83D0C" w:rsidP="00CF04FC">
      <w:pPr>
        <w:spacing w:line="480" w:lineRule="auto"/>
        <w:jc w:val="both"/>
        <w:rPr>
          <w:i/>
          <w:sz w:val="24"/>
        </w:rPr>
      </w:pPr>
    </w:p>
    <w:p w14:paraId="310109F0" w14:textId="77777777" w:rsidR="00C83D0C" w:rsidRPr="001315F0" w:rsidRDefault="00C83D0C" w:rsidP="00CF04FC">
      <w:pPr>
        <w:spacing w:line="480" w:lineRule="auto"/>
        <w:jc w:val="both"/>
        <w:rPr>
          <w:i/>
          <w:sz w:val="24"/>
        </w:rPr>
      </w:pPr>
    </w:p>
    <w:p w14:paraId="0FE6FB5B" w14:textId="77777777" w:rsidR="00C83D0C" w:rsidRPr="001315F0" w:rsidRDefault="00C83D0C" w:rsidP="00CF04FC">
      <w:pPr>
        <w:spacing w:line="480" w:lineRule="auto"/>
        <w:jc w:val="both"/>
        <w:rPr>
          <w:i/>
          <w:sz w:val="24"/>
        </w:rPr>
      </w:pPr>
    </w:p>
    <w:p w14:paraId="2B458A42" w14:textId="77777777" w:rsidR="00C83D0C" w:rsidRPr="001315F0" w:rsidRDefault="00C83D0C" w:rsidP="00CF04FC">
      <w:pPr>
        <w:spacing w:line="480" w:lineRule="auto"/>
        <w:jc w:val="both"/>
        <w:rPr>
          <w:i/>
          <w:sz w:val="24"/>
        </w:rPr>
      </w:pPr>
    </w:p>
    <w:p w14:paraId="25D5C24C" w14:textId="77777777" w:rsidR="00C83D0C" w:rsidRPr="001315F0" w:rsidRDefault="00C83D0C" w:rsidP="00CF04FC">
      <w:pPr>
        <w:spacing w:line="480" w:lineRule="auto"/>
        <w:jc w:val="both"/>
        <w:rPr>
          <w:i/>
          <w:sz w:val="24"/>
        </w:rPr>
      </w:pPr>
    </w:p>
    <w:p w14:paraId="148B998E" w14:textId="77777777" w:rsidR="00C83D0C" w:rsidRPr="001315F0" w:rsidRDefault="00C83D0C" w:rsidP="00CF04FC">
      <w:pPr>
        <w:spacing w:line="480" w:lineRule="auto"/>
        <w:jc w:val="both"/>
        <w:rPr>
          <w:i/>
          <w:sz w:val="24"/>
        </w:rPr>
      </w:pPr>
      <w:r w:rsidRPr="001315F0">
        <w:rPr>
          <w:i/>
          <w:sz w:val="24"/>
        </w:rPr>
        <w:t>Figure 1: Q-Distribution grid</w:t>
      </w:r>
    </w:p>
    <w:p w14:paraId="4A8E9C0D" w14:textId="77777777" w:rsidR="00C83D0C" w:rsidRPr="001315F0" w:rsidRDefault="00C83D0C" w:rsidP="00CF04FC">
      <w:pPr>
        <w:spacing w:line="480" w:lineRule="auto"/>
        <w:rPr>
          <w:i/>
          <w:sz w:val="24"/>
        </w:rPr>
      </w:pPr>
    </w:p>
    <w:p w14:paraId="4E143285" w14:textId="77777777" w:rsidR="00C83D0C" w:rsidRPr="001315F0" w:rsidRDefault="00C83D0C" w:rsidP="00CF04FC">
      <w:pPr>
        <w:spacing w:line="480" w:lineRule="auto"/>
        <w:jc w:val="center"/>
        <w:rPr>
          <w:sz w:val="24"/>
        </w:rPr>
      </w:pPr>
      <w:r w:rsidRPr="001315F0">
        <w:rPr>
          <w:b/>
          <w:sz w:val="24"/>
        </w:rPr>
        <w:t>Results</w:t>
      </w:r>
    </w:p>
    <w:p w14:paraId="77E30269" w14:textId="77777777" w:rsidR="00C83D0C" w:rsidRPr="001315F0" w:rsidRDefault="00C83D0C" w:rsidP="00CF04FC">
      <w:pPr>
        <w:spacing w:line="480" w:lineRule="auto"/>
        <w:jc w:val="both"/>
        <w:rPr>
          <w:i/>
          <w:sz w:val="24"/>
        </w:rPr>
      </w:pPr>
      <w:r w:rsidRPr="001315F0">
        <w:rPr>
          <w:i/>
          <w:sz w:val="24"/>
        </w:rPr>
        <w:t>Data Analysis</w:t>
      </w:r>
    </w:p>
    <w:p w14:paraId="5AE07E23" w14:textId="77777777" w:rsidR="00C83D0C" w:rsidRPr="001315F0" w:rsidRDefault="00C83D0C" w:rsidP="00CF04FC">
      <w:pPr>
        <w:spacing w:line="480" w:lineRule="auto"/>
        <w:jc w:val="both"/>
        <w:rPr>
          <w:sz w:val="24"/>
        </w:rPr>
      </w:pPr>
      <w:r w:rsidRPr="001315F0">
        <w:rPr>
          <w:sz w:val="24"/>
        </w:rPr>
        <w:t xml:space="preserve">The raw data from 30 Q-sorts (3 per participant) was entered into an excel spreadsheet and then loaded into Q-methodology specific analysis software ‘Ken-Q’ (Version 1.0.4, </w:t>
      </w:r>
      <w:proofErr w:type="spellStart"/>
      <w:r w:rsidRPr="001315F0">
        <w:rPr>
          <w:sz w:val="24"/>
        </w:rPr>
        <w:t>Banasick</w:t>
      </w:r>
      <w:proofErr w:type="spellEnd"/>
      <w:r w:rsidRPr="001315F0">
        <w:rPr>
          <w:sz w:val="24"/>
        </w:rPr>
        <w:t>, 2018) along with the 47 statements (Q-set). All sorts were included.</w:t>
      </w:r>
    </w:p>
    <w:p w14:paraId="7153F8A0" w14:textId="77777777" w:rsidR="009B2699" w:rsidRPr="001315F0" w:rsidRDefault="009B2699" w:rsidP="00CF04FC">
      <w:pPr>
        <w:spacing w:line="480" w:lineRule="auto"/>
        <w:jc w:val="both"/>
        <w:rPr>
          <w:i/>
          <w:sz w:val="24"/>
        </w:rPr>
      </w:pPr>
    </w:p>
    <w:p w14:paraId="3D761241" w14:textId="77777777" w:rsidR="00C83D0C" w:rsidRPr="001315F0" w:rsidRDefault="00C83D0C" w:rsidP="00CF04FC">
      <w:pPr>
        <w:spacing w:line="480" w:lineRule="auto"/>
        <w:jc w:val="both"/>
        <w:rPr>
          <w:i/>
          <w:sz w:val="24"/>
        </w:rPr>
      </w:pPr>
      <w:r w:rsidRPr="001315F0">
        <w:rPr>
          <w:i/>
          <w:sz w:val="24"/>
        </w:rPr>
        <w:t>Correlation Matrix</w:t>
      </w:r>
    </w:p>
    <w:p w14:paraId="75A71277" w14:textId="77777777" w:rsidR="00C83D0C" w:rsidRPr="001315F0" w:rsidRDefault="00C83D0C" w:rsidP="00CF04FC">
      <w:pPr>
        <w:spacing w:line="480" w:lineRule="auto"/>
        <w:jc w:val="both"/>
        <w:rPr>
          <w:rFonts w:cs="Arial"/>
          <w:bCs/>
          <w:sz w:val="24"/>
          <w:szCs w:val="24"/>
          <w:shd w:val="clear" w:color="auto" w:fill="FFFFFF"/>
        </w:rPr>
      </w:pPr>
      <w:r w:rsidRPr="001315F0">
        <w:rPr>
          <w:rFonts w:cs="Arial"/>
          <w:bCs/>
          <w:sz w:val="24"/>
          <w:szCs w:val="24"/>
          <w:shd w:val="clear" w:color="auto" w:fill="FFFFFF"/>
        </w:rPr>
        <w:t xml:space="preserve">Table 2 demonstrates that each of the participants’ responses correlates with the responses from at least two other participants, suggesting that the participants all had some common view points. </w:t>
      </w:r>
    </w:p>
    <w:p w14:paraId="257C4AAE" w14:textId="339BFAAA" w:rsidR="00C83D0C" w:rsidRPr="001315F0" w:rsidRDefault="00C83D0C" w:rsidP="00CF04FC">
      <w:pPr>
        <w:spacing w:line="480" w:lineRule="auto"/>
        <w:jc w:val="both"/>
        <w:rPr>
          <w:rFonts w:cs="Arial"/>
          <w:bCs/>
          <w:sz w:val="24"/>
          <w:szCs w:val="24"/>
          <w:shd w:val="clear" w:color="auto" w:fill="FFFFFF"/>
        </w:rPr>
      </w:pPr>
      <w:r w:rsidRPr="001315F0">
        <w:rPr>
          <w:rFonts w:cs="Arial"/>
          <w:bCs/>
          <w:sz w:val="24"/>
          <w:szCs w:val="24"/>
          <w:shd w:val="clear" w:color="auto" w:fill="FFFFFF"/>
        </w:rPr>
        <w:t>There were no significant co-correlations</w:t>
      </w:r>
      <w:r w:rsidRPr="001315F0" w:rsidDel="00591DA6">
        <w:rPr>
          <w:rFonts w:cs="Arial"/>
          <w:bCs/>
          <w:sz w:val="24"/>
          <w:szCs w:val="24"/>
          <w:shd w:val="clear" w:color="auto" w:fill="FFFFFF"/>
        </w:rPr>
        <w:t xml:space="preserve"> </w:t>
      </w:r>
      <w:r w:rsidRPr="001315F0">
        <w:rPr>
          <w:rFonts w:cs="Arial"/>
          <w:bCs/>
          <w:sz w:val="24"/>
          <w:szCs w:val="24"/>
          <w:shd w:val="clear" w:color="auto" w:fill="FFFFFF"/>
        </w:rPr>
        <w:t xml:space="preserve">between the three separate time points. It seems that whilst </w:t>
      </w:r>
      <w:r w:rsidR="006B76A6" w:rsidRPr="001315F0">
        <w:rPr>
          <w:rFonts w:cs="Arial"/>
          <w:bCs/>
          <w:sz w:val="24"/>
          <w:szCs w:val="24"/>
          <w:shd w:val="clear" w:color="auto" w:fill="FFFFFF"/>
        </w:rPr>
        <w:t xml:space="preserve">some </w:t>
      </w:r>
      <w:r w:rsidRPr="001315F0">
        <w:rPr>
          <w:rFonts w:cs="Arial"/>
          <w:bCs/>
          <w:sz w:val="24"/>
          <w:szCs w:val="24"/>
          <w:shd w:val="clear" w:color="auto" w:fill="FFFFFF"/>
        </w:rPr>
        <w:t xml:space="preserve">participants did </w:t>
      </w:r>
      <w:r w:rsidR="006B76A6" w:rsidRPr="001315F0">
        <w:rPr>
          <w:rFonts w:cs="Arial"/>
          <w:bCs/>
          <w:sz w:val="24"/>
          <w:szCs w:val="24"/>
          <w:shd w:val="clear" w:color="auto" w:fill="FFFFFF"/>
        </w:rPr>
        <w:t xml:space="preserve">qualitatively </w:t>
      </w:r>
      <w:r w:rsidRPr="001315F0">
        <w:rPr>
          <w:rFonts w:cs="Arial"/>
          <w:bCs/>
          <w:sz w:val="24"/>
          <w:szCs w:val="24"/>
          <w:shd w:val="clear" w:color="auto" w:fill="FFFFFF"/>
        </w:rPr>
        <w:t xml:space="preserve">report that their view of the SGO changed over time, these were not necessarily common changes observed across all participants. </w:t>
      </w:r>
    </w:p>
    <w:p w14:paraId="2C49BAF9" w14:textId="77777777" w:rsidR="00C83D0C" w:rsidRPr="001315F0" w:rsidRDefault="00C83D0C" w:rsidP="00CF04FC">
      <w:pPr>
        <w:spacing w:line="480" w:lineRule="auto"/>
        <w:jc w:val="both"/>
        <w:rPr>
          <w:rFonts w:ascii="Arial" w:hAnsi="Arial" w:cs="Arial"/>
          <w:bCs/>
          <w:szCs w:val="24"/>
          <w:shd w:val="clear" w:color="auto" w:fill="FFFFFF"/>
        </w:rPr>
      </w:pPr>
      <w:r w:rsidRPr="001315F0">
        <w:rPr>
          <w:rFonts w:ascii="Arial" w:hAnsi="Arial" w:cs="Arial"/>
          <w:bCs/>
          <w:szCs w:val="24"/>
          <w:shd w:val="clear" w:color="auto" w:fill="FFFFFF"/>
        </w:rPr>
        <w:br w:type="page"/>
      </w:r>
    </w:p>
    <w:p w14:paraId="23969A0E" w14:textId="77777777" w:rsidR="00C83D0C" w:rsidRPr="001315F0" w:rsidRDefault="00C83D0C" w:rsidP="00CF04FC">
      <w:pPr>
        <w:spacing w:line="480" w:lineRule="auto"/>
        <w:jc w:val="both"/>
        <w:rPr>
          <w:rFonts w:ascii="Arial" w:hAnsi="Arial" w:cs="Arial"/>
          <w:bCs/>
          <w:szCs w:val="24"/>
          <w:shd w:val="clear" w:color="auto" w:fill="FFFFFF"/>
        </w:rPr>
        <w:sectPr w:rsidR="00C83D0C" w:rsidRPr="001315F0" w:rsidSect="00CF04FC">
          <w:footerReference w:type="default" r:id="rId11"/>
          <w:pgSz w:w="11906" w:h="16838"/>
          <w:pgMar w:top="1440" w:right="1440" w:bottom="1276" w:left="1440" w:header="709" w:footer="709" w:gutter="0"/>
          <w:cols w:space="708"/>
          <w:docGrid w:linePitch="360"/>
        </w:sectPr>
      </w:pPr>
    </w:p>
    <w:p w14:paraId="63A0DC62" w14:textId="77777777" w:rsidR="00C83D0C" w:rsidRPr="001315F0" w:rsidRDefault="00C83D0C" w:rsidP="00CF04FC">
      <w:pPr>
        <w:spacing w:line="480" w:lineRule="auto"/>
        <w:jc w:val="both"/>
        <w:rPr>
          <w:rFonts w:ascii="Arial" w:hAnsi="Arial" w:cs="Arial"/>
          <w:bCs/>
          <w:szCs w:val="24"/>
          <w:shd w:val="clear" w:color="auto" w:fill="FFFFFF"/>
        </w:rPr>
      </w:pPr>
      <w:r w:rsidRPr="001315F0">
        <w:rPr>
          <w:rFonts w:ascii="Arial" w:hAnsi="Arial" w:cs="Arial"/>
          <w:bCs/>
          <w:noProof/>
          <w:szCs w:val="24"/>
          <w:shd w:val="clear" w:color="auto" w:fill="FFFFFF"/>
          <w:lang w:eastAsia="en-GB"/>
        </w:rPr>
        <w:drawing>
          <wp:anchor distT="0" distB="0" distL="114300" distR="114300" simplePos="0" relativeHeight="251658241" behindDoc="1" locked="0" layoutInCell="1" allowOverlap="1" wp14:anchorId="32F6766B" wp14:editId="3429BFF6">
            <wp:simplePos x="0" y="0"/>
            <wp:positionH relativeFrom="column">
              <wp:posOffset>-359410</wp:posOffset>
            </wp:positionH>
            <wp:positionV relativeFrom="paragraph">
              <wp:posOffset>327025</wp:posOffset>
            </wp:positionV>
            <wp:extent cx="9470390" cy="4680585"/>
            <wp:effectExtent l="0" t="0" r="0" b="5715"/>
            <wp:wrapTight wrapText="bothSides">
              <wp:wrapPolygon edited="0">
                <wp:start x="0" y="0"/>
                <wp:lineTo x="0" y="21538"/>
                <wp:lineTo x="21551" y="21538"/>
                <wp:lineTo x="2155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70390" cy="468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5F0">
        <w:rPr>
          <w:rFonts w:ascii="Arial" w:hAnsi="Arial" w:cs="Arial"/>
          <w:bCs/>
          <w:szCs w:val="24"/>
          <w:shd w:val="clear" w:color="auto" w:fill="FFFFFF"/>
        </w:rPr>
        <w:t>Table 2: Correlation Matrix</w:t>
      </w:r>
    </w:p>
    <w:p w14:paraId="2D337884" w14:textId="77777777" w:rsidR="00C83D0C" w:rsidRPr="001315F0" w:rsidRDefault="00C83D0C" w:rsidP="00CF04FC">
      <w:pPr>
        <w:spacing w:line="480" w:lineRule="auto"/>
        <w:jc w:val="both"/>
        <w:rPr>
          <w:rFonts w:ascii="Arial" w:hAnsi="Arial" w:cs="Arial"/>
          <w:bCs/>
          <w:szCs w:val="24"/>
          <w:shd w:val="clear" w:color="auto" w:fill="FFFFFF"/>
        </w:rPr>
        <w:sectPr w:rsidR="00C83D0C" w:rsidRPr="001315F0" w:rsidSect="00CF04FC">
          <w:pgSz w:w="16838" w:h="11906" w:orient="landscape"/>
          <w:pgMar w:top="1440" w:right="1440" w:bottom="1440" w:left="1440" w:header="708" w:footer="708" w:gutter="0"/>
          <w:cols w:space="708"/>
          <w:docGrid w:linePitch="360"/>
        </w:sectPr>
      </w:pPr>
      <w:r w:rsidRPr="001315F0">
        <w:rPr>
          <w:rFonts w:ascii="Arial" w:hAnsi="Arial" w:cs="Arial"/>
          <w:bCs/>
          <w:i/>
          <w:szCs w:val="24"/>
          <w:shd w:val="clear" w:color="auto" w:fill="FFFFFF"/>
        </w:rPr>
        <w:t xml:space="preserve">Note: </w:t>
      </w:r>
      <w:r w:rsidRPr="001315F0">
        <w:rPr>
          <w:rFonts w:ascii="Arial" w:hAnsi="Arial" w:cs="Arial"/>
          <w:i/>
          <w:szCs w:val="24"/>
        </w:rPr>
        <w:t xml:space="preserve">A significant value is highlighted in shaded grey and was calculated as </w:t>
      </w:r>
      <w:r w:rsidRPr="001315F0">
        <w:rPr>
          <w:rFonts w:ascii="Arial" w:hAnsi="Arial" w:cs="Arial"/>
          <w:i/>
          <w:szCs w:val="24"/>
          <w:shd w:val="clear" w:color="auto" w:fill="FFFFFF"/>
        </w:rPr>
        <w:t>≥ .29 using the Brown (1980) formula at significance level p &lt; .05: 1.96 x (1/</w:t>
      </w:r>
      <w:r w:rsidRPr="001315F0">
        <w:rPr>
          <w:rFonts w:ascii="Arial" w:hAnsi="Arial" w:cs="Arial"/>
          <w:i/>
          <w:szCs w:val="24"/>
        </w:rPr>
        <w:t xml:space="preserve"> </w:t>
      </w:r>
      <w:r w:rsidRPr="001315F0">
        <w:rPr>
          <w:rFonts w:ascii="Arial" w:hAnsi="Arial" w:cs="Arial"/>
          <w:bCs/>
          <w:i/>
          <w:szCs w:val="24"/>
          <w:shd w:val="clear" w:color="auto" w:fill="FFFFFF"/>
        </w:rPr>
        <w:t xml:space="preserve">√ no of statements in the Q-set). Strong correlations are underlined (r= </w:t>
      </w:r>
      <w:r w:rsidRPr="001315F0">
        <w:rPr>
          <w:rFonts w:ascii="Arial" w:hAnsi="Arial" w:cs="Arial"/>
          <w:i/>
          <w:szCs w:val="24"/>
          <w:shd w:val="clear" w:color="auto" w:fill="FFFFFF"/>
        </w:rPr>
        <w:t>≥ .50, Cohen, 1988).</w:t>
      </w:r>
      <w:r w:rsidRPr="001315F0">
        <w:rPr>
          <w:rFonts w:ascii="Arial" w:hAnsi="Arial" w:cs="Arial"/>
          <w:bCs/>
          <w:szCs w:val="24"/>
          <w:shd w:val="clear" w:color="auto" w:fill="FFFFFF"/>
        </w:rPr>
        <w:br w:type="page"/>
      </w:r>
    </w:p>
    <w:p w14:paraId="2AA31C6C" w14:textId="77777777" w:rsidR="00C83D0C" w:rsidRPr="001315F0" w:rsidRDefault="00C83D0C" w:rsidP="00CF04FC">
      <w:pPr>
        <w:spacing w:line="480" w:lineRule="auto"/>
        <w:jc w:val="both"/>
        <w:rPr>
          <w:i/>
          <w:sz w:val="24"/>
        </w:rPr>
      </w:pPr>
      <w:r w:rsidRPr="001315F0">
        <w:rPr>
          <w:i/>
          <w:sz w:val="24"/>
        </w:rPr>
        <w:t>Factor Analysis</w:t>
      </w:r>
    </w:p>
    <w:p w14:paraId="6F083269" w14:textId="05A09673" w:rsidR="00511CB6" w:rsidRPr="001315F0" w:rsidRDefault="00C83D0C" w:rsidP="00511CB6">
      <w:pPr>
        <w:spacing w:line="360" w:lineRule="auto"/>
        <w:jc w:val="both"/>
        <w:rPr>
          <w:sz w:val="24"/>
        </w:rPr>
      </w:pPr>
      <w:r w:rsidRPr="001315F0">
        <w:rPr>
          <w:sz w:val="24"/>
        </w:rPr>
        <w:t xml:space="preserve">The data was then subject to factor analysis. For the purpose of this data set, a centroid method was applied to generate separate factors. As seen in Table 3 each factor also produced an Eigenvalue and percentage of variance. </w:t>
      </w:r>
      <w:r w:rsidR="00511CB6" w:rsidRPr="001315F0">
        <w:rPr>
          <w:sz w:val="24"/>
        </w:rPr>
        <w:t xml:space="preserve">By looking at these numbers </w:t>
      </w:r>
      <w:r w:rsidR="00995CD3" w:rsidRPr="001315F0">
        <w:rPr>
          <w:sz w:val="24"/>
        </w:rPr>
        <w:t>it is possible</w:t>
      </w:r>
      <w:r w:rsidR="00511CB6" w:rsidRPr="001315F0">
        <w:rPr>
          <w:sz w:val="24"/>
        </w:rPr>
        <w:t xml:space="preserve"> to identify the power and strength of each factor (Watts &amp; </w:t>
      </w:r>
      <w:proofErr w:type="spellStart"/>
      <w:r w:rsidR="00511CB6" w:rsidRPr="001315F0">
        <w:rPr>
          <w:sz w:val="24"/>
        </w:rPr>
        <w:t>Stenner</w:t>
      </w:r>
      <w:proofErr w:type="spellEnd"/>
      <w:r w:rsidR="00511CB6" w:rsidRPr="001315F0">
        <w:rPr>
          <w:sz w:val="24"/>
        </w:rPr>
        <w:t>, 2012).</w:t>
      </w:r>
    </w:p>
    <w:p w14:paraId="4E86251D" w14:textId="110113F8" w:rsidR="009B2699" w:rsidRPr="001315F0" w:rsidRDefault="00F5779F" w:rsidP="00CF04FC">
      <w:pPr>
        <w:spacing w:line="480" w:lineRule="auto"/>
        <w:jc w:val="both"/>
        <w:rPr>
          <w:sz w:val="24"/>
        </w:rPr>
      </w:pPr>
      <w:r w:rsidRPr="001315F0">
        <w:rPr>
          <w:sz w:val="24"/>
        </w:rPr>
        <w:t>Table 3: Un-rotated Factor Loadings</w:t>
      </w:r>
    </w:p>
    <w:p w14:paraId="0B4AA720" w14:textId="77777777" w:rsidR="009B2699" w:rsidRPr="001315F0" w:rsidRDefault="009B2699" w:rsidP="00C83D0C">
      <w:pPr>
        <w:spacing w:line="360" w:lineRule="auto"/>
        <w:jc w:val="both"/>
        <w:rPr>
          <w:sz w:val="24"/>
        </w:rPr>
      </w:pPr>
    </w:p>
    <w:p w14:paraId="49FA2515" w14:textId="7167D5CD" w:rsidR="00C83D0C" w:rsidRPr="001315F0" w:rsidRDefault="00C83D0C" w:rsidP="00C83D0C">
      <w:pPr>
        <w:spacing w:line="360" w:lineRule="auto"/>
        <w:jc w:val="both"/>
        <w:rPr>
          <w:sz w:val="24"/>
        </w:rPr>
      </w:pPr>
    </w:p>
    <w:tbl>
      <w:tblPr>
        <w:tblpPr w:leftFromText="180" w:rightFromText="180" w:vertAnchor="page" w:horzAnchor="margin" w:tblpXSpec="center" w:tblpY="5365"/>
        <w:tblW w:w="7783" w:type="dxa"/>
        <w:tblLook w:val="04A0" w:firstRow="1" w:lastRow="0" w:firstColumn="1" w:lastColumn="0" w:noHBand="0" w:noVBand="1"/>
      </w:tblPr>
      <w:tblGrid>
        <w:gridCol w:w="1699"/>
        <w:gridCol w:w="2077"/>
        <w:gridCol w:w="4007"/>
      </w:tblGrid>
      <w:tr w:rsidR="001315F0" w:rsidRPr="001315F0" w14:paraId="30A8C634" w14:textId="77777777" w:rsidTr="00F5779F">
        <w:trPr>
          <w:trHeight w:val="415"/>
        </w:trPr>
        <w:tc>
          <w:tcPr>
            <w:tcW w:w="1699" w:type="dxa"/>
            <w:tcBorders>
              <w:top w:val="nil"/>
              <w:left w:val="nil"/>
              <w:bottom w:val="single" w:sz="4" w:space="0" w:color="auto"/>
              <w:right w:val="single" w:sz="4" w:space="0" w:color="auto"/>
            </w:tcBorders>
            <w:shd w:val="clear" w:color="auto" w:fill="auto"/>
            <w:noWrap/>
            <w:vAlign w:val="center"/>
            <w:hideMark/>
          </w:tcPr>
          <w:p w14:paraId="1C6D61C9" w14:textId="77777777" w:rsidR="009B2699" w:rsidRPr="001315F0" w:rsidRDefault="009B2699" w:rsidP="00F5779F">
            <w:pPr>
              <w:spacing w:after="0" w:line="360" w:lineRule="auto"/>
              <w:jc w:val="both"/>
              <w:rPr>
                <w:rFonts w:ascii="Calibri" w:eastAsia="Times New Roman" w:hAnsi="Calibri" w:cs="Times New Roman"/>
                <w:b/>
                <w:bCs/>
                <w:sz w:val="24"/>
                <w:szCs w:val="24"/>
                <w:lang w:eastAsia="en-GB"/>
              </w:rPr>
            </w:pPr>
            <w:r w:rsidRPr="001315F0">
              <w:rPr>
                <w:rFonts w:ascii="Calibri" w:eastAsia="Times New Roman" w:hAnsi="Calibri" w:cs="Times New Roman"/>
                <w:b/>
                <w:bCs/>
                <w:sz w:val="24"/>
                <w:szCs w:val="24"/>
                <w:lang w:eastAsia="en-GB"/>
              </w:rPr>
              <w:t>Potential Factors</w:t>
            </w:r>
          </w:p>
        </w:tc>
        <w:tc>
          <w:tcPr>
            <w:tcW w:w="2077" w:type="dxa"/>
            <w:tcBorders>
              <w:top w:val="nil"/>
              <w:left w:val="nil"/>
              <w:bottom w:val="single" w:sz="4" w:space="0" w:color="auto"/>
              <w:right w:val="nil"/>
            </w:tcBorders>
            <w:shd w:val="clear" w:color="auto" w:fill="auto"/>
            <w:noWrap/>
            <w:vAlign w:val="center"/>
            <w:hideMark/>
          </w:tcPr>
          <w:p w14:paraId="2B4D169D" w14:textId="77777777" w:rsidR="009B2699" w:rsidRPr="001315F0" w:rsidRDefault="009B2699" w:rsidP="00F5779F">
            <w:pPr>
              <w:spacing w:after="0" w:line="360" w:lineRule="auto"/>
              <w:jc w:val="both"/>
              <w:rPr>
                <w:rFonts w:ascii="Calibri" w:eastAsia="Times New Roman" w:hAnsi="Calibri" w:cs="Times New Roman"/>
                <w:b/>
                <w:bCs/>
                <w:sz w:val="24"/>
                <w:szCs w:val="24"/>
                <w:lang w:eastAsia="en-GB"/>
              </w:rPr>
            </w:pPr>
            <w:r w:rsidRPr="001315F0">
              <w:rPr>
                <w:rFonts w:ascii="Calibri" w:eastAsia="Times New Roman" w:hAnsi="Calibri" w:cs="Times New Roman"/>
                <w:b/>
                <w:bCs/>
                <w:sz w:val="24"/>
                <w:szCs w:val="24"/>
                <w:lang w:eastAsia="en-GB"/>
              </w:rPr>
              <w:t>Eigenvalue</w:t>
            </w:r>
          </w:p>
        </w:tc>
        <w:tc>
          <w:tcPr>
            <w:tcW w:w="4007" w:type="dxa"/>
            <w:tcBorders>
              <w:top w:val="nil"/>
              <w:left w:val="nil"/>
              <w:bottom w:val="single" w:sz="4" w:space="0" w:color="auto"/>
              <w:right w:val="nil"/>
            </w:tcBorders>
            <w:shd w:val="clear" w:color="auto" w:fill="auto"/>
            <w:noWrap/>
            <w:vAlign w:val="center"/>
            <w:hideMark/>
          </w:tcPr>
          <w:p w14:paraId="47696086" w14:textId="77777777" w:rsidR="009B2699" w:rsidRPr="001315F0" w:rsidRDefault="009B2699" w:rsidP="00F5779F">
            <w:pPr>
              <w:spacing w:after="0" w:line="360" w:lineRule="auto"/>
              <w:jc w:val="both"/>
              <w:rPr>
                <w:rFonts w:ascii="Calibri" w:eastAsia="Times New Roman" w:hAnsi="Calibri" w:cs="Times New Roman"/>
                <w:b/>
                <w:bCs/>
                <w:sz w:val="24"/>
                <w:szCs w:val="24"/>
                <w:lang w:eastAsia="en-GB"/>
              </w:rPr>
            </w:pPr>
            <w:r w:rsidRPr="001315F0">
              <w:rPr>
                <w:rFonts w:ascii="Calibri" w:eastAsia="Times New Roman" w:hAnsi="Calibri" w:cs="Times New Roman"/>
                <w:b/>
                <w:bCs/>
                <w:sz w:val="24"/>
                <w:szCs w:val="24"/>
                <w:lang w:eastAsia="en-GB"/>
              </w:rPr>
              <w:t>% of variance explained</w:t>
            </w:r>
          </w:p>
        </w:tc>
      </w:tr>
      <w:tr w:rsidR="001315F0" w:rsidRPr="001315F0" w14:paraId="709F0A52"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55C88458"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w:t>
            </w:r>
          </w:p>
        </w:tc>
        <w:tc>
          <w:tcPr>
            <w:tcW w:w="2077" w:type="dxa"/>
            <w:tcBorders>
              <w:top w:val="nil"/>
              <w:left w:val="nil"/>
              <w:bottom w:val="nil"/>
              <w:right w:val="nil"/>
            </w:tcBorders>
            <w:shd w:val="clear" w:color="auto" w:fill="auto"/>
            <w:noWrap/>
            <w:vAlign w:val="center"/>
            <w:hideMark/>
          </w:tcPr>
          <w:p w14:paraId="0889FA71"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11.5021</w:t>
            </w:r>
          </w:p>
        </w:tc>
        <w:tc>
          <w:tcPr>
            <w:tcW w:w="4007" w:type="dxa"/>
            <w:tcBorders>
              <w:top w:val="nil"/>
              <w:left w:val="nil"/>
              <w:bottom w:val="nil"/>
              <w:right w:val="nil"/>
            </w:tcBorders>
            <w:shd w:val="clear" w:color="auto" w:fill="auto"/>
            <w:noWrap/>
            <w:vAlign w:val="center"/>
            <w:hideMark/>
          </w:tcPr>
          <w:p w14:paraId="305965B1"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38</w:t>
            </w:r>
          </w:p>
        </w:tc>
      </w:tr>
      <w:tr w:rsidR="001315F0" w:rsidRPr="001315F0" w14:paraId="3BB0A48D"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205BCF85"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2</w:t>
            </w:r>
          </w:p>
        </w:tc>
        <w:tc>
          <w:tcPr>
            <w:tcW w:w="2077" w:type="dxa"/>
            <w:tcBorders>
              <w:top w:val="nil"/>
              <w:left w:val="nil"/>
              <w:bottom w:val="nil"/>
              <w:right w:val="nil"/>
            </w:tcBorders>
            <w:shd w:val="clear" w:color="auto" w:fill="auto"/>
            <w:noWrap/>
            <w:vAlign w:val="center"/>
            <w:hideMark/>
          </w:tcPr>
          <w:p w14:paraId="7D34F229"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2.8698</w:t>
            </w:r>
          </w:p>
        </w:tc>
        <w:tc>
          <w:tcPr>
            <w:tcW w:w="4007" w:type="dxa"/>
            <w:tcBorders>
              <w:top w:val="nil"/>
              <w:left w:val="nil"/>
              <w:bottom w:val="nil"/>
              <w:right w:val="nil"/>
            </w:tcBorders>
            <w:shd w:val="clear" w:color="auto" w:fill="auto"/>
            <w:noWrap/>
            <w:vAlign w:val="center"/>
            <w:hideMark/>
          </w:tcPr>
          <w:p w14:paraId="733B0EB8"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10</w:t>
            </w:r>
          </w:p>
        </w:tc>
      </w:tr>
      <w:tr w:rsidR="001315F0" w:rsidRPr="001315F0" w14:paraId="2CAC1290"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02A58ADF"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3</w:t>
            </w:r>
          </w:p>
        </w:tc>
        <w:tc>
          <w:tcPr>
            <w:tcW w:w="2077" w:type="dxa"/>
            <w:tcBorders>
              <w:top w:val="nil"/>
              <w:left w:val="nil"/>
              <w:bottom w:val="nil"/>
              <w:right w:val="nil"/>
            </w:tcBorders>
            <w:shd w:val="clear" w:color="auto" w:fill="auto"/>
            <w:noWrap/>
            <w:vAlign w:val="center"/>
            <w:hideMark/>
          </w:tcPr>
          <w:p w14:paraId="23CD31BB"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0.1935</w:t>
            </w:r>
          </w:p>
        </w:tc>
        <w:tc>
          <w:tcPr>
            <w:tcW w:w="4007" w:type="dxa"/>
            <w:tcBorders>
              <w:top w:val="nil"/>
              <w:left w:val="nil"/>
              <w:bottom w:val="nil"/>
              <w:right w:val="nil"/>
            </w:tcBorders>
            <w:shd w:val="clear" w:color="auto" w:fill="auto"/>
            <w:noWrap/>
            <w:vAlign w:val="center"/>
            <w:hideMark/>
          </w:tcPr>
          <w:p w14:paraId="11F98691"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w:t>
            </w:r>
          </w:p>
        </w:tc>
      </w:tr>
      <w:tr w:rsidR="001315F0" w:rsidRPr="001315F0" w14:paraId="481F4C4E"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6050E664"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4</w:t>
            </w:r>
          </w:p>
        </w:tc>
        <w:tc>
          <w:tcPr>
            <w:tcW w:w="2077" w:type="dxa"/>
            <w:tcBorders>
              <w:top w:val="nil"/>
              <w:left w:val="nil"/>
              <w:bottom w:val="nil"/>
              <w:right w:val="nil"/>
            </w:tcBorders>
            <w:shd w:val="clear" w:color="auto" w:fill="auto"/>
            <w:noWrap/>
            <w:vAlign w:val="center"/>
            <w:hideMark/>
          </w:tcPr>
          <w:p w14:paraId="1AA3807E"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2.1453</w:t>
            </w:r>
          </w:p>
        </w:tc>
        <w:tc>
          <w:tcPr>
            <w:tcW w:w="4007" w:type="dxa"/>
            <w:tcBorders>
              <w:top w:val="nil"/>
              <w:left w:val="nil"/>
              <w:bottom w:val="nil"/>
              <w:right w:val="nil"/>
            </w:tcBorders>
            <w:shd w:val="clear" w:color="auto" w:fill="auto"/>
            <w:noWrap/>
            <w:vAlign w:val="center"/>
            <w:hideMark/>
          </w:tcPr>
          <w:p w14:paraId="0D852669"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7</w:t>
            </w:r>
          </w:p>
        </w:tc>
      </w:tr>
      <w:tr w:rsidR="001315F0" w:rsidRPr="001315F0" w14:paraId="12285AB4"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73BF3515"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5</w:t>
            </w:r>
          </w:p>
        </w:tc>
        <w:tc>
          <w:tcPr>
            <w:tcW w:w="2077" w:type="dxa"/>
            <w:tcBorders>
              <w:top w:val="nil"/>
              <w:left w:val="nil"/>
              <w:bottom w:val="nil"/>
              <w:right w:val="nil"/>
            </w:tcBorders>
            <w:shd w:val="clear" w:color="auto" w:fill="auto"/>
            <w:noWrap/>
            <w:vAlign w:val="center"/>
            <w:hideMark/>
          </w:tcPr>
          <w:p w14:paraId="0964644A"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1.8767</w:t>
            </w:r>
          </w:p>
        </w:tc>
        <w:tc>
          <w:tcPr>
            <w:tcW w:w="4007" w:type="dxa"/>
            <w:tcBorders>
              <w:top w:val="nil"/>
              <w:left w:val="nil"/>
              <w:bottom w:val="nil"/>
              <w:right w:val="nil"/>
            </w:tcBorders>
            <w:shd w:val="clear" w:color="auto" w:fill="auto"/>
            <w:noWrap/>
            <w:vAlign w:val="center"/>
            <w:hideMark/>
          </w:tcPr>
          <w:p w14:paraId="6B680F85"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6</w:t>
            </w:r>
          </w:p>
        </w:tc>
      </w:tr>
      <w:tr w:rsidR="001315F0" w:rsidRPr="001315F0" w14:paraId="427BE0B4"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312C68C2"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6</w:t>
            </w:r>
          </w:p>
        </w:tc>
        <w:tc>
          <w:tcPr>
            <w:tcW w:w="2077" w:type="dxa"/>
            <w:tcBorders>
              <w:top w:val="nil"/>
              <w:left w:val="nil"/>
              <w:bottom w:val="nil"/>
              <w:right w:val="nil"/>
            </w:tcBorders>
            <w:shd w:val="clear" w:color="auto" w:fill="auto"/>
            <w:noWrap/>
            <w:vAlign w:val="center"/>
            <w:hideMark/>
          </w:tcPr>
          <w:p w14:paraId="0FBBAB41"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0.176</w:t>
            </w:r>
          </w:p>
        </w:tc>
        <w:tc>
          <w:tcPr>
            <w:tcW w:w="4007" w:type="dxa"/>
            <w:tcBorders>
              <w:top w:val="nil"/>
              <w:left w:val="nil"/>
              <w:bottom w:val="nil"/>
              <w:right w:val="nil"/>
            </w:tcBorders>
            <w:shd w:val="clear" w:color="auto" w:fill="auto"/>
            <w:noWrap/>
            <w:vAlign w:val="center"/>
            <w:hideMark/>
          </w:tcPr>
          <w:p w14:paraId="2DA588BF"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w:t>
            </w:r>
          </w:p>
        </w:tc>
      </w:tr>
      <w:tr w:rsidR="001315F0" w:rsidRPr="001315F0" w14:paraId="44EFA177" w14:textId="77777777" w:rsidTr="00F5779F">
        <w:trPr>
          <w:trHeight w:val="415"/>
        </w:trPr>
        <w:tc>
          <w:tcPr>
            <w:tcW w:w="1699" w:type="dxa"/>
            <w:tcBorders>
              <w:top w:val="nil"/>
              <w:left w:val="nil"/>
              <w:bottom w:val="nil"/>
              <w:right w:val="single" w:sz="4" w:space="0" w:color="auto"/>
            </w:tcBorders>
            <w:shd w:val="clear" w:color="auto" w:fill="auto"/>
            <w:noWrap/>
            <w:vAlign w:val="center"/>
            <w:hideMark/>
          </w:tcPr>
          <w:p w14:paraId="256820A6"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7</w:t>
            </w:r>
          </w:p>
        </w:tc>
        <w:tc>
          <w:tcPr>
            <w:tcW w:w="2077" w:type="dxa"/>
            <w:tcBorders>
              <w:top w:val="nil"/>
              <w:left w:val="nil"/>
              <w:bottom w:val="nil"/>
              <w:right w:val="nil"/>
            </w:tcBorders>
            <w:shd w:val="clear" w:color="auto" w:fill="auto"/>
            <w:noWrap/>
            <w:vAlign w:val="center"/>
            <w:hideMark/>
          </w:tcPr>
          <w:p w14:paraId="26B9502E"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1.4085</w:t>
            </w:r>
          </w:p>
        </w:tc>
        <w:tc>
          <w:tcPr>
            <w:tcW w:w="4007" w:type="dxa"/>
            <w:tcBorders>
              <w:top w:val="nil"/>
              <w:left w:val="nil"/>
              <w:bottom w:val="nil"/>
              <w:right w:val="nil"/>
            </w:tcBorders>
            <w:shd w:val="clear" w:color="auto" w:fill="auto"/>
            <w:noWrap/>
            <w:vAlign w:val="center"/>
            <w:hideMark/>
          </w:tcPr>
          <w:p w14:paraId="2E45C051" w14:textId="77777777" w:rsidR="009B2699" w:rsidRPr="001315F0" w:rsidRDefault="009B2699" w:rsidP="00F5779F">
            <w:pPr>
              <w:spacing w:after="0" w:line="36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5</w:t>
            </w:r>
          </w:p>
        </w:tc>
      </w:tr>
    </w:tbl>
    <w:p w14:paraId="38123B5B" w14:textId="77777777" w:rsidR="00E501D5" w:rsidRPr="001315F0" w:rsidRDefault="00E501D5" w:rsidP="00CF04FC">
      <w:pPr>
        <w:spacing w:line="480" w:lineRule="auto"/>
        <w:jc w:val="both"/>
        <w:rPr>
          <w:sz w:val="24"/>
        </w:rPr>
      </w:pPr>
    </w:p>
    <w:p w14:paraId="378208F7" w14:textId="77777777" w:rsidR="00F5779F" w:rsidRPr="001315F0" w:rsidRDefault="00F5779F" w:rsidP="00CF04FC">
      <w:pPr>
        <w:spacing w:line="480" w:lineRule="auto"/>
        <w:jc w:val="both"/>
        <w:rPr>
          <w:sz w:val="24"/>
        </w:rPr>
      </w:pPr>
    </w:p>
    <w:p w14:paraId="1ECC6DDA" w14:textId="77777777" w:rsidR="00AC34A7" w:rsidRPr="001315F0" w:rsidRDefault="00AC34A7" w:rsidP="00CF04FC">
      <w:pPr>
        <w:spacing w:line="480" w:lineRule="auto"/>
        <w:jc w:val="both"/>
        <w:rPr>
          <w:sz w:val="24"/>
        </w:rPr>
      </w:pPr>
    </w:p>
    <w:p w14:paraId="6215CDF4" w14:textId="77777777" w:rsidR="00B536CE" w:rsidRPr="001315F0" w:rsidRDefault="00B536CE" w:rsidP="00CF04FC">
      <w:pPr>
        <w:spacing w:line="480" w:lineRule="auto"/>
        <w:jc w:val="both"/>
        <w:rPr>
          <w:sz w:val="24"/>
        </w:rPr>
      </w:pPr>
    </w:p>
    <w:p w14:paraId="1C099CC0" w14:textId="77777777" w:rsidR="00050D95" w:rsidRDefault="00050D95" w:rsidP="00CF04FC">
      <w:pPr>
        <w:spacing w:line="480" w:lineRule="auto"/>
        <w:jc w:val="both"/>
        <w:rPr>
          <w:sz w:val="24"/>
        </w:rPr>
      </w:pPr>
    </w:p>
    <w:p w14:paraId="2E7BE5D4" w14:textId="1519DB95" w:rsidR="00C83D0C" w:rsidRPr="001315F0" w:rsidRDefault="00C83D0C" w:rsidP="00CF04FC">
      <w:pPr>
        <w:spacing w:line="480" w:lineRule="auto"/>
        <w:jc w:val="both"/>
        <w:rPr>
          <w:sz w:val="24"/>
        </w:rPr>
      </w:pPr>
      <w:r w:rsidRPr="001315F0">
        <w:rPr>
          <w:sz w:val="24"/>
        </w:rPr>
        <w:t xml:space="preserve">When applying the Kaiser Criterion only those factors with an Eigenvalue of 1 or above should be considered (Watts &amp; </w:t>
      </w:r>
      <w:proofErr w:type="spellStart"/>
      <w:r w:rsidRPr="001315F0">
        <w:rPr>
          <w:sz w:val="24"/>
        </w:rPr>
        <w:t>Stenner</w:t>
      </w:r>
      <w:proofErr w:type="spellEnd"/>
      <w:r w:rsidRPr="001315F0">
        <w:rPr>
          <w:sz w:val="24"/>
        </w:rPr>
        <w:t>, 2012). With this in mind five of the pot</w:t>
      </w:r>
      <w:r w:rsidR="00E501D5" w:rsidRPr="001315F0">
        <w:rPr>
          <w:sz w:val="24"/>
        </w:rPr>
        <w:t>ential seven factors m</w:t>
      </w:r>
      <w:r w:rsidRPr="001315F0">
        <w:rPr>
          <w:sz w:val="24"/>
        </w:rPr>
        <w:t xml:space="preserve">et this criterion making this a five factor model (factors 1, 2, 4, 5, 7). A </w:t>
      </w:r>
      <w:proofErr w:type="spellStart"/>
      <w:r w:rsidRPr="001315F0">
        <w:rPr>
          <w:sz w:val="24"/>
        </w:rPr>
        <w:t>Varimax</w:t>
      </w:r>
      <w:proofErr w:type="spellEnd"/>
      <w:r w:rsidRPr="001315F0">
        <w:rPr>
          <w:sz w:val="24"/>
        </w:rPr>
        <w:t xml:space="preserve"> rotation was then applied to the five selected factors which satisfied the Kaiser Criterion</w:t>
      </w:r>
      <w:r w:rsidR="00E501D5" w:rsidRPr="001315F0">
        <w:rPr>
          <w:sz w:val="24"/>
        </w:rPr>
        <w:t xml:space="preserve"> in order to maximise the variance of the loadings on all variables</w:t>
      </w:r>
      <w:r w:rsidRPr="001315F0">
        <w:rPr>
          <w:sz w:val="24"/>
        </w:rPr>
        <w:t xml:space="preserve">. </w:t>
      </w:r>
    </w:p>
    <w:p w14:paraId="622CD2B3" w14:textId="77777777" w:rsidR="00E501D5" w:rsidRPr="001315F0" w:rsidRDefault="00E501D5" w:rsidP="00C83D0C">
      <w:pPr>
        <w:spacing w:line="360" w:lineRule="auto"/>
        <w:jc w:val="both"/>
        <w:rPr>
          <w:sz w:val="24"/>
        </w:rPr>
      </w:pPr>
    </w:p>
    <w:p w14:paraId="6C9C1150" w14:textId="77777777" w:rsidR="00E501D5" w:rsidRPr="001315F0" w:rsidRDefault="00E501D5" w:rsidP="00C83D0C">
      <w:pPr>
        <w:spacing w:line="360" w:lineRule="auto"/>
        <w:jc w:val="both"/>
        <w:rPr>
          <w:sz w:val="24"/>
        </w:rPr>
      </w:pPr>
    </w:p>
    <w:p w14:paraId="3A5126AB" w14:textId="77777777" w:rsidR="00E501D5" w:rsidRPr="001315F0" w:rsidRDefault="00E501D5" w:rsidP="00C83D0C">
      <w:pPr>
        <w:spacing w:line="360" w:lineRule="auto"/>
        <w:jc w:val="both"/>
        <w:rPr>
          <w:sz w:val="24"/>
        </w:rPr>
      </w:pPr>
    </w:p>
    <w:p w14:paraId="56454AA8" w14:textId="798AEB32" w:rsidR="00C83D0C" w:rsidRPr="001315F0" w:rsidRDefault="00C83D0C" w:rsidP="00C83D0C">
      <w:pPr>
        <w:spacing w:line="360" w:lineRule="auto"/>
        <w:jc w:val="both"/>
        <w:rPr>
          <w:sz w:val="24"/>
        </w:rPr>
      </w:pPr>
      <w:r w:rsidRPr="001315F0">
        <w:rPr>
          <w:sz w:val="24"/>
        </w:rPr>
        <w:t>Table 4: Rotated factor loadings</w:t>
      </w:r>
    </w:p>
    <w:tbl>
      <w:tblPr>
        <w:tblW w:w="8860" w:type="dxa"/>
        <w:tblInd w:w="93" w:type="dxa"/>
        <w:tblLook w:val="04A0" w:firstRow="1" w:lastRow="0" w:firstColumn="1" w:lastColumn="0" w:noHBand="0" w:noVBand="1"/>
      </w:tblPr>
      <w:tblGrid>
        <w:gridCol w:w="2500"/>
        <w:gridCol w:w="1060"/>
        <w:gridCol w:w="1060"/>
        <w:gridCol w:w="1060"/>
        <w:gridCol w:w="1060"/>
        <w:gridCol w:w="1060"/>
        <w:gridCol w:w="1060"/>
      </w:tblGrid>
      <w:tr w:rsidR="001315F0" w:rsidRPr="001315F0" w14:paraId="6337370F" w14:textId="77777777" w:rsidTr="00DB64FA">
        <w:trPr>
          <w:trHeight w:val="312"/>
        </w:trPr>
        <w:tc>
          <w:tcPr>
            <w:tcW w:w="2500" w:type="dxa"/>
            <w:tcBorders>
              <w:top w:val="nil"/>
              <w:left w:val="nil"/>
              <w:bottom w:val="single" w:sz="4" w:space="0" w:color="auto"/>
              <w:right w:val="nil"/>
            </w:tcBorders>
            <w:shd w:val="clear" w:color="auto" w:fill="auto"/>
            <w:noWrap/>
            <w:vAlign w:val="bottom"/>
            <w:hideMark/>
          </w:tcPr>
          <w:p w14:paraId="3B4DF562"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38CB8F16"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Q sort</w:t>
            </w:r>
          </w:p>
        </w:tc>
        <w:tc>
          <w:tcPr>
            <w:tcW w:w="1060" w:type="dxa"/>
            <w:tcBorders>
              <w:top w:val="nil"/>
              <w:left w:val="nil"/>
              <w:bottom w:val="single" w:sz="4" w:space="0" w:color="auto"/>
              <w:right w:val="nil"/>
            </w:tcBorders>
            <w:shd w:val="clear" w:color="auto" w:fill="auto"/>
            <w:noWrap/>
            <w:vAlign w:val="bottom"/>
            <w:hideMark/>
          </w:tcPr>
          <w:p w14:paraId="743D1AB4"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Factor 1</w:t>
            </w:r>
          </w:p>
        </w:tc>
        <w:tc>
          <w:tcPr>
            <w:tcW w:w="1060" w:type="dxa"/>
            <w:tcBorders>
              <w:top w:val="nil"/>
              <w:left w:val="nil"/>
              <w:bottom w:val="single" w:sz="4" w:space="0" w:color="auto"/>
              <w:right w:val="nil"/>
            </w:tcBorders>
            <w:shd w:val="clear" w:color="auto" w:fill="auto"/>
            <w:noWrap/>
            <w:vAlign w:val="bottom"/>
            <w:hideMark/>
          </w:tcPr>
          <w:p w14:paraId="673651D1"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Factor 2</w:t>
            </w:r>
          </w:p>
        </w:tc>
        <w:tc>
          <w:tcPr>
            <w:tcW w:w="1060" w:type="dxa"/>
            <w:tcBorders>
              <w:top w:val="nil"/>
              <w:left w:val="nil"/>
              <w:bottom w:val="single" w:sz="4" w:space="0" w:color="auto"/>
              <w:right w:val="nil"/>
            </w:tcBorders>
            <w:shd w:val="clear" w:color="auto" w:fill="auto"/>
            <w:noWrap/>
            <w:vAlign w:val="bottom"/>
            <w:hideMark/>
          </w:tcPr>
          <w:p w14:paraId="29EDA475"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Factor 4</w:t>
            </w:r>
          </w:p>
        </w:tc>
        <w:tc>
          <w:tcPr>
            <w:tcW w:w="1060" w:type="dxa"/>
            <w:tcBorders>
              <w:top w:val="nil"/>
              <w:left w:val="nil"/>
              <w:bottom w:val="single" w:sz="4" w:space="0" w:color="auto"/>
              <w:right w:val="nil"/>
            </w:tcBorders>
            <w:shd w:val="clear" w:color="auto" w:fill="auto"/>
            <w:noWrap/>
            <w:vAlign w:val="bottom"/>
            <w:hideMark/>
          </w:tcPr>
          <w:p w14:paraId="1CCAD4B4"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Factor 5</w:t>
            </w:r>
          </w:p>
        </w:tc>
        <w:tc>
          <w:tcPr>
            <w:tcW w:w="1060" w:type="dxa"/>
            <w:tcBorders>
              <w:top w:val="nil"/>
              <w:left w:val="nil"/>
              <w:bottom w:val="single" w:sz="4" w:space="0" w:color="auto"/>
              <w:right w:val="nil"/>
            </w:tcBorders>
            <w:shd w:val="clear" w:color="auto" w:fill="auto"/>
            <w:noWrap/>
            <w:vAlign w:val="bottom"/>
            <w:hideMark/>
          </w:tcPr>
          <w:p w14:paraId="2C4EB9B6"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Factor 7</w:t>
            </w:r>
          </w:p>
        </w:tc>
      </w:tr>
      <w:tr w:rsidR="001315F0" w:rsidRPr="001315F0" w14:paraId="3EEE80EA" w14:textId="77777777" w:rsidTr="00DB64FA">
        <w:trPr>
          <w:trHeight w:val="312"/>
        </w:trPr>
        <w:tc>
          <w:tcPr>
            <w:tcW w:w="2500" w:type="dxa"/>
            <w:tcBorders>
              <w:top w:val="nil"/>
              <w:left w:val="nil"/>
              <w:bottom w:val="nil"/>
              <w:right w:val="nil"/>
            </w:tcBorders>
            <w:shd w:val="clear" w:color="auto" w:fill="auto"/>
            <w:noWrap/>
            <w:vAlign w:val="bottom"/>
            <w:hideMark/>
          </w:tcPr>
          <w:p w14:paraId="58482047"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620B17DC"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1a</w:t>
            </w:r>
          </w:p>
        </w:tc>
        <w:tc>
          <w:tcPr>
            <w:tcW w:w="1060" w:type="dxa"/>
            <w:tcBorders>
              <w:top w:val="nil"/>
              <w:left w:val="nil"/>
              <w:bottom w:val="nil"/>
              <w:right w:val="nil"/>
            </w:tcBorders>
            <w:shd w:val="clear" w:color="auto" w:fill="auto"/>
            <w:noWrap/>
            <w:vAlign w:val="bottom"/>
            <w:hideMark/>
          </w:tcPr>
          <w:p w14:paraId="5E9F4B7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0.1682</w:t>
            </w:r>
          </w:p>
        </w:tc>
        <w:tc>
          <w:tcPr>
            <w:tcW w:w="1060" w:type="dxa"/>
            <w:tcBorders>
              <w:top w:val="nil"/>
              <w:left w:val="nil"/>
              <w:bottom w:val="nil"/>
              <w:right w:val="nil"/>
            </w:tcBorders>
            <w:shd w:val="clear" w:color="auto" w:fill="auto"/>
            <w:noWrap/>
            <w:vAlign w:val="bottom"/>
            <w:hideMark/>
          </w:tcPr>
          <w:p w14:paraId="201F917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-0.0013</w:t>
            </w:r>
          </w:p>
        </w:tc>
        <w:tc>
          <w:tcPr>
            <w:tcW w:w="1060" w:type="dxa"/>
            <w:tcBorders>
              <w:top w:val="nil"/>
              <w:left w:val="nil"/>
              <w:bottom w:val="nil"/>
              <w:right w:val="nil"/>
            </w:tcBorders>
            <w:shd w:val="clear" w:color="auto" w:fill="auto"/>
            <w:noWrap/>
            <w:vAlign w:val="bottom"/>
            <w:hideMark/>
          </w:tcPr>
          <w:p w14:paraId="761D402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0.1654</w:t>
            </w:r>
          </w:p>
        </w:tc>
        <w:tc>
          <w:tcPr>
            <w:tcW w:w="1060" w:type="dxa"/>
            <w:tcBorders>
              <w:top w:val="nil"/>
              <w:left w:val="nil"/>
              <w:bottom w:val="nil"/>
              <w:right w:val="nil"/>
            </w:tcBorders>
            <w:shd w:val="clear" w:color="auto" w:fill="auto"/>
            <w:noWrap/>
            <w:vAlign w:val="bottom"/>
            <w:hideMark/>
          </w:tcPr>
          <w:p w14:paraId="5B32E68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0.1843</w:t>
            </w:r>
          </w:p>
        </w:tc>
        <w:tc>
          <w:tcPr>
            <w:tcW w:w="1060" w:type="dxa"/>
            <w:tcBorders>
              <w:top w:val="nil"/>
              <w:left w:val="nil"/>
              <w:bottom w:val="nil"/>
              <w:right w:val="nil"/>
            </w:tcBorders>
            <w:shd w:val="clear" w:color="000000" w:fill="D9D9D9"/>
            <w:noWrap/>
            <w:vAlign w:val="bottom"/>
            <w:hideMark/>
          </w:tcPr>
          <w:p w14:paraId="4AC33C5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0.4753</w:t>
            </w:r>
          </w:p>
        </w:tc>
      </w:tr>
      <w:tr w:rsidR="001315F0" w:rsidRPr="001315F0" w14:paraId="20163AD1" w14:textId="77777777" w:rsidTr="00DB64FA">
        <w:trPr>
          <w:trHeight w:val="312"/>
        </w:trPr>
        <w:tc>
          <w:tcPr>
            <w:tcW w:w="2500" w:type="dxa"/>
            <w:tcBorders>
              <w:top w:val="nil"/>
              <w:left w:val="nil"/>
              <w:bottom w:val="nil"/>
              <w:right w:val="nil"/>
            </w:tcBorders>
            <w:shd w:val="clear" w:color="auto" w:fill="auto"/>
            <w:noWrap/>
            <w:vAlign w:val="bottom"/>
            <w:hideMark/>
          </w:tcPr>
          <w:p w14:paraId="5ED46A65"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16029948"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1b</w:t>
            </w:r>
          </w:p>
        </w:tc>
        <w:tc>
          <w:tcPr>
            <w:tcW w:w="1060" w:type="dxa"/>
            <w:tcBorders>
              <w:top w:val="nil"/>
              <w:left w:val="nil"/>
              <w:bottom w:val="nil"/>
              <w:right w:val="nil"/>
            </w:tcBorders>
            <w:shd w:val="clear" w:color="auto" w:fill="auto"/>
            <w:noWrap/>
            <w:vAlign w:val="bottom"/>
            <w:hideMark/>
          </w:tcPr>
          <w:p w14:paraId="7CBF2AE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-0.0525</w:t>
            </w:r>
          </w:p>
        </w:tc>
        <w:tc>
          <w:tcPr>
            <w:tcW w:w="1060" w:type="dxa"/>
            <w:tcBorders>
              <w:top w:val="nil"/>
              <w:left w:val="nil"/>
              <w:bottom w:val="nil"/>
              <w:right w:val="nil"/>
            </w:tcBorders>
            <w:shd w:val="clear" w:color="auto" w:fill="auto"/>
            <w:noWrap/>
            <w:vAlign w:val="bottom"/>
            <w:hideMark/>
          </w:tcPr>
          <w:p w14:paraId="4CDDF89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0.0507</w:t>
            </w:r>
          </w:p>
        </w:tc>
        <w:tc>
          <w:tcPr>
            <w:tcW w:w="1060" w:type="dxa"/>
            <w:tcBorders>
              <w:top w:val="nil"/>
              <w:left w:val="nil"/>
              <w:bottom w:val="nil"/>
              <w:right w:val="nil"/>
            </w:tcBorders>
            <w:shd w:val="clear" w:color="auto" w:fill="auto"/>
            <w:noWrap/>
            <w:vAlign w:val="bottom"/>
            <w:hideMark/>
          </w:tcPr>
          <w:p w14:paraId="7A97CCC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0.1162</w:t>
            </w:r>
          </w:p>
        </w:tc>
        <w:tc>
          <w:tcPr>
            <w:tcW w:w="1060" w:type="dxa"/>
            <w:tcBorders>
              <w:top w:val="nil"/>
              <w:left w:val="nil"/>
              <w:bottom w:val="nil"/>
              <w:right w:val="nil"/>
            </w:tcBorders>
            <w:shd w:val="clear" w:color="auto" w:fill="auto"/>
            <w:noWrap/>
            <w:vAlign w:val="bottom"/>
            <w:hideMark/>
          </w:tcPr>
          <w:p w14:paraId="2C986A34"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0.1228</w:t>
            </w:r>
          </w:p>
        </w:tc>
        <w:tc>
          <w:tcPr>
            <w:tcW w:w="1060" w:type="dxa"/>
            <w:tcBorders>
              <w:top w:val="nil"/>
              <w:left w:val="nil"/>
              <w:bottom w:val="nil"/>
              <w:right w:val="nil"/>
            </w:tcBorders>
            <w:shd w:val="clear" w:color="000000" w:fill="D9D9D9"/>
            <w:noWrap/>
            <w:vAlign w:val="bottom"/>
            <w:hideMark/>
          </w:tcPr>
          <w:p w14:paraId="6E2F1A7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0.7815</w:t>
            </w:r>
          </w:p>
        </w:tc>
      </w:tr>
      <w:tr w:rsidR="001315F0" w:rsidRPr="001315F0" w14:paraId="5F030BC1" w14:textId="77777777" w:rsidTr="00DB64FA">
        <w:trPr>
          <w:trHeight w:val="312"/>
        </w:trPr>
        <w:tc>
          <w:tcPr>
            <w:tcW w:w="2500" w:type="dxa"/>
            <w:tcBorders>
              <w:top w:val="nil"/>
              <w:left w:val="nil"/>
              <w:bottom w:val="nil"/>
              <w:right w:val="nil"/>
            </w:tcBorders>
            <w:shd w:val="clear" w:color="auto" w:fill="auto"/>
            <w:noWrap/>
            <w:vAlign w:val="bottom"/>
            <w:hideMark/>
          </w:tcPr>
          <w:p w14:paraId="0FDB2EC8"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669E73BD"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1c</w:t>
            </w:r>
          </w:p>
        </w:tc>
        <w:tc>
          <w:tcPr>
            <w:tcW w:w="1060" w:type="dxa"/>
            <w:tcBorders>
              <w:top w:val="nil"/>
              <w:left w:val="nil"/>
              <w:bottom w:val="nil"/>
              <w:right w:val="nil"/>
            </w:tcBorders>
            <w:shd w:val="clear" w:color="auto" w:fill="auto"/>
            <w:noWrap/>
            <w:vAlign w:val="bottom"/>
            <w:hideMark/>
          </w:tcPr>
          <w:p w14:paraId="67CB05A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-0.1759</w:t>
            </w:r>
          </w:p>
        </w:tc>
        <w:tc>
          <w:tcPr>
            <w:tcW w:w="1060" w:type="dxa"/>
            <w:tcBorders>
              <w:top w:val="nil"/>
              <w:left w:val="nil"/>
              <w:bottom w:val="nil"/>
              <w:right w:val="nil"/>
            </w:tcBorders>
            <w:shd w:val="clear" w:color="auto" w:fill="auto"/>
            <w:noWrap/>
            <w:vAlign w:val="bottom"/>
            <w:hideMark/>
          </w:tcPr>
          <w:p w14:paraId="72A3E7D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0.0661</w:t>
            </w:r>
          </w:p>
        </w:tc>
        <w:tc>
          <w:tcPr>
            <w:tcW w:w="1060" w:type="dxa"/>
            <w:tcBorders>
              <w:top w:val="nil"/>
              <w:left w:val="nil"/>
              <w:bottom w:val="nil"/>
              <w:right w:val="nil"/>
            </w:tcBorders>
            <w:shd w:val="clear" w:color="auto" w:fill="auto"/>
            <w:noWrap/>
            <w:vAlign w:val="bottom"/>
            <w:hideMark/>
          </w:tcPr>
          <w:p w14:paraId="150355E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-0.3208</w:t>
            </w:r>
          </w:p>
        </w:tc>
        <w:tc>
          <w:tcPr>
            <w:tcW w:w="1060" w:type="dxa"/>
            <w:tcBorders>
              <w:top w:val="nil"/>
              <w:left w:val="nil"/>
              <w:bottom w:val="nil"/>
              <w:right w:val="nil"/>
            </w:tcBorders>
            <w:shd w:val="clear" w:color="auto" w:fill="auto"/>
            <w:noWrap/>
            <w:vAlign w:val="bottom"/>
            <w:hideMark/>
          </w:tcPr>
          <w:p w14:paraId="3C03CE3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0.159</w:t>
            </w:r>
          </w:p>
        </w:tc>
        <w:tc>
          <w:tcPr>
            <w:tcW w:w="1060" w:type="dxa"/>
            <w:tcBorders>
              <w:top w:val="nil"/>
              <w:left w:val="nil"/>
              <w:bottom w:val="nil"/>
              <w:right w:val="nil"/>
            </w:tcBorders>
            <w:shd w:val="clear" w:color="000000" w:fill="D9D9D9"/>
            <w:noWrap/>
            <w:vAlign w:val="bottom"/>
            <w:hideMark/>
          </w:tcPr>
          <w:p w14:paraId="790C115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0.5243</w:t>
            </w:r>
          </w:p>
        </w:tc>
      </w:tr>
      <w:tr w:rsidR="001315F0" w:rsidRPr="001315F0" w14:paraId="6E03AEF5" w14:textId="77777777" w:rsidTr="00DB64FA">
        <w:trPr>
          <w:trHeight w:val="312"/>
        </w:trPr>
        <w:tc>
          <w:tcPr>
            <w:tcW w:w="2500" w:type="dxa"/>
            <w:tcBorders>
              <w:top w:val="nil"/>
              <w:left w:val="nil"/>
              <w:bottom w:val="nil"/>
              <w:right w:val="nil"/>
            </w:tcBorders>
            <w:shd w:val="clear" w:color="auto" w:fill="auto"/>
            <w:noWrap/>
            <w:vAlign w:val="bottom"/>
            <w:hideMark/>
          </w:tcPr>
          <w:p w14:paraId="12E6C568"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3A2FD58A"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2a</w:t>
            </w:r>
          </w:p>
        </w:tc>
        <w:tc>
          <w:tcPr>
            <w:tcW w:w="1060" w:type="dxa"/>
            <w:tcBorders>
              <w:top w:val="nil"/>
              <w:left w:val="nil"/>
              <w:bottom w:val="nil"/>
              <w:right w:val="nil"/>
            </w:tcBorders>
            <w:shd w:val="clear" w:color="auto" w:fill="auto"/>
            <w:noWrap/>
            <w:vAlign w:val="bottom"/>
            <w:hideMark/>
          </w:tcPr>
          <w:p w14:paraId="581FCFC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0.48</w:t>
            </w:r>
          </w:p>
        </w:tc>
        <w:tc>
          <w:tcPr>
            <w:tcW w:w="1060" w:type="dxa"/>
            <w:tcBorders>
              <w:top w:val="nil"/>
              <w:left w:val="nil"/>
              <w:bottom w:val="nil"/>
              <w:right w:val="nil"/>
            </w:tcBorders>
            <w:shd w:val="clear" w:color="auto" w:fill="auto"/>
            <w:noWrap/>
            <w:vAlign w:val="bottom"/>
            <w:hideMark/>
          </w:tcPr>
          <w:p w14:paraId="5773959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0.2446</w:t>
            </w:r>
          </w:p>
        </w:tc>
        <w:tc>
          <w:tcPr>
            <w:tcW w:w="1060" w:type="dxa"/>
            <w:tcBorders>
              <w:top w:val="nil"/>
              <w:left w:val="nil"/>
              <w:bottom w:val="nil"/>
              <w:right w:val="nil"/>
            </w:tcBorders>
            <w:shd w:val="clear" w:color="auto" w:fill="auto"/>
            <w:noWrap/>
            <w:vAlign w:val="bottom"/>
            <w:hideMark/>
          </w:tcPr>
          <w:p w14:paraId="083E521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0.3962</w:t>
            </w:r>
          </w:p>
        </w:tc>
        <w:tc>
          <w:tcPr>
            <w:tcW w:w="1060" w:type="dxa"/>
            <w:tcBorders>
              <w:top w:val="nil"/>
              <w:left w:val="nil"/>
              <w:bottom w:val="nil"/>
              <w:right w:val="nil"/>
            </w:tcBorders>
            <w:shd w:val="clear" w:color="auto" w:fill="auto"/>
            <w:noWrap/>
            <w:vAlign w:val="bottom"/>
            <w:hideMark/>
          </w:tcPr>
          <w:p w14:paraId="59E10C5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0.2599</w:t>
            </w:r>
          </w:p>
        </w:tc>
        <w:tc>
          <w:tcPr>
            <w:tcW w:w="1060" w:type="dxa"/>
            <w:tcBorders>
              <w:top w:val="nil"/>
              <w:left w:val="nil"/>
              <w:bottom w:val="nil"/>
              <w:right w:val="nil"/>
            </w:tcBorders>
            <w:shd w:val="clear" w:color="auto" w:fill="auto"/>
            <w:noWrap/>
            <w:vAlign w:val="bottom"/>
            <w:hideMark/>
          </w:tcPr>
          <w:p w14:paraId="29A3050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0.5189</w:t>
            </w:r>
          </w:p>
        </w:tc>
      </w:tr>
      <w:tr w:rsidR="001315F0" w:rsidRPr="001315F0" w14:paraId="5E940CF3" w14:textId="77777777" w:rsidTr="00DB64FA">
        <w:trPr>
          <w:trHeight w:val="312"/>
        </w:trPr>
        <w:tc>
          <w:tcPr>
            <w:tcW w:w="2500" w:type="dxa"/>
            <w:tcBorders>
              <w:top w:val="nil"/>
              <w:left w:val="nil"/>
              <w:bottom w:val="nil"/>
              <w:right w:val="nil"/>
            </w:tcBorders>
            <w:shd w:val="clear" w:color="auto" w:fill="auto"/>
            <w:noWrap/>
            <w:vAlign w:val="bottom"/>
            <w:hideMark/>
          </w:tcPr>
          <w:p w14:paraId="1E5BE4AB"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46602ABE"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2b</w:t>
            </w:r>
          </w:p>
        </w:tc>
        <w:tc>
          <w:tcPr>
            <w:tcW w:w="1060" w:type="dxa"/>
            <w:tcBorders>
              <w:top w:val="nil"/>
              <w:left w:val="nil"/>
              <w:bottom w:val="nil"/>
              <w:right w:val="nil"/>
            </w:tcBorders>
            <w:shd w:val="clear" w:color="auto" w:fill="auto"/>
            <w:noWrap/>
            <w:vAlign w:val="bottom"/>
            <w:hideMark/>
          </w:tcPr>
          <w:p w14:paraId="7254A4D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0.48</w:t>
            </w:r>
          </w:p>
        </w:tc>
        <w:tc>
          <w:tcPr>
            <w:tcW w:w="1060" w:type="dxa"/>
            <w:tcBorders>
              <w:top w:val="nil"/>
              <w:left w:val="nil"/>
              <w:bottom w:val="nil"/>
              <w:right w:val="nil"/>
            </w:tcBorders>
            <w:shd w:val="clear" w:color="auto" w:fill="auto"/>
            <w:noWrap/>
            <w:vAlign w:val="bottom"/>
            <w:hideMark/>
          </w:tcPr>
          <w:p w14:paraId="3443F86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0.2446</w:t>
            </w:r>
          </w:p>
        </w:tc>
        <w:tc>
          <w:tcPr>
            <w:tcW w:w="1060" w:type="dxa"/>
            <w:tcBorders>
              <w:top w:val="nil"/>
              <w:left w:val="nil"/>
              <w:bottom w:val="nil"/>
              <w:right w:val="nil"/>
            </w:tcBorders>
            <w:shd w:val="clear" w:color="auto" w:fill="auto"/>
            <w:noWrap/>
            <w:vAlign w:val="bottom"/>
            <w:hideMark/>
          </w:tcPr>
          <w:p w14:paraId="2E9DB22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0.3962</w:t>
            </w:r>
          </w:p>
        </w:tc>
        <w:tc>
          <w:tcPr>
            <w:tcW w:w="1060" w:type="dxa"/>
            <w:tcBorders>
              <w:top w:val="nil"/>
              <w:left w:val="nil"/>
              <w:bottom w:val="nil"/>
              <w:right w:val="nil"/>
            </w:tcBorders>
            <w:shd w:val="clear" w:color="auto" w:fill="auto"/>
            <w:noWrap/>
            <w:vAlign w:val="bottom"/>
            <w:hideMark/>
          </w:tcPr>
          <w:p w14:paraId="72C966F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0.2599</w:t>
            </w:r>
          </w:p>
        </w:tc>
        <w:tc>
          <w:tcPr>
            <w:tcW w:w="1060" w:type="dxa"/>
            <w:tcBorders>
              <w:top w:val="nil"/>
              <w:left w:val="nil"/>
              <w:bottom w:val="nil"/>
              <w:right w:val="nil"/>
            </w:tcBorders>
            <w:shd w:val="clear" w:color="auto" w:fill="auto"/>
            <w:noWrap/>
            <w:vAlign w:val="bottom"/>
            <w:hideMark/>
          </w:tcPr>
          <w:p w14:paraId="33805D9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0.5189</w:t>
            </w:r>
          </w:p>
        </w:tc>
      </w:tr>
      <w:tr w:rsidR="001315F0" w:rsidRPr="001315F0" w14:paraId="2E5A7FBA" w14:textId="77777777" w:rsidTr="00DB64FA">
        <w:trPr>
          <w:trHeight w:val="312"/>
        </w:trPr>
        <w:tc>
          <w:tcPr>
            <w:tcW w:w="2500" w:type="dxa"/>
            <w:tcBorders>
              <w:top w:val="nil"/>
              <w:left w:val="nil"/>
              <w:bottom w:val="nil"/>
              <w:right w:val="nil"/>
            </w:tcBorders>
            <w:shd w:val="clear" w:color="auto" w:fill="auto"/>
            <w:noWrap/>
            <w:vAlign w:val="bottom"/>
            <w:hideMark/>
          </w:tcPr>
          <w:p w14:paraId="70C1B9F7"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530823F4"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2c</w:t>
            </w:r>
          </w:p>
        </w:tc>
        <w:tc>
          <w:tcPr>
            <w:tcW w:w="1060" w:type="dxa"/>
            <w:tcBorders>
              <w:top w:val="nil"/>
              <w:left w:val="nil"/>
              <w:bottom w:val="nil"/>
              <w:right w:val="nil"/>
            </w:tcBorders>
            <w:shd w:val="clear" w:color="auto" w:fill="auto"/>
            <w:noWrap/>
            <w:vAlign w:val="bottom"/>
            <w:hideMark/>
          </w:tcPr>
          <w:p w14:paraId="7A581EC7"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0.4458</w:t>
            </w:r>
          </w:p>
        </w:tc>
        <w:tc>
          <w:tcPr>
            <w:tcW w:w="1060" w:type="dxa"/>
            <w:tcBorders>
              <w:top w:val="nil"/>
              <w:left w:val="nil"/>
              <w:bottom w:val="nil"/>
              <w:right w:val="nil"/>
            </w:tcBorders>
            <w:shd w:val="clear" w:color="auto" w:fill="auto"/>
            <w:noWrap/>
            <w:vAlign w:val="bottom"/>
            <w:hideMark/>
          </w:tcPr>
          <w:p w14:paraId="21A1C20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0.3563</w:t>
            </w:r>
          </w:p>
        </w:tc>
        <w:tc>
          <w:tcPr>
            <w:tcW w:w="1060" w:type="dxa"/>
            <w:tcBorders>
              <w:top w:val="nil"/>
              <w:left w:val="nil"/>
              <w:bottom w:val="nil"/>
              <w:right w:val="nil"/>
            </w:tcBorders>
            <w:shd w:val="clear" w:color="auto" w:fill="auto"/>
            <w:noWrap/>
            <w:vAlign w:val="bottom"/>
            <w:hideMark/>
          </w:tcPr>
          <w:p w14:paraId="559CC18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0.2706</w:t>
            </w:r>
          </w:p>
        </w:tc>
        <w:tc>
          <w:tcPr>
            <w:tcW w:w="1060" w:type="dxa"/>
            <w:tcBorders>
              <w:top w:val="nil"/>
              <w:left w:val="nil"/>
              <w:bottom w:val="nil"/>
              <w:right w:val="nil"/>
            </w:tcBorders>
            <w:shd w:val="clear" w:color="auto" w:fill="auto"/>
            <w:noWrap/>
            <w:vAlign w:val="bottom"/>
            <w:hideMark/>
          </w:tcPr>
          <w:p w14:paraId="79B9737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0.2213</w:t>
            </w:r>
          </w:p>
        </w:tc>
        <w:tc>
          <w:tcPr>
            <w:tcW w:w="1060" w:type="dxa"/>
            <w:tcBorders>
              <w:top w:val="nil"/>
              <w:left w:val="nil"/>
              <w:bottom w:val="nil"/>
              <w:right w:val="nil"/>
            </w:tcBorders>
            <w:shd w:val="clear" w:color="auto" w:fill="auto"/>
            <w:noWrap/>
            <w:vAlign w:val="bottom"/>
            <w:hideMark/>
          </w:tcPr>
          <w:p w14:paraId="5A8EAB9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0.5055</w:t>
            </w:r>
          </w:p>
        </w:tc>
      </w:tr>
      <w:tr w:rsidR="001315F0" w:rsidRPr="001315F0" w14:paraId="6244F34F" w14:textId="77777777" w:rsidTr="00DB64FA">
        <w:trPr>
          <w:trHeight w:val="312"/>
        </w:trPr>
        <w:tc>
          <w:tcPr>
            <w:tcW w:w="2500" w:type="dxa"/>
            <w:tcBorders>
              <w:top w:val="nil"/>
              <w:left w:val="nil"/>
              <w:bottom w:val="nil"/>
              <w:right w:val="nil"/>
            </w:tcBorders>
            <w:shd w:val="clear" w:color="auto" w:fill="auto"/>
            <w:noWrap/>
            <w:vAlign w:val="bottom"/>
            <w:hideMark/>
          </w:tcPr>
          <w:p w14:paraId="60E2C64E"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6DE7FF7"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3a</w:t>
            </w:r>
          </w:p>
        </w:tc>
        <w:tc>
          <w:tcPr>
            <w:tcW w:w="1060" w:type="dxa"/>
            <w:tcBorders>
              <w:top w:val="nil"/>
              <w:left w:val="nil"/>
              <w:bottom w:val="nil"/>
              <w:right w:val="nil"/>
            </w:tcBorders>
            <w:shd w:val="clear" w:color="auto" w:fill="auto"/>
            <w:noWrap/>
            <w:vAlign w:val="bottom"/>
            <w:hideMark/>
          </w:tcPr>
          <w:p w14:paraId="50E01A9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0.1669</w:t>
            </w:r>
          </w:p>
        </w:tc>
        <w:tc>
          <w:tcPr>
            <w:tcW w:w="1060" w:type="dxa"/>
            <w:tcBorders>
              <w:top w:val="nil"/>
              <w:left w:val="nil"/>
              <w:bottom w:val="nil"/>
              <w:right w:val="nil"/>
            </w:tcBorders>
            <w:shd w:val="clear" w:color="auto" w:fill="auto"/>
            <w:noWrap/>
            <w:vAlign w:val="bottom"/>
            <w:hideMark/>
          </w:tcPr>
          <w:p w14:paraId="406825FC"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-0.0556</w:t>
            </w:r>
          </w:p>
        </w:tc>
        <w:tc>
          <w:tcPr>
            <w:tcW w:w="1060" w:type="dxa"/>
            <w:tcBorders>
              <w:top w:val="nil"/>
              <w:left w:val="nil"/>
              <w:bottom w:val="nil"/>
              <w:right w:val="nil"/>
            </w:tcBorders>
            <w:shd w:val="clear" w:color="000000" w:fill="D9D9D9"/>
            <w:noWrap/>
            <w:vAlign w:val="bottom"/>
            <w:hideMark/>
          </w:tcPr>
          <w:p w14:paraId="7686114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0.8167</w:t>
            </w:r>
          </w:p>
        </w:tc>
        <w:tc>
          <w:tcPr>
            <w:tcW w:w="1060" w:type="dxa"/>
            <w:tcBorders>
              <w:top w:val="nil"/>
              <w:left w:val="nil"/>
              <w:bottom w:val="nil"/>
              <w:right w:val="nil"/>
            </w:tcBorders>
            <w:shd w:val="clear" w:color="auto" w:fill="auto"/>
            <w:noWrap/>
            <w:vAlign w:val="bottom"/>
            <w:hideMark/>
          </w:tcPr>
          <w:p w14:paraId="1052D89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0.2836</w:t>
            </w:r>
          </w:p>
        </w:tc>
        <w:tc>
          <w:tcPr>
            <w:tcW w:w="1060" w:type="dxa"/>
            <w:tcBorders>
              <w:top w:val="nil"/>
              <w:left w:val="nil"/>
              <w:bottom w:val="nil"/>
              <w:right w:val="nil"/>
            </w:tcBorders>
            <w:shd w:val="clear" w:color="auto" w:fill="auto"/>
            <w:noWrap/>
            <w:vAlign w:val="bottom"/>
            <w:hideMark/>
          </w:tcPr>
          <w:p w14:paraId="554C116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0.068</w:t>
            </w:r>
          </w:p>
        </w:tc>
      </w:tr>
      <w:tr w:rsidR="001315F0" w:rsidRPr="001315F0" w14:paraId="7619D7E0" w14:textId="77777777" w:rsidTr="00DB64FA">
        <w:trPr>
          <w:trHeight w:val="312"/>
        </w:trPr>
        <w:tc>
          <w:tcPr>
            <w:tcW w:w="2500" w:type="dxa"/>
            <w:tcBorders>
              <w:top w:val="nil"/>
              <w:left w:val="nil"/>
              <w:bottom w:val="nil"/>
              <w:right w:val="nil"/>
            </w:tcBorders>
            <w:shd w:val="clear" w:color="auto" w:fill="auto"/>
            <w:noWrap/>
            <w:vAlign w:val="bottom"/>
            <w:hideMark/>
          </w:tcPr>
          <w:p w14:paraId="0A371BCF"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F327C35"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3b</w:t>
            </w:r>
          </w:p>
        </w:tc>
        <w:tc>
          <w:tcPr>
            <w:tcW w:w="1060" w:type="dxa"/>
            <w:tcBorders>
              <w:top w:val="nil"/>
              <w:left w:val="nil"/>
              <w:bottom w:val="nil"/>
              <w:right w:val="nil"/>
            </w:tcBorders>
            <w:shd w:val="clear" w:color="auto" w:fill="auto"/>
            <w:noWrap/>
            <w:vAlign w:val="bottom"/>
            <w:hideMark/>
          </w:tcPr>
          <w:p w14:paraId="4ED3FD4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0.1985</w:t>
            </w:r>
          </w:p>
        </w:tc>
        <w:tc>
          <w:tcPr>
            <w:tcW w:w="1060" w:type="dxa"/>
            <w:tcBorders>
              <w:top w:val="nil"/>
              <w:left w:val="nil"/>
              <w:bottom w:val="nil"/>
              <w:right w:val="nil"/>
            </w:tcBorders>
            <w:shd w:val="clear" w:color="auto" w:fill="auto"/>
            <w:noWrap/>
            <w:vAlign w:val="bottom"/>
            <w:hideMark/>
          </w:tcPr>
          <w:p w14:paraId="35A9838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-0.0368</w:t>
            </w:r>
          </w:p>
        </w:tc>
        <w:tc>
          <w:tcPr>
            <w:tcW w:w="1060" w:type="dxa"/>
            <w:tcBorders>
              <w:top w:val="nil"/>
              <w:left w:val="nil"/>
              <w:bottom w:val="nil"/>
              <w:right w:val="nil"/>
            </w:tcBorders>
            <w:shd w:val="clear" w:color="000000" w:fill="D9D9D9"/>
            <w:noWrap/>
            <w:vAlign w:val="bottom"/>
            <w:hideMark/>
          </w:tcPr>
          <w:p w14:paraId="4326FAD4"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0.8692</w:t>
            </w:r>
          </w:p>
        </w:tc>
        <w:tc>
          <w:tcPr>
            <w:tcW w:w="1060" w:type="dxa"/>
            <w:tcBorders>
              <w:top w:val="nil"/>
              <w:left w:val="nil"/>
              <w:bottom w:val="nil"/>
              <w:right w:val="nil"/>
            </w:tcBorders>
            <w:shd w:val="clear" w:color="auto" w:fill="auto"/>
            <w:noWrap/>
            <w:vAlign w:val="bottom"/>
            <w:hideMark/>
          </w:tcPr>
          <w:p w14:paraId="4971605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0.2449</w:t>
            </w:r>
          </w:p>
        </w:tc>
        <w:tc>
          <w:tcPr>
            <w:tcW w:w="1060" w:type="dxa"/>
            <w:tcBorders>
              <w:top w:val="nil"/>
              <w:left w:val="nil"/>
              <w:bottom w:val="nil"/>
              <w:right w:val="nil"/>
            </w:tcBorders>
            <w:shd w:val="clear" w:color="auto" w:fill="auto"/>
            <w:noWrap/>
            <w:vAlign w:val="bottom"/>
            <w:hideMark/>
          </w:tcPr>
          <w:p w14:paraId="1D8AEFA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0.0816</w:t>
            </w:r>
          </w:p>
        </w:tc>
      </w:tr>
      <w:tr w:rsidR="001315F0" w:rsidRPr="001315F0" w14:paraId="0931F850" w14:textId="77777777" w:rsidTr="00DB64FA">
        <w:trPr>
          <w:trHeight w:val="312"/>
        </w:trPr>
        <w:tc>
          <w:tcPr>
            <w:tcW w:w="2500" w:type="dxa"/>
            <w:tcBorders>
              <w:top w:val="nil"/>
              <w:left w:val="nil"/>
              <w:bottom w:val="nil"/>
              <w:right w:val="nil"/>
            </w:tcBorders>
            <w:shd w:val="clear" w:color="auto" w:fill="auto"/>
            <w:noWrap/>
            <w:vAlign w:val="bottom"/>
            <w:hideMark/>
          </w:tcPr>
          <w:p w14:paraId="587B9B45"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19007950"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3c</w:t>
            </w:r>
          </w:p>
        </w:tc>
        <w:tc>
          <w:tcPr>
            <w:tcW w:w="1060" w:type="dxa"/>
            <w:tcBorders>
              <w:top w:val="nil"/>
              <w:left w:val="nil"/>
              <w:bottom w:val="nil"/>
              <w:right w:val="nil"/>
            </w:tcBorders>
            <w:shd w:val="clear" w:color="auto" w:fill="auto"/>
            <w:noWrap/>
            <w:vAlign w:val="bottom"/>
            <w:hideMark/>
          </w:tcPr>
          <w:p w14:paraId="423AC45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0.124</w:t>
            </w:r>
          </w:p>
        </w:tc>
        <w:tc>
          <w:tcPr>
            <w:tcW w:w="1060" w:type="dxa"/>
            <w:tcBorders>
              <w:top w:val="nil"/>
              <w:left w:val="nil"/>
              <w:bottom w:val="nil"/>
              <w:right w:val="nil"/>
            </w:tcBorders>
            <w:shd w:val="clear" w:color="auto" w:fill="auto"/>
            <w:noWrap/>
            <w:vAlign w:val="bottom"/>
            <w:hideMark/>
          </w:tcPr>
          <w:p w14:paraId="638ADBA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0.0178</w:t>
            </w:r>
          </w:p>
        </w:tc>
        <w:tc>
          <w:tcPr>
            <w:tcW w:w="1060" w:type="dxa"/>
            <w:tcBorders>
              <w:top w:val="nil"/>
              <w:left w:val="nil"/>
              <w:bottom w:val="nil"/>
              <w:right w:val="nil"/>
            </w:tcBorders>
            <w:shd w:val="clear" w:color="000000" w:fill="D9D9D9"/>
            <w:noWrap/>
            <w:vAlign w:val="bottom"/>
            <w:hideMark/>
          </w:tcPr>
          <w:p w14:paraId="6119694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0.8211</w:t>
            </w:r>
          </w:p>
        </w:tc>
        <w:tc>
          <w:tcPr>
            <w:tcW w:w="1060" w:type="dxa"/>
            <w:tcBorders>
              <w:top w:val="nil"/>
              <w:left w:val="nil"/>
              <w:bottom w:val="nil"/>
              <w:right w:val="nil"/>
            </w:tcBorders>
            <w:shd w:val="clear" w:color="auto" w:fill="auto"/>
            <w:noWrap/>
            <w:vAlign w:val="bottom"/>
            <w:hideMark/>
          </w:tcPr>
          <w:p w14:paraId="26E90AA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0.2747</w:t>
            </w:r>
          </w:p>
        </w:tc>
        <w:tc>
          <w:tcPr>
            <w:tcW w:w="1060" w:type="dxa"/>
            <w:tcBorders>
              <w:top w:val="nil"/>
              <w:left w:val="nil"/>
              <w:bottom w:val="nil"/>
              <w:right w:val="nil"/>
            </w:tcBorders>
            <w:shd w:val="clear" w:color="auto" w:fill="auto"/>
            <w:noWrap/>
            <w:vAlign w:val="bottom"/>
            <w:hideMark/>
          </w:tcPr>
          <w:p w14:paraId="5549BF0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0.124</w:t>
            </w:r>
          </w:p>
        </w:tc>
      </w:tr>
      <w:tr w:rsidR="001315F0" w:rsidRPr="001315F0" w14:paraId="1050AA16" w14:textId="77777777" w:rsidTr="00DB64FA">
        <w:trPr>
          <w:trHeight w:val="312"/>
        </w:trPr>
        <w:tc>
          <w:tcPr>
            <w:tcW w:w="2500" w:type="dxa"/>
            <w:tcBorders>
              <w:top w:val="nil"/>
              <w:left w:val="nil"/>
              <w:bottom w:val="nil"/>
              <w:right w:val="nil"/>
            </w:tcBorders>
            <w:shd w:val="clear" w:color="auto" w:fill="auto"/>
            <w:noWrap/>
            <w:vAlign w:val="bottom"/>
            <w:hideMark/>
          </w:tcPr>
          <w:p w14:paraId="5D0FD234"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42FFF71F"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4a</w:t>
            </w:r>
          </w:p>
        </w:tc>
        <w:tc>
          <w:tcPr>
            <w:tcW w:w="1060" w:type="dxa"/>
            <w:tcBorders>
              <w:top w:val="nil"/>
              <w:left w:val="nil"/>
              <w:bottom w:val="nil"/>
              <w:right w:val="nil"/>
            </w:tcBorders>
            <w:shd w:val="clear" w:color="auto" w:fill="auto"/>
            <w:noWrap/>
            <w:vAlign w:val="bottom"/>
            <w:hideMark/>
          </w:tcPr>
          <w:p w14:paraId="70B83F1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0.3695</w:t>
            </w:r>
          </w:p>
        </w:tc>
        <w:tc>
          <w:tcPr>
            <w:tcW w:w="1060" w:type="dxa"/>
            <w:tcBorders>
              <w:top w:val="nil"/>
              <w:left w:val="nil"/>
              <w:bottom w:val="nil"/>
              <w:right w:val="nil"/>
            </w:tcBorders>
            <w:shd w:val="clear" w:color="auto" w:fill="auto"/>
            <w:noWrap/>
            <w:vAlign w:val="bottom"/>
            <w:hideMark/>
          </w:tcPr>
          <w:p w14:paraId="675A607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-0.0332</w:t>
            </w:r>
          </w:p>
        </w:tc>
        <w:tc>
          <w:tcPr>
            <w:tcW w:w="1060" w:type="dxa"/>
            <w:tcBorders>
              <w:top w:val="nil"/>
              <w:left w:val="nil"/>
              <w:bottom w:val="nil"/>
              <w:right w:val="nil"/>
            </w:tcBorders>
            <w:shd w:val="clear" w:color="000000" w:fill="D9D9D9"/>
            <w:noWrap/>
            <w:vAlign w:val="bottom"/>
            <w:hideMark/>
          </w:tcPr>
          <w:p w14:paraId="1133140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0.8264</w:t>
            </w:r>
          </w:p>
        </w:tc>
        <w:tc>
          <w:tcPr>
            <w:tcW w:w="1060" w:type="dxa"/>
            <w:tcBorders>
              <w:top w:val="nil"/>
              <w:left w:val="nil"/>
              <w:bottom w:val="nil"/>
              <w:right w:val="nil"/>
            </w:tcBorders>
            <w:shd w:val="clear" w:color="auto" w:fill="auto"/>
            <w:noWrap/>
            <w:vAlign w:val="bottom"/>
            <w:hideMark/>
          </w:tcPr>
          <w:p w14:paraId="6F948B9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0.065</w:t>
            </w:r>
          </w:p>
        </w:tc>
        <w:tc>
          <w:tcPr>
            <w:tcW w:w="1060" w:type="dxa"/>
            <w:tcBorders>
              <w:top w:val="nil"/>
              <w:left w:val="nil"/>
              <w:bottom w:val="nil"/>
              <w:right w:val="nil"/>
            </w:tcBorders>
            <w:shd w:val="clear" w:color="auto" w:fill="auto"/>
            <w:noWrap/>
            <w:vAlign w:val="bottom"/>
            <w:hideMark/>
          </w:tcPr>
          <w:p w14:paraId="30BAFB8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0.011</w:t>
            </w:r>
          </w:p>
        </w:tc>
      </w:tr>
      <w:tr w:rsidR="001315F0" w:rsidRPr="001315F0" w14:paraId="05B1C8BF" w14:textId="77777777" w:rsidTr="00DB64FA">
        <w:trPr>
          <w:trHeight w:val="312"/>
        </w:trPr>
        <w:tc>
          <w:tcPr>
            <w:tcW w:w="2500" w:type="dxa"/>
            <w:tcBorders>
              <w:top w:val="nil"/>
              <w:left w:val="nil"/>
              <w:bottom w:val="nil"/>
              <w:right w:val="nil"/>
            </w:tcBorders>
            <w:shd w:val="clear" w:color="auto" w:fill="auto"/>
            <w:noWrap/>
            <w:vAlign w:val="bottom"/>
            <w:hideMark/>
          </w:tcPr>
          <w:p w14:paraId="0199D661"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05C1E630"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4b</w:t>
            </w:r>
          </w:p>
        </w:tc>
        <w:tc>
          <w:tcPr>
            <w:tcW w:w="1060" w:type="dxa"/>
            <w:tcBorders>
              <w:top w:val="nil"/>
              <w:left w:val="nil"/>
              <w:bottom w:val="nil"/>
              <w:right w:val="nil"/>
            </w:tcBorders>
            <w:shd w:val="clear" w:color="auto" w:fill="auto"/>
            <w:noWrap/>
            <w:vAlign w:val="bottom"/>
            <w:hideMark/>
          </w:tcPr>
          <w:p w14:paraId="7AA8739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0.3374</w:t>
            </w:r>
          </w:p>
        </w:tc>
        <w:tc>
          <w:tcPr>
            <w:tcW w:w="1060" w:type="dxa"/>
            <w:tcBorders>
              <w:top w:val="nil"/>
              <w:left w:val="nil"/>
              <w:bottom w:val="nil"/>
              <w:right w:val="nil"/>
            </w:tcBorders>
            <w:shd w:val="clear" w:color="auto" w:fill="auto"/>
            <w:noWrap/>
            <w:vAlign w:val="bottom"/>
            <w:hideMark/>
          </w:tcPr>
          <w:p w14:paraId="2B673704"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0.0091</w:t>
            </w:r>
          </w:p>
        </w:tc>
        <w:tc>
          <w:tcPr>
            <w:tcW w:w="1060" w:type="dxa"/>
            <w:tcBorders>
              <w:top w:val="nil"/>
              <w:left w:val="nil"/>
              <w:bottom w:val="nil"/>
              <w:right w:val="nil"/>
            </w:tcBorders>
            <w:shd w:val="clear" w:color="000000" w:fill="D9D9D9"/>
            <w:noWrap/>
            <w:vAlign w:val="bottom"/>
            <w:hideMark/>
          </w:tcPr>
          <w:p w14:paraId="31B64FD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0.8532</w:t>
            </w:r>
          </w:p>
        </w:tc>
        <w:tc>
          <w:tcPr>
            <w:tcW w:w="1060" w:type="dxa"/>
            <w:tcBorders>
              <w:top w:val="nil"/>
              <w:left w:val="nil"/>
              <w:bottom w:val="nil"/>
              <w:right w:val="nil"/>
            </w:tcBorders>
            <w:shd w:val="clear" w:color="auto" w:fill="auto"/>
            <w:noWrap/>
            <w:vAlign w:val="bottom"/>
            <w:hideMark/>
          </w:tcPr>
          <w:p w14:paraId="3A22F96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0.0926</w:t>
            </w:r>
          </w:p>
        </w:tc>
        <w:tc>
          <w:tcPr>
            <w:tcW w:w="1060" w:type="dxa"/>
            <w:tcBorders>
              <w:top w:val="nil"/>
              <w:left w:val="nil"/>
              <w:bottom w:val="nil"/>
              <w:right w:val="nil"/>
            </w:tcBorders>
            <w:shd w:val="clear" w:color="auto" w:fill="auto"/>
            <w:noWrap/>
            <w:vAlign w:val="bottom"/>
            <w:hideMark/>
          </w:tcPr>
          <w:p w14:paraId="6AC7952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0.0279</w:t>
            </w:r>
          </w:p>
        </w:tc>
      </w:tr>
      <w:tr w:rsidR="001315F0" w:rsidRPr="001315F0" w14:paraId="330A47F8" w14:textId="77777777" w:rsidTr="00DB64FA">
        <w:trPr>
          <w:trHeight w:val="312"/>
        </w:trPr>
        <w:tc>
          <w:tcPr>
            <w:tcW w:w="2500" w:type="dxa"/>
            <w:tcBorders>
              <w:top w:val="nil"/>
              <w:left w:val="nil"/>
              <w:bottom w:val="nil"/>
              <w:right w:val="nil"/>
            </w:tcBorders>
            <w:shd w:val="clear" w:color="auto" w:fill="auto"/>
            <w:noWrap/>
            <w:vAlign w:val="bottom"/>
            <w:hideMark/>
          </w:tcPr>
          <w:p w14:paraId="106EF745"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0C10C82B"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4c</w:t>
            </w:r>
          </w:p>
        </w:tc>
        <w:tc>
          <w:tcPr>
            <w:tcW w:w="1060" w:type="dxa"/>
            <w:tcBorders>
              <w:top w:val="nil"/>
              <w:left w:val="nil"/>
              <w:bottom w:val="nil"/>
              <w:right w:val="nil"/>
            </w:tcBorders>
            <w:shd w:val="clear" w:color="auto" w:fill="auto"/>
            <w:noWrap/>
            <w:vAlign w:val="bottom"/>
            <w:hideMark/>
          </w:tcPr>
          <w:p w14:paraId="7ADBD2A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0.2979</w:t>
            </w:r>
          </w:p>
        </w:tc>
        <w:tc>
          <w:tcPr>
            <w:tcW w:w="1060" w:type="dxa"/>
            <w:tcBorders>
              <w:top w:val="nil"/>
              <w:left w:val="nil"/>
              <w:bottom w:val="nil"/>
              <w:right w:val="nil"/>
            </w:tcBorders>
            <w:shd w:val="clear" w:color="auto" w:fill="auto"/>
            <w:noWrap/>
            <w:vAlign w:val="bottom"/>
            <w:hideMark/>
          </w:tcPr>
          <w:p w14:paraId="5E2CC02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0.1731</w:t>
            </w:r>
          </w:p>
        </w:tc>
        <w:tc>
          <w:tcPr>
            <w:tcW w:w="1060" w:type="dxa"/>
            <w:tcBorders>
              <w:top w:val="nil"/>
              <w:left w:val="nil"/>
              <w:bottom w:val="nil"/>
              <w:right w:val="nil"/>
            </w:tcBorders>
            <w:shd w:val="clear" w:color="000000" w:fill="D9D9D9"/>
            <w:noWrap/>
            <w:vAlign w:val="bottom"/>
            <w:hideMark/>
          </w:tcPr>
          <w:p w14:paraId="75D5A66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0.7381</w:t>
            </w:r>
          </w:p>
        </w:tc>
        <w:tc>
          <w:tcPr>
            <w:tcW w:w="1060" w:type="dxa"/>
            <w:tcBorders>
              <w:top w:val="nil"/>
              <w:left w:val="nil"/>
              <w:bottom w:val="nil"/>
              <w:right w:val="nil"/>
            </w:tcBorders>
            <w:shd w:val="clear" w:color="auto" w:fill="auto"/>
            <w:noWrap/>
            <w:vAlign w:val="bottom"/>
            <w:hideMark/>
          </w:tcPr>
          <w:p w14:paraId="205DF41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0.1067</w:t>
            </w:r>
          </w:p>
        </w:tc>
        <w:tc>
          <w:tcPr>
            <w:tcW w:w="1060" w:type="dxa"/>
            <w:tcBorders>
              <w:top w:val="nil"/>
              <w:left w:val="nil"/>
              <w:bottom w:val="nil"/>
              <w:right w:val="nil"/>
            </w:tcBorders>
            <w:shd w:val="clear" w:color="auto" w:fill="auto"/>
            <w:noWrap/>
            <w:vAlign w:val="bottom"/>
            <w:hideMark/>
          </w:tcPr>
          <w:p w14:paraId="4F6A109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0.1873</w:t>
            </w:r>
          </w:p>
        </w:tc>
      </w:tr>
      <w:tr w:rsidR="001315F0" w:rsidRPr="001315F0" w14:paraId="78055A77" w14:textId="77777777" w:rsidTr="00DB64FA">
        <w:trPr>
          <w:trHeight w:val="312"/>
        </w:trPr>
        <w:tc>
          <w:tcPr>
            <w:tcW w:w="2500" w:type="dxa"/>
            <w:tcBorders>
              <w:top w:val="nil"/>
              <w:left w:val="nil"/>
              <w:bottom w:val="nil"/>
              <w:right w:val="nil"/>
            </w:tcBorders>
            <w:shd w:val="clear" w:color="auto" w:fill="auto"/>
            <w:noWrap/>
            <w:vAlign w:val="bottom"/>
            <w:hideMark/>
          </w:tcPr>
          <w:p w14:paraId="2C77BEE6"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08E3542D"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5a</w:t>
            </w:r>
          </w:p>
        </w:tc>
        <w:tc>
          <w:tcPr>
            <w:tcW w:w="1060" w:type="dxa"/>
            <w:tcBorders>
              <w:top w:val="nil"/>
              <w:left w:val="nil"/>
              <w:bottom w:val="nil"/>
              <w:right w:val="nil"/>
            </w:tcBorders>
            <w:shd w:val="clear" w:color="000000" w:fill="D9D9D9"/>
            <w:noWrap/>
            <w:vAlign w:val="bottom"/>
            <w:hideMark/>
          </w:tcPr>
          <w:p w14:paraId="1420F4E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0.7999</w:t>
            </w:r>
          </w:p>
        </w:tc>
        <w:tc>
          <w:tcPr>
            <w:tcW w:w="1060" w:type="dxa"/>
            <w:tcBorders>
              <w:top w:val="nil"/>
              <w:left w:val="nil"/>
              <w:bottom w:val="nil"/>
              <w:right w:val="nil"/>
            </w:tcBorders>
            <w:shd w:val="clear" w:color="auto" w:fill="auto"/>
            <w:noWrap/>
            <w:vAlign w:val="bottom"/>
            <w:hideMark/>
          </w:tcPr>
          <w:p w14:paraId="4F60F2E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0.0293</w:t>
            </w:r>
          </w:p>
        </w:tc>
        <w:tc>
          <w:tcPr>
            <w:tcW w:w="1060" w:type="dxa"/>
            <w:tcBorders>
              <w:top w:val="nil"/>
              <w:left w:val="nil"/>
              <w:bottom w:val="nil"/>
              <w:right w:val="nil"/>
            </w:tcBorders>
            <w:shd w:val="clear" w:color="auto" w:fill="auto"/>
            <w:noWrap/>
            <w:vAlign w:val="bottom"/>
            <w:hideMark/>
          </w:tcPr>
          <w:p w14:paraId="55525FD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0.2815</w:t>
            </w:r>
          </w:p>
        </w:tc>
        <w:tc>
          <w:tcPr>
            <w:tcW w:w="1060" w:type="dxa"/>
            <w:tcBorders>
              <w:top w:val="nil"/>
              <w:left w:val="nil"/>
              <w:bottom w:val="nil"/>
              <w:right w:val="nil"/>
            </w:tcBorders>
            <w:shd w:val="clear" w:color="auto" w:fill="auto"/>
            <w:noWrap/>
            <w:vAlign w:val="bottom"/>
            <w:hideMark/>
          </w:tcPr>
          <w:p w14:paraId="54341E4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0.1013</w:t>
            </w:r>
          </w:p>
        </w:tc>
        <w:tc>
          <w:tcPr>
            <w:tcW w:w="1060" w:type="dxa"/>
            <w:tcBorders>
              <w:top w:val="nil"/>
              <w:left w:val="nil"/>
              <w:bottom w:val="nil"/>
              <w:right w:val="nil"/>
            </w:tcBorders>
            <w:shd w:val="clear" w:color="auto" w:fill="auto"/>
            <w:noWrap/>
            <w:vAlign w:val="bottom"/>
            <w:hideMark/>
          </w:tcPr>
          <w:p w14:paraId="6E7ACC87"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0.063</w:t>
            </w:r>
          </w:p>
        </w:tc>
      </w:tr>
      <w:tr w:rsidR="001315F0" w:rsidRPr="001315F0" w14:paraId="7FDA35E1" w14:textId="77777777" w:rsidTr="00DB64FA">
        <w:trPr>
          <w:trHeight w:val="312"/>
        </w:trPr>
        <w:tc>
          <w:tcPr>
            <w:tcW w:w="2500" w:type="dxa"/>
            <w:tcBorders>
              <w:top w:val="nil"/>
              <w:left w:val="nil"/>
              <w:bottom w:val="nil"/>
              <w:right w:val="nil"/>
            </w:tcBorders>
            <w:shd w:val="clear" w:color="auto" w:fill="auto"/>
            <w:noWrap/>
            <w:vAlign w:val="bottom"/>
            <w:hideMark/>
          </w:tcPr>
          <w:p w14:paraId="006C7827"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5C4A1974"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5b</w:t>
            </w:r>
          </w:p>
        </w:tc>
        <w:tc>
          <w:tcPr>
            <w:tcW w:w="1060" w:type="dxa"/>
            <w:tcBorders>
              <w:top w:val="nil"/>
              <w:left w:val="nil"/>
              <w:bottom w:val="nil"/>
              <w:right w:val="nil"/>
            </w:tcBorders>
            <w:shd w:val="clear" w:color="000000" w:fill="D9D9D9"/>
            <w:noWrap/>
            <w:vAlign w:val="bottom"/>
            <w:hideMark/>
          </w:tcPr>
          <w:p w14:paraId="21BF5434"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0.804</w:t>
            </w:r>
          </w:p>
        </w:tc>
        <w:tc>
          <w:tcPr>
            <w:tcW w:w="1060" w:type="dxa"/>
            <w:tcBorders>
              <w:top w:val="nil"/>
              <w:left w:val="nil"/>
              <w:bottom w:val="nil"/>
              <w:right w:val="nil"/>
            </w:tcBorders>
            <w:shd w:val="clear" w:color="auto" w:fill="auto"/>
            <w:noWrap/>
            <w:vAlign w:val="bottom"/>
            <w:hideMark/>
          </w:tcPr>
          <w:p w14:paraId="440E24C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0.0693</w:t>
            </w:r>
          </w:p>
        </w:tc>
        <w:tc>
          <w:tcPr>
            <w:tcW w:w="1060" w:type="dxa"/>
            <w:tcBorders>
              <w:top w:val="nil"/>
              <w:left w:val="nil"/>
              <w:bottom w:val="nil"/>
              <w:right w:val="nil"/>
            </w:tcBorders>
            <w:shd w:val="clear" w:color="auto" w:fill="auto"/>
            <w:noWrap/>
            <w:vAlign w:val="bottom"/>
            <w:hideMark/>
          </w:tcPr>
          <w:p w14:paraId="6DA5067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0.2647</w:t>
            </w:r>
          </w:p>
        </w:tc>
        <w:tc>
          <w:tcPr>
            <w:tcW w:w="1060" w:type="dxa"/>
            <w:tcBorders>
              <w:top w:val="nil"/>
              <w:left w:val="nil"/>
              <w:bottom w:val="nil"/>
              <w:right w:val="nil"/>
            </w:tcBorders>
            <w:shd w:val="clear" w:color="auto" w:fill="auto"/>
            <w:noWrap/>
            <w:vAlign w:val="bottom"/>
            <w:hideMark/>
          </w:tcPr>
          <w:p w14:paraId="6EF5AA7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0.1077</w:t>
            </w:r>
          </w:p>
        </w:tc>
        <w:tc>
          <w:tcPr>
            <w:tcW w:w="1060" w:type="dxa"/>
            <w:tcBorders>
              <w:top w:val="nil"/>
              <w:left w:val="nil"/>
              <w:bottom w:val="nil"/>
              <w:right w:val="nil"/>
            </w:tcBorders>
            <w:shd w:val="clear" w:color="auto" w:fill="auto"/>
            <w:noWrap/>
            <w:vAlign w:val="bottom"/>
            <w:hideMark/>
          </w:tcPr>
          <w:p w14:paraId="619A848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0.0816</w:t>
            </w:r>
          </w:p>
        </w:tc>
      </w:tr>
      <w:tr w:rsidR="001315F0" w:rsidRPr="001315F0" w14:paraId="622CDE74" w14:textId="77777777" w:rsidTr="00DB64FA">
        <w:trPr>
          <w:trHeight w:val="312"/>
        </w:trPr>
        <w:tc>
          <w:tcPr>
            <w:tcW w:w="2500" w:type="dxa"/>
            <w:tcBorders>
              <w:top w:val="nil"/>
              <w:left w:val="nil"/>
              <w:bottom w:val="nil"/>
              <w:right w:val="nil"/>
            </w:tcBorders>
            <w:shd w:val="clear" w:color="auto" w:fill="auto"/>
            <w:noWrap/>
            <w:vAlign w:val="bottom"/>
            <w:hideMark/>
          </w:tcPr>
          <w:p w14:paraId="715203F4"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26E945C"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5c</w:t>
            </w:r>
          </w:p>
        </w:tc>
        <w:tc>
          <w:tcPr>
            <w:tcW w:w="1060" w:type="dxa"/>
            <w:tcBorders>
              <w:top w:val="nil"/>
              <w:left w:val="nil"/>
              <w:bottom w:val="nil"/>
              <w:right w:val="nil"/>
            </w:tcBorders>
            <w:shd w:val="clear" w:color="000000" w:fill="D9D9D9"/>
            <w:noWrap/>
            <w:vAlign w:val="bottom"/>
            <w:hideMark/>
          </w:tcPr>
          <w:p w14:paraId="173E7CD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0.778</w:t>
            </w:r>
          </w:p>
        </w:tc>
        <w:tc>
          <w:tcPr>
            <w:tcW w:w="1060" w:type="dxa"/>
            <w:tcBorders>
              <w:top w:val="nil"/>
              <w:left w:val="nil"/>
              <w:bottom w:val="nil"/>
              <w:right w:val="nil"/>
            </w:tcBorders>
            <w:shd w:val="clear" w:color="auto" w:fill="auto"/>
            <w:noWrap/>
            <w:vAlign w:val="bottom"/>
            <w:hideMark/>
          </w:tcPr>
          <w:p w14:paraId="534821D7"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0.0482</w:t>
            </w:r>
          </w:p>
        </w:tc>
        <w:tc>
          <w:tcPr>
            <w:tcW w:w="1060" w:type="dxa"/>
            <w:tcBorders>
              <w:top w:val="nil"/>
              <w:left w:val="nil"/>
              <w:bottom w:val="nil"/>
              <w:right w:val="nil"/>
            </w:tcBorders>
            <w:shd w:val="clear" w:color="auto" w:fill="auto"/>
            <w:noWrap/>
            <w:vAlign w:val="bottom"/>
            <w:hideMark/>
          </w:tcPr>
          <w:p w14:paraId="114717D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0.3107</w:t>
            </w:r>
          </w:p>
        </w:tc>
        <w:tc>
          <w:tcPr>
            <w:tcW w:w="1060" w:type="dxa"/>
            <w:tcBorders>
              <w:top w:val="nil"/>
              <w:left w:val="nil"/>
              <w:bottom w:val="nil"/>
              <w:right w:val="nil"/>
            </w:tcBorders>
            <w:shd w:val="clear" w:color="auto" w:fill="auto"/>
            <w:noWrap/>
            <w:vAlign w:val="bottom"/>
            <w:hideMark/>
          </w:tcPr>
          <w:p w14:paraId="6F6B3C3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0.1182</w:t>
            </w:r>
          </w:p>
        </w:tc>
        <w:tc>
          <w:tcPr>
            <w:tcW w:w="1060" w:type="dxa"/>
            <w:tcBorders>
              <w:top w:val="nil"/>
              <w:left w:val="nil"/>
              <w:bottom w:val="nil"/>
              <w:right w:val="nil"/>
            </w:tcBorders>
            <w:shd w:val="clear" w:color="auto" w:fill="auto"/>
            <w:noWrap/>
            <w:vAlign w:val="bottom"/>
            <w:hideMark/>
          </w:tcPr>
          <w:p w14:paraId="7FF12BD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0.0382</w:t>
            </w:r>
          </w:p>
        </w:tc>
      </w:tr>
      <w:tr w:rsidR="001315F0" w:rsidRPr="001315F0" w14:paraId="2B0B91D2" w14:textId="77777777" w:rsidTr="00DB64FA">
        <w:trPr>
          <w:trHeight w:val="312"/>
        </w:trPr>
        <w:tc>
          <w:tcPr>
            <w:tcW w:w="2500" w:type="dxa"/>
            <w:tcBorders>
              <w:top w:val="nil"/>
              <w:left w:val="nil"/>
              <w:bottom w:val="nil"/>
              <w:right w:val="nil"/>
            </w:tcBorders>
            <w:shd w:val="clear" w:color="auto" w:fill="auto"/>
            <w:noWrap/>
            <w:vAlign w:val="bottom"/>
            <w:hideMark/>
          </w:tcPr>
          <w:p w14:paraId="6E5EFD40"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4D267CC8"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6a</w:t>
            </w:r>
          </w:p>
        </w:tc>
        <w:tc>
          <w:tcPr>
            <w:tcW w:w="1060" w:type="dxa"/>
            <w:tcBorders>
              <w:top w:val="nil"/>
              <w:left w:val="nil"/>
              <w:bottom w:val="nil"/>
              <w:right w:val="nil"/>
            </w:tcBorders>
            <w:shd w:val="clear" w:color="auto" w:fill="auto"/>
            <w:noWrap/>
            <w:vAlign w:val="bottom"/>
            <w:hideMark/>
          </w:tcPr>
          <w:p w14:paraId="588DDA4C"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-0.0934</w:t>
            </w:r>
          </w:p>
        </w:tc>
        <w:tc>
          <w:tcPr>
            <w:tcW w:w="1060" w:type="dxa"/>
            <w:tcBorders>
              <w:top w:val="nil"/>
              <w:left w:val="nil"/>
              <w:bottom w:val="nil"/>
              <w:right w:val="nil"/>
            </w:tcBorders>
            <w:shd w:val="clear" w:color="auto" w:fill="auto"/>
            <w:noWrap/>
            <w:vAlign w:val="bottom"/>
            <w:hideMark/>
          </w:tcPr>
          <w:p w14:paraId="54FC870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0.3149</w:t>
            </w:r>
          </w:p>
        </w:tc>
        <w:tc>
          <w:tcPr>
            <w:tcW w:w="1060" w:type="dxa"/>
            <w:tcBorders>
              <w:top w:val="nil"/>
              <w:left w:val="nil"/>
              <w:bottom w:val="nil"/>
              <w:right w:val="nil"/>
            </w:tcBorders>
            <w:shd w:val="clear" w:color="auto" w:fill="auto"/>
            <w:noWrap/>
            <w:vAlign w:val="bottom"/>
            <w:hideMark/>
          </w:tcPr>
          <w:p w14:paraId="76D5D7B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0.3288</w:t>
            </w:r>
          </w:p>
        </w:tc>
        <w:tc>
          <w:tcPr>
            <w:tcW w:w="1060" w:type="dxa"/>
            <w:tcBorders>
              <w:top w:val="nil"/>
              <w:left w:val="nil"/>
              <w:bottom w:val="nil"/>
              <w:right w:val="nil"/>
            </w:tcBorders>
            <w:shd w:val="clear" w:color="000000" w:fill="D9D9D9"/>
            <w:noWrap/>
            <w:vAlign w:val="bottom"/>
            <w:hideMark/>
          </w:tcPr>
          <w:p w14:paraId="04C140B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0.7159</w:t>
            </w:r>
          </w:p>
        </w:tc>
        <w:tc>
          <w:tcPr>
            <w:tcW w:w="1060" w:type="dxa"/>
            <w:tcBorders>
              <w:top w:val="nil"/>
              <w:left w:val="nil"/>
              <w:bottom w:val="nil"/>
              <w:right w:val="nil"/>
            </w:tcBorders>
            <w:shd w:val="clear" w:color="auto" w:fill="auto"/>
            <w:noWrap/>
            <w:vAlign w:val="bottom"/>
            <w:hideMark/>
          </w:tcPr>
          <w:p w14:paraId="04DCF0B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0.0911</w:t>
            </w:r>
          </w:p>
        </w:tc>
      </w:tr>
      <w:tr w:rsidR="001315F0" w:rsidRPr="001315F0" w14:paraId="29C4CDE0" w14:textId="77777777" w:rsidTr="00DB64FA">
        <w:trPr>
          <w:trHeight w:val="312"/>
        </w:trPr>
        <w:tc>
          <w:tcPr>
            <w:tcW w:w="2500" w:type="dxa"/>
            <w:tcBorders>
              <w:top w:val="nil"/>
              <w:left w:val="nil"/>
              <w:bottom w:val="nil"/>
              <w:right w:val="nil"/>
            </w:tcBorders>
            <w:shd w:val="clear" w:color="auto" w:fill="auto"/>
            <w:noWrap/>
            <w:vAlign w:val="bottom"/>
            <w:hideMark/>
          </w:tcPr>
          <w:p w14:paraId="75E5E9FF"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104ECB22"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6b</w:t>
            </w:r>
          </w:p>
        </w:tc>
        <w:tc>
          <w:tcPr>
            <w:tcW w:w="1060" w:type="dxa"/>
            <w:tcBorders>
              <w:top w:val="nil"/>
              <w:left w:val="nil"/>
              <w:bottom w:val="nil"/>
              <w:right w:val="nil"/>
            </w:tcBorders>
            <w:shd w:val="clear" w:color="auto" w:fill="auto"/>
            <w:noWrap/>
            <w:vAlign w:val="bottom"/>
            <w:hideMark/>
          </w:tcPr>
          <w:p w14:paraId="39D3959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-0.0934</w:t>
            </w:r>
          </w:p>
        </w:tc>
        <w:tc>
          <w:tcPr>
            <w:tcW w:w="1060" w:type="dxa"/>
            <w:tcBorders>
              <w:top w:val="nil"/>
              <w:left w:val="nil"/>
              <w:bottom w:val="nil"/>
              <w:right w:val="nil"/>
            </w:tcBorders>
            <w:shd w:val="clear" w:color="auto" w:fill="auto"/>
            <w:noWrap/>
            <w:vAlign w:val="bottom"/>
            <w:hideMark/>
          </w:tcPr>
          <w:p w14:paraId="051FA61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0.3149</w:t>
            </w:r>
          </w:p>
        </w:tc>
        <w:tc>
          <w:tcPr>
            <w:tcW w:w="1060" w:type="dxa"/>
            <w:tcBorders>
              <w:top w:val="nil"/>
              <w:left w:val="nil"/>
              <w:bottom w:val="nil"/>
              <w:right w:val="nil"/>
            </w:tcBorders>
            <w:shd w:val="clear" w:color="auto" w:fill="auto"/>
            <w:noWrap/>
            <w:vAlign w:val="bottom"/>
            <w:hideMark/>
          </w:tcPr>
          <w:p w14:paraId="2A32A19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0.3288</w:t>
            </w:r>
          </w:p>
        </w:tc>
        <w:tc>
          <w:tcPr>
            <w:tcW w:w="1060" w:type="dxa"/>
            <w:tcBorders>
              <w:top w:val="nil"/>
              <w:left w:val="nil"/>
              <w:bottom w:val="nil"/>
              <w:right w:val="nil"/>
            </w:tcBorders>
            <w:shd w:val="clear" w:color="000000" w:fill="D9D9D9"/>
            <w:noWrap/>
            <w:vAlign w:val="bottom"/>
            <w:hideMark/>
          </w:tcPr>
          <w:p w14:paraId="736DAEF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0.7159</w:t>
            </w:r>
          </w:p>
        </w:tc>
        <w:tc>
          <w:tcPr>
            <w:tcW w:w="1060" w:type="dxa"/>
            <w:tcBorders>
              <w:top w:val="nil"/>
              <w:left w:val="nil"/>
              <w:bottom w:val="nil"/>
              <w:right w:val="nil"/>
            </w:tcBorders>
            <w:shd w:val="clear" w:color="auto" w:fill="auto"/>
            <w:noWrap/>
            <w:vAlign w:val="bottom"/>
            <w:hideMark/>
          </w:tcPr>
          <w:p w14:paraId="51DD16E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0.0911</w:t>
            </w:r>
          </w:p>
        </w:tc>
      </w:tr>
      <w:tr w:rsidR="001315F0" w:rsidRPr="001315F0" w14:paraId="1945A4BC" w14:textId="77777777" w:rsidTr="00DB64FA">
        <w:trPr>
          <w:trHeight w:val="312"/>
        </w:trPr>
        <w:tc>
          <w:tcPr>
            <w:tcW w:w="2500" w:type="dxa"/>
            <w:tcBorders>
              <w:top w:val="nil"/>
              <w:left w:val="nil"/>
              <w:bottom w:val="nil"/>
              <w:right w:val="nil"/>
            </w:tcBorders>
            <w:shd w:val="clear" w:color="auto" w:fill="auto"/>
            <w:noWrap/>
            <w:vAlign w:val="bottom"/>
            <w:hideMark/>
          </w:tcPr>
          <w:p w14:paraId="7E1ACD0F"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6539AB9D"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6c</w:t>
            </w:r>
          </w:p>
        </w:tc>
        <w:tc>
          <w:tcPr>
            <w:tcW w:w="1060" w:type="dxa"/>
            <w:tcBorders>
              <w:top w:val="nil"/>
              <w:left w:val="nil"/>
              <w:bottom w:val="nil"/>
              <w:right w:val="nil"/>
            </w:tcBorders>
            <w:shd w:val="clear" w:color="auto" w:fill="auto"/>
            <w:noWrap/>
            <w:vAlign w:val="bottom"/>
            <w:hideMark/>
          </w:tcPr>
          <w:p w14:paraId="707986E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0.1234</w:t>
            </w:r>
          </w:p>
        </w:tc>
        <w:tc>
          <w:tcPr>
            <w:tcW w:w="1060" w:type="dxa"/>
            <w:tcBorders>
              <w:top w:val="nil"/>
              <w:left w:val="nil"/>
              <w:bottom w:val="nil"/>
              <w:right w:val="nil"/>
            </w:tcBorders>
            <w:shd w:val="clear" w:color="auto" w:fill="auto"/>
            <w:noWrap/>
            <w:vAlign w:val="bottom"/>
            <w:hideMark/>
          </w:tcPr>
          <w:p w14:paraId="0139B9E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0.4666</w:t>
            </w:r>
          </w:p>
        </w:tc>
        <w:tc>
          <w:tcPr>
            <w:tcW w:w="1060" w:type="dxa"/>
            <w:tcBorders>
              <w:top w:val="nil"/>
              <w:left w:val="nil"/>
              <w:bottom w:val="nil"/>
              <w:right w:val="nil"/>
            </w:tcBorders>
            <w:shd w:val="clear" w:color="auto" w:fill="auto"/>
            <w:noWrap/>
            <w:vAlign w:val="bottom"/>
            <w:hideMark/>
          </w:tcPr>
          <w:p w14:paraId="1E9D357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0.001</w:t>
            </w:r>
          </w:p>
        </w:tc>
        <w:tc>
          <w:tcPr>
            <w:tcW w:w="1060" w:type="dxa"/>
            <w:tcBorders>
              <w:top w:val="nil"/>
              <w:left w:val="nil"/>
              <w:bottom w:val="nil"/>
              <w:right w:val="nil"/>
            </w:tcBorders>
            <w:shd w:val="clear" w:color="000000" w:fill="D9D9D9"/>
            <w:noWrap/>
            <w:vAlign w:val="bottom"/>
            <w:hideMark/>
          </w:tcPr>
          <w:p w14:paraId="10192E0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0.5615</w:t>
            </w:r>
          </w:p>
        </w:tc>
        <w:tc>
          <w:tcPr>
            <w:tcW w:w="1060" w:type="dxa"/>
            <w:tcBorders>
              <w:top w:val="nil"/>
              <w:left w:val="nil"/>
              <w:bottom w:val="nil"/>
              <w:right w:val="nil"/>
            </w:tcBorders>
            <w:shd w:val="clear" w:color="auto" w:fill="auto"/>
            <w:noWrap/>
            <w:vAlign w:val="bottom"/>
            <w:hideMark/>
          </w:tcPr>
          <w:p w14:paraId="3107F4C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0.1417</w:t>
            </w:r>
          </w:p>
        </w:tc>
      </w:tr>
      <w:tr w:rsidR="001315F0" w:rsidRPr="001315F0" w14:paraId="6E9A7B46" w14:textId="77777777" w:rsidTr="00DB64FA">
        <w:trPr>
          <w:trHeight w:val="312"/>
        </w:trPr>
        <w:tc>
          <w:tcPr>
            <w:tcW w:w="2500" w:type="dxa"/>
            <w:tcBorders>
              <w:top w:val="nil"/>
              <w:left w:val="nil"/>
              <w:bottom w:val="nil"/>
              <w:right w:val="nil"/>
            </w:tcBorders>
            <w:shd w:val="clear" w:color="auto" w:fill="auto"/>
            <w:noWrap/>
            <w:vAlign w:val="bottom"/>
            <w:hideMark/>
          </w:tcPr>
          <w:p w14:paraId="1FCD91DC"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2C6160AE"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7a</w:t>
            </w:r>
          </w:p>
        </w:tc>
        <w:tc>
          <w:tcPr>
            <w:tcW w:w="1060" w:type="dxa"/>
            <w:tcBorders>
              <w:top w:val="nil"/>
              <w:left w:val="nil"/>
              <w:bottom w:val="nil"/>
              <w:right w:val="nil"/>
            </w:tcBorders>
            <w:shd w:val="clear" w:color="auto" w:fill="auto"/>
            <w:noWrap/>
            <w:vAlign w:val="bottom"/>
            <w:hideMark/>
          </w:tcPr>
          <w:p w14:paraId="2EC6B47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0.4724</w:t>
            </w:r>
          </w:p>
        </w:tc>
        <w:tc>
          <w:tcPr>
            <w:tcW w:w="1060" w:type="dxa"/>
            <w:tcBorders>
              <w:top w:val="nil"/>
              <w:left w:val="nil"/>
              <w:bottom w:val="nil"/>
              <w:right w:val="nil"/>
            </w:tcBorders>
            <w:shd w:val="clear" w:color="auto" w:fill="auto"/>
            <w:noWrap/>
            <w:vAlign w:val="bottom"/>
            <w:hideMark/>
          </w:tcPr>
          <w:p w14:paraId="1804F7E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-0.0662</w:t>
            </w:r>
          </w:p>
        </w:tc>
        <w:tc>
          <w:tcPr>
            <w:tcW w:w="1060" w:type="dxa"/>
            <w:tcBorders>
              <w:top w:val="nil"/>
              <w:left w:val="nil"/>
              <w:bottom w:val="nil"/>
              <w:right w:val="nil"/>
            </w:tcBorders>
            <w:shd w:val="clear" w:color="auto" w:fill="auto"/>
            <w:noWrap/>
            <w:vAlign w:val="bottom"/>
            <w:hideMark/>
          </w:tcPr>
          <w:p w14:paraId="11A6440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0.1141</w:t>
            </w:r>
          </w:p>
        </w:tc>
        <w:tc>
          <w:tcPr>
            <w:tcW w:w="1060" w:type="dxa"/>
            <w:tcBorders>
              <w:top w:val="nil"/>
              <w:left w:val="nil"/>
              <w:bottom w:val="nil"/>
              <w:right w:val="nil"/>
            </w:tcBorders>
            <w:shd w:val="clear" w:color="000000" w:fill="D9D9D9"/>
            <w:noWrap/>
            <w:vAlign w:val="bottom"/>
            <w:hideMark/>
          </w:tcPr>
          <w:p w14:paraId="328B7A3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0.6194</w:t>
            </w:r>
          </w:p>
        </w:tc>
        <w:tc>
          <w:tcPr>
            <w:tcW w:w="1060" w:type="dxa"/>
            <w:tcBorders>
              <w:top w:val="nil"/>
              <w:left w:val="nil"/>
              <w:bottom w:val="nil"/>
              <w:right w:val="nil"/>
            </w:tcBorders>
            <w:shd w:val="clear" w:color="auto" w:fill="auto"/>
            <w:noWrap/>
            <w:vAlign w:val="bottom"/>
            <w:hideMark/>
          </w:tcPr>
          <w:p w14:paraId="2BDD949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0.2089</w:t>
            </w:r>
          </w:p>
        </w:tc>
      </w:tr>
      <w:tr w:rsidR="001315F0" w:rsidRPr="001315F0" w14:paraId="25D7424C" w14:textId="77777777" w:rsidTr="00DB64FA">
        <w:trPr>
          <w:trHeight w:val="312"/>
        </w:trPr>
        <w:tc>
          <w:tcPr>
            <w:tcW w:w="2500" w:type="dxa"/>
            <w:tcBorders>
              <w:top w:val="nil"/>
              <w:left w:val="nil"/>
              <w:bottom w:val="nil"/>
              <w:right w:val="nil"/>
            </w:tcBorders>
            <w:shd w:val="clear" w:color="auto" w:fill="auto"/>
            <w:noWrap/>
            <w:vAlign w:val="bottom"/>
            <w:hideMark/>
          </w:tcPr>
          <w:p w14:paraId="37780BC7"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13689D59"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7b</w:t>
            </w:r>
          </w:p>
        </w:tc>
        <w:tc>
          <w:tcPr>
            <w:tcW w:w="1060" w:type="dxa"/>
            <w:tcBorders>
              <w:top w:val="nil"/>
              <w:left w:val="nil"/>
              <w:bottom w:val="nil"/>
              <w:right w:val="nil"/>
            </w:tcBorders>
            <w:shd w:val="clear" w:color="auto" w:fill="auto"/>
            <w:noWrap/>
            <w:vAlign w:val="bottom"/>
            <w:hideMark/>
          </w:tcPr>
          <w:p w14:paraId="2F6920D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0.4724</w:t>
            </w:r>
          </w:p>
        </w:tc>
        <w:tc>
          <w:tcPr>
            <w:tcW w:w="1060" w:type="dxa"/>
            <w:tcBorders>
              <w:top w:val="nil"/>
              <w:left w:val="nil"/>
              <w:bottom w:val="nil"/>
              <w:right w:val="nil"/>
            </w:tcBorders>
            <w:shd w:val="clear" w:color="auto" w:fill="auto"/>
            <w:noWrap/>
            <w:vAlign w:val="bottom"/>
            <w:hideMark/>
          </w:tcPr>
          <w:p w14:paraId="6F1CE8A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-0.0662</w:t>
            </w:r>
          </w:p>
        </w:tc>
        <w:tc>
          <w:tcPr>
            <w:tcW w:w="1060" w:type="dxa"/>
            <w:tcBorders>
              <w:top w:val="nil"/>
              <w:left w:val="nil"/>
              <w:bottom w:val="nil"/>
              <w:right w:val="nil"/>
            </w:tcBorders>
            <w:shd w:val="clear" w:color="auto" w:fill="auto"/>
            <w:noWrap/>
            <w:vAlign w:val="bottom"/>
            <w:hideMark/>
          </w:tcPr>
          <w:p w14:paraId="43177DF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0.1141</w:t>
            </w:r>
          </w:p>
        </w:tc>
        <w:tc>
          <w:tcPr>
            <w:tcW w:w="1060" w:type="dxa"/>
            <w:tcBorders>
              <w:top w:val="nil"/>
              <w:left w:val="nil"/>
              <w:bottom w:val="nil"/>
              <w:right w:val="nil"/>
            </w:tcBorders>
            <w:shd w:val="clear" w:color="000000" w:fill="D9D9D9"/>
            <w:noWrap/>
            <w:vAlign w:val="bottom"/>
            <w:hideMark/>
          </w:tcPr>
          <w:p w14:paraId="7747E78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0.6194</w:t>
            </w:r>
          </w:p>
        </w:tc>
        <w:tc>
          <w:tcPr>
            <w:tcW w:w="1060" w:type="dxa"/>
            <w:tcBorders>
              <w:top w:val="nil"/>
              <w:left w:val="nil"/>
              <w:bottom w:val="nil"/>
              <w:right w:val="nil"/>
            </w:tcBorders>
            <w:shd w:val="clear" w:color="auto" w:fill="auto"/>
            <w:noWrap/>
            <w:vAlign w:val="bottom"/>
            <w:hideMark/>
          </w:tcPr>
          <w:p w14:paraId="1C8B44B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0.2089</w:t>
            </w:r>
          </w:p>
        </w:tc>
      </w:tr>
      <w:tr w:rsidR="001315F0" w:rsidRPr="001315F0" w14:paraId="0BE69676" w14:textId="77777777" w:rsidTr="00DB64FA">
        <w:trPr>
          <w:trHeight w:val="312"/>
        </w:trPr>
        <w:tc>
          <w:tcPr>
            <w:tcW w:w="2500" w:type="dxa"/>
            <w:tcBorders>
              <w:top w:val="nil"/>
              <w:left w:val="nil"/>
              <w:bottom w:val="nil"/>
              <w:right w:val="nil"/>
            </w:tcBorders>
            <w:shd w:val="clear" w:color="auto" w:fill="auto"/>
            <w:noWrap/>
            <w:vAlign w:val="bottom"/>
            <w:hideMark/>
          </w:tcPr>
          <w:p w14:paraId="4E172B16"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69DCBDC9"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7c</w:t>
            </w:r>
          </w:p>
        </w:tc>
        <w:tc>
          <w:tcPr>
            <w:tcW w:w="1060" w:type="dxa"/>
            <w:tcBorders>
              <w:top w:val="nil"/>
              <w:left w:val="nil"/>
              <w:bottom w:val="nil"/>
              <w:right w:val="nil"/>
            </w:tcBorders>
            <w:shd w:val="clear" w:color="auto" w:fill="auto"/>
            <w:noWrap/>
            <w:vAlign w:val="bottom"/>
            <w:hideMark/>
          </w:tcPr>
          <w:p w14:paraId="5469BD3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0.492</w:t>
            </w:r>
          </w:p>
        </w:tc>
        <w:tc>
          <w:tcPr>
            <w:tcW w:w="1060" w:type="dxa"/>
            <w:tcBorders>
              <w:top w:val="nil"/>
              <w:left w:val="nil"/>
              <w:bottom w:val="nil"/>
              <w:right w:val="nil"/>
            </w:tcBorders>
            <w:shd w:val="clear" w:color="auto" w:fill="auto"/>
            <w:noWrap/>
            <w:vAlign w:val="bottom"/>
            <w:hideMark/>
          </w:tcPr>
          <w:p w14:paraId="778C776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-0.0735</w:t>
            </w:r>
          </w:p>
        </w:tc>
        <w:tc>
          <w:tcPr>
            <w:tcW w:w="1060" w:type="dxa"/>
            <w:tcBorders>
              <w:top w:val="nil"/>
              <w:left w:val="nil"/>
              <w:bottom w:val="nil"/>
              <w:right w:val="nil"/>
            </w:tcBorders>
            <w:shd w:val="clear" w:color="auto" w:fill="auto"/>
            <w:noWrap/>
            <w:vAlign w:val="bottom"/>
            <w:hideMark/>
          </w:tcPr>
          <w:p w14:paraId="62CD08B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0.097</w:t>
            </w:r>
          </w:p>
        </w:tc>
        <w:tc>
          <w:tcPr>
            <w:tcW w:w="1060" w:type="dxa"/>
            <w:tcBorders>
              <w:top w:val="nil"/>
              <w:left w:val="nil"/>
              <w:bottom w:val="nil"/>
              <w:right w:val="nil"/>
            </w:tcBorders>
            <w:shd w:val="clear" w:color="000000" w:fill="D9D9D9"/>
            <w:noWrap/>
            <w:vAlign w:val="bottom"/>
            <w:hideMark/>
          </w:tcPr>
          <w:p w14:paraId="6ED39F0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0.6162</w:t>
            </w:r>
          </w:p>
        </w:tc>
        <w:tc>
          <w:tcPr>
            <w:tcW w:w="1060" w:type="dxa"/>
            <w:tcBorders>
              <w:top w:val="nil"/>
              <w:left w:val="nil"/>
              <w:bottom w:val="nil"/>
              <w:right w:val="nil"/>
            </w:tcBorders>
            <w:shd w:val="clear" w:color="auto" w:fill="auto"/>
            <w:noWrap/>
            <w:vAlign w:val="bottom"/>
            <w:hideMark/>
          </w:tcPr>
          <w:p w14:paraId="4789C8B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0.1947</w:t>
            </w:r>
          </w:p>
        </w:tc>
      </w:tr>
      <w:tr w:rsidR="001315F0" w:rsidRPr="001315F0" w14:paraId="418B2853" w14:textId="77777777" w:rsidTr="00DB64FA">
        <w:trPr>
          <w:trHeight w:val="312"/>
        </w:trPr>
        <w:tc>
          <w:tcPr>
            <w:tcW w:w="2500" w:type="dxa"/>
            <w:tcBorders>
              <w:top w:val="nil"/>
              <w:left w:val="nil"/>
              <w:bottom w:val="nil"/>
              <w:right w:val="nil"/>
            </w:tcBorders>
            <w:shd w:val="clear" w:color="auto" w:fill="auto"/>
            <w:noWrap/>
            <w:vAlign w:val="bottom"/>
            <w:hideMark/>
          </w:tcPr>
          <w:p w14:paraId="2826EF41"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8B567E7"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8a</w:t>
            </w:r>
          </w:p>
        </w:tc>
        <w:tc>
          <w:tcPr>
            <w:tcW w:w="1060" w:type="dxa"/>
            <w:tcBorders>
              <w:top w:val="nil"/>
              <w:left w:val="nil"/>
              <w:bottom w:val="nil"/>
              <w:right w:val="nil"/>
            </w:tcBorders>
            <w:shd w:val="clear" w:color="auto" w:fill="auto"/>
            <w:noWrap/>
            <w:vAlign w:val="bottom"/>
            <w:hideMark/>
          </w:tcPr>
          <w:p w14:paraId="625FFA3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0.1258</w:t>
            </w:r>
          </w:p>
        </w:tc>
        <w:tc>
          <w:tcPr>
            <w:tcW w:w="1060" w:type="dxa"/>
            <w:tcBorders>
              <w:top w:val="nil"/>
              <w:left w:val="nil"/>
              <w:bottom w:val="nil"/>
              <w:right w:val="nil"/>
            </w:tcBorders>
            <w:shd w:val="clear" w:color="000000" w:fill="D9D9D9"/>
            <w:noWrap/>
            <w:vAlign w:val="bottom"/>
            <w:hideMark/>
          </w:tcPr>
          <w:p w14:paraId="170EB5AC"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0.7817</w:t>
            </w:r>
          </w:p>
        </w:tc>
        <w:tc>
          <w:tcPr>
            <w:tcW w:w="1060" w:type="dxa"/>
            <w:tcBorders>
              <w:top w:val="nil"/>
              <w:left w:val="nil"/>
              <w:bottom w:val="nil"/>
              <w:right w:val="nil"/>
            </w:tcBorders>
            <w:shd w:val="clear" w:color="auto" w:fill="auto"/>
            <w:noWrap/>
            <w:vAlign w:val="bottom"/>
            <w:hideMark/>
          </w:tcPr>
          <w:p w14:paraId="2A5C48F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0.0573</w:t>
            </w:r>
          </w:p>
        </w:tc>
        <w:tc>
          <w:tcPr>
            <w:tcW w:w="1060" w:type="dxa"/>
            <w:tcBorders>
              <w:top w:val="nil"/>
              <w:left w:val="nil"/>
              <w:bottom w:val="nil"/>
              <w:right w:val="nil"/>
            </w:tcBorders>
            <w:shd w:val="clear" w:color="auto" w:fill="auto"/>
            <w:noWrap/>
            <w:vAlign w:val="bottom"/>
            <w:hideMark/>
          </w:tcPr>
          <w:p w14:paraId="316848D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0.0375</w:t>
            </w:r>
          </w:p>
        </w:tc>
        <w:tc>
          <w:tcPr>
            <w:tcW w:w="1060" w:type="dxa"/>
            <w:tcBorders>
              <w:top w:val="nil"/>
              <w:left w:val="nil"/>
              <w:bottom w:val="nil"/>
              <w:right w:val="nil"/>
            </w:tcBorders>
            <w:shd w:val="clear" w:color="auto" w:fill="auto"/>
            <w:noWrap/>
            <w:vAlign w:val="bottom"/>
            <w:hideMark/>
          </w:tcPr>
          <w:p w14:paraId="08BFCF94"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0.0321</w:t>
            </w:r>
          </w:p>
        </w:tc>
      </w:tr>
      <w:tr w:rsidR="001315F0" w:rsidRPr="001315F0" w14:paraId="68F514E2" w14:textId="77777777" w:rsidTr="00DB64FA">
        <w:trPr>
          <w:trHeight w:val="312"/>
        </w:trPr>
        <w:tc>
          <w:tcPr>
            <w:tcW w:w="2500" w:type="dxa"/>
            <w:tcBorders>
              <w:top w:val="nil"/>
              <w:left w:val="nil"/>
              <w:bottom w:val="nil"/>
              <w:right w:val="nil"/>
            </w:tcBorders>
            <w:shd w:val="clear" w:color="auto" w:fill="auto"/>
            <w:noWrap/>
            <w:vAlign w:val="bottom"/>
            <w:hideMark/>
          </w:tcPr>
          <w:p w14:paraId="1296BD8A"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3BF21240"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8b</w:t>
            </w:r>
          </w:p>
        </w:tc>
        <w:tc>
          <w:tcPr>
            <w:tcW w:w="1060" w:type="dxa"/>
            <w:tcBorders>
              <w:top w:val="nil"/>
              <w:left w:val="nil"/>
              <w:bottom w:val="nil"/>
              <w:right w:val="nil"/>
            </w:tcBorders>
            <w:shd w:val="clear" w:color="auto" w:fill="auto"/>
            <w:noWrap/>
            <w:vAlign w:val="bottom"/>
            <w:hideMark/>
          </w:tcPr>
          <w:p w14:paraId="50B30727"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0.1258</w:t>
            </w:r>
          </w:p>
        </w:tc>
        <w:tc>
          <w:tcPr>
            <w:tcW w:w="1060" w:type="dxa"/>
            <w:tcBorders>
              <w:top w:val="nil"/>
              <w:left w:val="nil"/>
              <w:bottom w:val="nil"/>
              <w:right w:val="nil"/>
            </w:tcBorders>
            <w:shd w:val="clear" w:color="000000" w:fill="D9D9D9"/>
            <w:noWrap/>
            <w:vAlign w:val="bottom"/>
            <w:hideMark/>
          </w:tcPr>
          <w:p w14:paraId="7F263E34"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0.7817</w:t>
            </w:r>
          </w:p>
        </w:tc>
        <w:tc>
          <w:tcPr>
            <w:tcW w:w="1060" w:type="dxa"/>
            <w:tcBorders>
              <w:top w:val="nil"/>
              <w:left w:val="nil"/>
              <w:bottom w:val="nil"/>
              <w:right w:val="nil"/>
            </w:tcBorders>
            <w:shd w:val="clear" w:color="auto" w:fill="auto"/>
            <w:noWrap/>
            <w:vAlign w:val="bottom"/>
            <w:hideMark/>
          </w:tcPr>
          <w:p w14:paraId="792D455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0.0573</w:t>
            </w:r>
          </w:p>
        </w:tc>
        <w:tc>
          <w:tcPr>
            <w:tcW w:w="1060" w:type="dxa"/>
            <w:tcBorders>
              <w:top w:val="nil"/>
              <w:left w:val="nil"/>
              <w:bottom w:val="nil"/>
              <w:right w:val="nil"/>
            </w:tcBorders>
            <w:shd w:val="clear" w:color="auto" w:fill="auto"/>
            <w:noWrap/>
            <w:vAlign w:val="bottom"/>
            <w:hideMark/>
          </w:tcPr>
          <w:p w14:paraId="58C98BD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0.0375</w:t>
            </w:r>
          </w:p>
        </w:tc>
        <w:tc>
          <w:tcPr>
            <w:tcW w:w="1060" w:type="dxa"/>
            <w:tcBorders>
              <w:top w:val="nil"/>
              <w:left w:val="nil"/>
              <w:bottom w:val="nil"/>
              <w:right w:val="nil"/>
            </w:tcBorders>
            <w:shd w:val="clear" w:color="auto" w:fill="auto"/>
            <w:noWrap/>
            <w:vAlign w:val="bottom"/>
            <w:hideMark/>
          </w:tcPr>
          <w:p w14:paraId="4706BFB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0.0321</w:t>
            </w:r>
          </w:p>
        </w:tc>
      </w:tr>
      <w:tr w:rsidR="001315F0" w:rsidRPr="001315F0" w14:paraId="7C0B337E" w14:textId="77777777" w:rsidTr="00DB64FA">
        <w:trPr>
          <w:trHeight w:val="312"/>
        </w:trPr>
        <w:tc>
          <w:tcPr>
            <w:tcW w:w="2500" w:type="dxa"/>
            <w:tcBorders>
              <w:top w:val="nil"/>
              <w:left w:val="nil"/>
              <w:bottom w:val="nil"/>
              <w:right w:val="nil"/>
            </w:tcBorders>
            <w:shd w:val="clear" w:color="auto" w:fill="auto"/>
            <w:noWrap/>
            <w:vAlign w:val="bottom"/>
            <w:hideMark/>
          </w:tcPr>
          <w:p w14:paraId="1D2F20A8"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34049EDB"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8c</w:t>
            </w:r>
          </w:p>
        </w:tc>
        <w:tc>
          <w:tcPr>
            <w:tcW w:w="1060" w:type="dxa"/>
            <w:tcBorders>
              <w:top w:val="nil"/>
              <w:left w:val="nil"/>
              <w:bottom w:val="nil"/>
              <w:right w:val="nil"/>
            </w:tcBorders>
            <w:shd w:val="clear" w:color="auto" w:fill="auto"/>
            <w:noWrap/>
            <w:vAlign w:val="bottom"/>
            <w:hideMark/>
          </w:tcPr>
          <w:p w14:paraId="304EF88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-0.0219</w:t>
            </w:r>
          </w:p>
        </w:tc>
        <w:tc>
          <w:tcPr>
            <w:tcW w:w="1060" w:type="dxa"/>
            <w:tcBorders>
              <w:top w:val="nil"/>
              <w:left w:val="nil"/>
              <w:bottom w:val="nil"/>
              <w:right w:val="nil"/>
            </w:tcBorders>
            <w:shd w:val="clear" w:color="000000" w:fill="D9D9D9"/>
            <w:noWrap/>
            <w:vAlign w:val="bottom"/>
            <w:hideMark/>
          </w:tcPr>
          <w:p w14:paraId="60A0F2A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0.7047</w:t>
            </w:r>
          </w:p>
        </w:tc>
        <w:tc>
          <w:tcPr>
            <w:tcW w:w="1060" w:type="dxa"/>
            <w:tcBorders>
              <w:top w:val="nil"/>
              <w:left w:val="nil"/>
              <w:bottom w:val="nil"/>
              <w:right w:val="nil"/>
            </w:tcBorders>
            <w:shd w:val="clear" w:color="auto" w:fill="auto"/>
            <w:noWrap/>
            <w:vAlign w:val="bottom"/>
            <w:hideMark/>
          </w:tcPr>
          <w:p w14:paraId="198A304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-0.131</w:t>
            </w:r>
          </w:p>
        </w:tc>
        <w:tc>
          <w:tcPr>
            <w:tcW w:w="1060" w:type="dxa"/>
            <w:tcBorders>
              <w:top w:val="nil"/>
              <w:left w:val="nil"/>
              <w:bottom w:val="nil"/>
              <w:right w:val="nil"/>
            </w:tcBorders>
            <w:shd w:val="clear" w:color="auto" w:fill="auto"/>
            <w:noWrap/>
            <w:vAlign w:val="bottom"/>
            <w:hideMark/>
          </w:tcPr>
          <w:p w14:paraId="656A3F4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0.037</w:t>
            </w:r>
          </w:p>
        </w:tc>
        <w:tc>
          <w:tcPr>
            <w:tcW w:w="1060" w:type="dxa"/>
            <w:tcBorders>
              <w:top w:val="nil"/>
              <w:left w:val="nil"/>
              <w:bottom w:val="nil"/>
              <w:right w:val="nil"/>
            </w:tcBorders>
            <w:shd w:val="clear" w:color="auto" w:fill="auto"/>
            <w:noWrap/>
            <w:vAlign w:val="bottom"/>
            <w:hideMark/>
          </w:tcPr>
          <w:p w14:paraId="380A3E77"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0.1222</w:t>
            </w:r>
          </w:p>
        </w:tc>
      </w:tr>
      <w:tr w:rsidR="001315F0" w:rsidRPr="001315F0" w14:paraId="02963B26" w14:textId="77777777" w:rsidTr="00DB64FA">
        <w:trPr>
          <w:trHeight w:val="312"/>
        </w:trPr>
        <w:tc>
          <w:tcPr>
            <w:tcW w:w="2500" w:type="dxa"/>
            <w:tcBorders>
              <w:top w:val="nil"/>
              <w:left w:val="nil"/>
              <w:bottom w:val="nil"/>
              <w:right w:val="nil"/>
            </w:tcBorders>
            <w:shd w:val="clear" w:color="auto" w:fill="auto"/>
            <w:noWrap/>
            <w:vAlign w:val="bottom"/>
            <w:hideMark/>
          </w:tcPr>
          <w:p w14:paraId="54C367ED"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6776D260"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9a</w:t>
            </w:r>
          </w:p>
        </w:tc>
        <w:tc>
          <w:tcPr>
            <w:tcW w:w="1060" w:type="dxa"/>
            <w:tcBorders>
              <w:top w:val="nil"/>
              <w:left w:val="nil"/>
              <w:bottom w:val="nil"/>
              <w:right w:val="nil"/>
            </w:tcBorders>
            <w:shd w:val="clear" w:color="auto" w:fill="auto"/>
            <w:noWrap/>
            <w:vAlign w:val="bottom"/>
            <w:hideMark/>
          </w:tcPr>
          <w:p w14:paraId="5471A09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0.4148</w:t>
            </w:r>
          </w:p>
        </w:tc>
        <w:tc>
          <w:tcPr>
            <w:tcW w:w="1060" w:type="dxa"/>
            <w:tcBorders>
              <w:top w:val="nil"/>
              <w:left w:val="nil"/>
              <w:bottom w:val="nil"/>
              <w:right w:val="nil"/>
            </w:tcBorders>
            <w:shd w:val="clear" w:color="auto" w:fill="auto"/>
            <w:noWrap/>
            <w:vAlign w:val="bottom"/>
            <w:hideMark/>
          </w:tcPr>
          <w:p w14:paraId="26299F8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-0.0483</w:t>
            </w:r>
          </w:p>
        </w:tc>
        <w:tc>
          <w:tcPr>
            <w:tcW w:w="1060" w:type="dxa"/>
            <w:tcBorders>
              <w:top w:val="nil"/>
              <w:left w:val="nil"/>
              <w:bottom w:val="nil"/>
              <w:right w:val="nil"/>
            </w:tcBorders>
            <w:shd w:val="clear" w:color="auto" w:fill="auto"/>
            <w:noWrap/>
            <w:vAlign w:val="bottom"/>
            <w:hideMark/>
          </w:tcPr>
          <w:p w14:paraId="25DA21D7"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0.2732</w:t>
            </w:r>
          </w:p>
        </w:tc>
        <w:tc>
          <w:tcPr>
            <w:tcW w:w="1060" w:type="dxa"/>
            <w:tcBorders>
              <w:top w:val="nil"/>
              <w:left w:val="nil"/>
              <w:bottom w:val="nil"/>
              <w:right w:val="nil"/>
            </w:tcBorders>
            <w:shd w:val="clear" w:color="000000" w:fill="D9D9D9"/>
            <w:noWrap/>
            <w:vAlign w:val="bottom"/>
            <w:hideMark/>
          </w:tcPr>
          <w:p w14:paraId="3C50EB2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0.5798</w:t>
            </w:r>
          </w:p>
        </w:tc>
        <w:tc>
          <w:tcPr>
            <w:tcW w:w="1060" w:type="dxa"/>
            <w:tcBorders>
              <w:top w:val="nil"/>
              <w:left w:val="nil"/>
              <w:bottom w:val="nil"/>
              <w:right w:val="nil"/>
            </w:tcBorders>
            <w:shd w:val="clear" w:color="auto" w:fill="auto"/>
            <w:noWrap/>
            <w:vAlign w:val="bottom"/>
            <w:hideMark/>
          </w:tcPr>
          <w:p w14:paraId="0759296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0.2667</w:t>
            </w:r>
          </w:p>
        </w:tc>
      </w:tr>
      <w:tr w:rsidR="001315F0" w:rsidRPr="001315F0" w14:paraId="09842D71" w14:textId="77777777" w:rsidTr="00DB64FA">
        <w:trPr>
          <w:trHeight w:val="312"/>
        </w:trPr>
        <w:tc>
          <w:tcPr>
            <w:tcW w:w="2500" w:type="dxa"/>
            <w:tcBorders>
              <w:top w:val="nil"/>
              <w:left w:val="nil"/>
              <w:bottom w:val="nil"/>
              <w:right w:val="nil"/>
            </w:tcBorders>
            <w:shd w:val="clear" w:color="auto" w:fill="auto"/>
            <w:noWrap/>
            <w:vAlign w:val="bottom"/>
            <w:hideMark/>
          </w:tcPr>
          <w:p w14:paraId="5867D567"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2272BDE5"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9b</w:t>
            </w:r>
          </w:p>
        </w:tc>
        <w:tc>
          <w:tcPr>
            <w:tcW w:w="1060" w:type="dxa"/>
            <w:tcBorders>
              <w:top w:val="nil"/>
              <w:left w:val="nil"/>
              <w:bottom w:val="nil"/>
              <w:right w:val="nil"/>
            </w:tcBorders>
            <w:shd w:val="clear" w:color="auto" w:fill="auto"/>
            <w:noWrap/>
            <w:vAlign w:val="bottom"/>
            <w:hideMark/>
          </w:tcPr>
          <w:p w14:paraId="26EBACC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0.4148</w:t>
            </w:r>
          </w:p>
        </w:tc>
        <w:tc>
          <w:tcPr>
            <w:tcW w:w="1060" w:type="dxa"/>
            <w:tcBorders>
              <w:top w:val="nil"/>
              <w:left w:val="nil"/>
              <w:bottom w:val="nil"/>
              <w:right w:val="nil"/>
            </w:tcBorders>
            <w:shd w:val="clear" w:color="auto" w:fill="auto"/>
            <w:noWrap/>
            <w:vAlign w:val="bottom"/>
            <w:hideMark/>
          </w:tcPr>
          <w:p w14:paraId="3A4FCC58"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-0.0483</w:t>
            </w:r>
          </w:p>
        </w:tc>
        <w:tc>
          <w:tcPr>
            <w:tcW w:w="1060" w:type="dxa"/>
            <w:tcBorders>
              <w:top w:val="nil"/>
              <w:left w:val="nil"/>
              <w:bottom w:val="nil"/>
              <w:right w:val="nil"/>
            </w:tcBorders>
            <w:shd w:val="clear" w:color="auto" w:fill="auto"/>
            <w:noWrap/>
            <w:vAlign w:val="bottom"/>
            <w:hideMark/>
          </w:tcPr>
          <w:p w14:paraId="225F307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0.2732</w:t>
            </w:r>
          </w:p>
        </w:tc>
        <w:tc>
          <w:tcPr>
            <w:tcW w:w="1060" w:type="dxa"/>
            <w:tcBorders>
              <w:top w:val="nil"/>
              <w:left w:val="nil"/>
              <w:bottom w:val="nil"/>
              <w:right w:val="nil"/>
            </w:tcBorders>
            <w:shd w:val="clear" w:color="000000" w:fill="D9D9D9"/>
            <w:noWrap/>
            <w:vAlign w:val="bottom"/>
            <w:hideMark/>
          </w:tcPr>
          <w:p w14:paraId="38D27582"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0.5798</w:t>
            </w:r>
          </w:p>
        </w:tc>
        <w:tc>
          <w:tcPr>
            <w:tcW w:w="1060" w:type="dxa"/>
            <w:tcBorders>
              <w:top w:val="nil"/>
              <w:left w:val="nil"/>
              <w:bottom w:val="nil"/>
              <w:right w:val="nil"/>
            </w:tcBorders>
            <w:shd w:val="clear" w:color="auto" w:fill="auto"/>
            <w:noWrap/>
            <w:vAlign w:val="bottom"/>
            <w:hideMark/>
          </w:tcPr>
          <w:p w14:paraId="7CF2CBD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0.2667</w:t>
            </w:r>
          </w:p>
        </w:tc>
      </w:tr>
      <w:tr w:rsidR="001315F0" w:rsidRPr="001315F0" w14:paraId="78418388" w14:textId="77777777" w:rsidTr="00DB64FA">
        <w:trPr>
          <w:trHeight w:val="312"/>
        </w:trPr>
        <w:tc>
          <w:tcPr>
            <w:tcW w:w="2500" w:type="dxa"/>
            <w:tcBorders>
              <w:top w:val="nil"/>
              <w:left w:val="nil"/>
              <w:bottom w:val="nil"/>
              <w:right w:val="nil"/>
            </w:tcBorders>
            <w:shd w:val="clear" w:color="auto" w:fill="auto"/>
            <w:noWrap/>
            <w:vAlign w:val="bottom"/>
            <w:hideMark/>
          </w:tcPr>
          <w:p w14:paraId="2ECFEC3E"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9A6D618"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9c</w:t>
            </w:r>
          </w:p>
        </w:tc>
        <w:tc>
          <w:tcPr>
            <w:tcW w:w="1060" w:type="dxa"/>
            <w:tcBorders>
              <w:top w:val="nil"/>
              <w:left w:val="nil"/>
              <w:bottom w:val="nil"/>
              <w:right w:val="nil"/>
            </w:tcBorders>
            <w:shd w:val="clear" w:color="auto" w:fill="auto"/>
            <w:noWrap/>
            <w:vAlign w:val="bottom"/>
            <w:hideMark/>
          </w:tcPr>
          <w:p w14:paraId="1070532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0.3713</w:t>
            </w:r>
          </w:p>
        </w:tc>
        <w:tc>
          <w:tcPr>
            <w:tcW w:w="1060" w:type="dxa"/>
            <w:tcBorders>
              <w:top w:val="nil"/>
              <w:left w:val="nil"/>
              <w:bottom w:val="nil"/>
              <w:right w:val="nil"/>
            </w:tcBorders>
            <w:shd w:val="clear" w:color="auto" w:fill="auto"/>
            <w:noWrap/>
            <w:vAlign w:val="bottom"/>
            <w:hideMark/>
          </w:tcPr>
          <w:p w14:paraId="4033B3F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-0.0387</w:t>
            </w:r>
          </w:p>
        </w:tc>
        <w:tc>
          <w:tcPr>
            <w:tcW w:w="1060" w:type="dxa"/>
            <w:tcBorders>
              <w:top w:val="nil"/>
              <w:left w:val="nil"/>
              <w:bottom w:val="nil"/>
              <w:right w:val="nil"/>
            </w:tcBorders>
            <w:shd w:val="clear" w:color="auto" w:fill="auto"/>
            <w:noWrap/>
            <w:vAlign w:val="bottom"/>
            <w:hideMark/>
          </w:tcPr>
          <w:p w14:paraId="1A8B398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0.2111</w:t>
            </w:r>
          </w:p>
        </w:tc>
        <w:tc>
          <w:tcPr>
            <w:tcW w:w="1060" w:type="dxa"/>
            <w:tcBorders>
              <w:top w:val="nil"/>
              <w:left w:val="nil"/>
              <w:bottom w:val="nil"/>
              <w:right w:val="nil"/>
            </w:tcBorders>
            <w:shd w:val="clear" w:color="000000" w:fill="D9D9D9"/>
            <w:noWrap/>
            <w:vAlign w:val="bottom"/>
            <w:hideMark/>
          </w:tcPr>
          <w:p w14:paraId="6A2A0DF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0.6381</w:t>
            </w:r>
          </w:p>
        </w:tc>
        <w:tc>
          <w:tcPr>
            <w:tcW w:w="1060" w:type="dxa"/>
            <w:tcBorders>
              <w:top w:val="nil"/>
              <w:left w:val="nil"/>
              <w:bottom w:val="nil"/>
              <w:right w:val="nil"/>
            </w:tcBorders>
            <w:shd w:val="clear" w:color="auto" w:fill="auto"/>
            <w:noWrap/>
            <w:vAlign w:val="bottom"/>
            <w:hideMark/>
          </w:tcPr>
          <w:p w14:paraId="6A66791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0.3669</w:t>
            </w:r>
          </w:p>
        </w:tc>
      </w:tr>
      <w:tr w:rsidR="001315F0" w:rsidRPr="001315F0" w14:paraId="50C425A6" w14:textId="77777777" w:rsidTr="00DB64FA">
        <w:trPr>
          <w:trHeight w:val="312"/>
        </w:trPr>
        <w:tc>
          <w:tcPr>
            <w:tcW w:w="2500" w:type="dxa"/>
            <w:tcBorders>
              <w:top w:val="nil"/>
              <w:left w:val="nil"/>
              <w:bottom w:val="nil"/>
              <w:right w:val="nil"/>
            </w:tcBorders>
            <w:shd w:val="clear" w:color="auto" w:fill="auto"/>
            <w:noWrap/>
            <w:vAlign w:val="bottom"/>
            <w:hideMark/>
          </w:tcPr>
          <w:p w14:paraId="0460007B"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1FF1CC3"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10a</w:t>
            </w:r>
          </w:p>
        </w:tc>
        <w:tc>
          <w:tcPr>
            <w:tcW w:w="1060" w:type="dxa"/>
            <w:tcBorders>
              <w:top w:val="nil"/>
              <w:left w:val="nil"/>
              <w:bottom w:val="nil"/>
              <w:right w:val="nil"/>
            </w:tcBorders>
            <w:shd w:val="clear" w:color="000000" w:fill="D9D9D9"/>
            <w:noWrap/>
            <w:vAlign w:val="bottom"/>
            <w:hideMark/>
          </w:tcPr>
          <w:p w14:paraId="62FF59E0"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0.539</w:t>
            </w:r>
          </w:p>
        </w:tc>
        <w:tc>
          <w:tcPr>
            <w:tcW w:w="1060" w:type="dxa"/>
            <w:tcBorders>
              <w:top w:val="nil"/>
              <w:left w:val="nil"/>
              <w:bottom w:val="nil"/>
              <w:right w:val="nil"/>
            </w:tcBorders>
            <w:shd w:val="clear" w:color="auto" w:fill="auto"/>
            <w:noWrap/>
            <w:vAlign w:val="bottom"/>
            <w:hideMark/>
          </w:tcPr>
          <w:p w14:paraId="7927DC1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0.2341</w:t>
            </w:r>
          </w:p>
        </w:tc>
        <w:tc>
          <w:tcPr>
            <w:tcW w:w="1060" w:type="dxa"/>
            <w:tcBorders>
              <w:top w:val="nil"/>
              <w:left w:val="nil"/>
              <w:bottom w:val="nil"/>
              <w:right w:val="nil"/>
            </w:tcBorders>
            <w:shd w:val="clear" w:color="auto" w:fill="auto"/>
            <w:noWrap/>
            <w:vAlign w:val="bottom"/>
            <w:hideMark/>
          </w:tcPr>
          <w:p w14:paraId="09331F8C"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0.2679</w:t>
            </w:r>
          </w:p>
        </w:tc>
        <w:tc>
          <w:tcPr>
            <w:tcW w:w="1060" w:type="dxa"/>
            <w:tcBorders>
              <w:top w:val="nil"/>
              <w:left w:val="nil"/>
              <w:bottom w:val="nil"/>
              <w:right w:val="nil"/>
            </w:tcBorders>
            <w:shd w:val="clear" w:color="auto" w:fill="auto"/>
            <w:noWrap/>
            <w:vAlign w:val="bottom"/>
            <w:hideMark/>
          </w:tcPr>
          <w:p w14:paraId="094DF28A"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0.2549</w:t>
            </w:r>
          </w:p>
        </w:tc>
        <w:tc>
          <w:tcPr>
            <w:tcW w:w="1060" w:type="dxa"/>
            <w:tcBorders>
              <w:top w:val="nil"/>
              <w:left w:val="nil"/>
              <w:bottom w:val="nil"/>
              <w:right w:val="nil"/>
            </w:tcBorders>
            <w:shd w:val="clear" w:color="auto" w:fill="auto"/>
            <w:noWrap/>
            <w:vAlign w:val="bottom"/>
            <w:hideMark/>
          </w:tcPr>
          <w:p w14:paraId="0E5E3FD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-0.0167</w:t>
            </w:r>
          </w:p>
        </w:tc>
      </w:tr>
      <w:tr w:rsidR="001315F0" w:rsidRPr="001315F0" w14:paraId="61F57935" w14:textId="77777777" w:rsidTr="00DB64FA">
        <w:trPr>
          <w:trHeight w:val="312"/>
        </w:trPr>
        <w:tc>
          <w:tcPr>
            <w:tcW w:w="2500" w:type="dxa"/>
            <w:tcBorders>
              <w:top w:val="nil"/>
              <w:left w:val="nil"/>
              <w:bottom w:val="nil"/>
              <w:right w:val="nil"/>
            </w:tcBorders>
            <w:shd w:val="clear" w:color="auto" w:fill="auto"/>
            <w:noWrap/>
            <w:vAlign w:val="bottom"/>
            <w:hideMark/>
          </w:tcPr>
          <w:p w14:paraId="0FE52587"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64DD65D0"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10b</w:t>
            </w:r>
          </w:p>
        </w:tc>
        <w:tc>
          <w:tcPr>
            <w:tcW w:w="1060" w:type="dxa"/>
            <w:tcBorders>
              <w:top w:val="nil"/>
              <w:left w:val="nil"/>
              <w:bottom w:val="nil"/>
              <w:right w:val="nil"/>
            </w:tcBorders>
            <w:shd w:val="clear" w:color="000000" w:fill="D9D9D9"/>
            <w:noWrap/>
            <w:vAlign w:val="bottom"/>
            <w:hideMark/>
          </w:tcPr>
          <w:p w14:paraId="1C97B821"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0.539</w:t>
            </w:r>
          </w:p>
        </w:tc>
        <w:tc>
          <w:tcPr>
            <w:tcW w:w="1060" w:type="dxa"/>
            <w:tcBorders>
              <w:top w:val="nil"/>
              <w:left w:val="nil"/>
              <w:bottom w:val="nil"/>
              <w:right w:val="nil"/>
            </w:tcBorders>
            <w:shd w:val="clear" w:color="auto" w:fill="auto"/>
            <w:noWrap/>
            <w:vAlign w:val="bottom"/>
            <w:hideMark/>
          </w:tcPr>
          <w:p w14:paraId="037F7C1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0.2341</w:t>
            </w:r>
          </w:p>
        </w:tc>
        <w:tc>
          <w:tcPr>
            <w:tcW w:w="1060" w:type="dxa"/>
            <w:tcBorders>
              <w:top w:val="nil"/>
              <w:left w:val="nil"/>
              <w:bottom w:val="nil"/>
              <w:right w:val="nil"/>
            </w:tcBorders>
            <w:shd w:val="clear" w:color="auto" w:fill="auto"/>
            <w:noWrap/>
            <w:vAlign w:val="bottom"/>
            <w:hideMark/>
          </w:tcPr>
          <w:p w14:paraId="4CC9523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0.2679</w:t>
            </w:r>
          </w:p>
        </w:tc>
        <w:tc>
          <w:tcPr>
            <w:tcW w:w="1060" w:type="dxa"/>
            <w:tcBorders>
              <w:top w:val="nil"/>
              <w:left w:val="nil"/>
              <w:bottom w:val="nil"/>
              <w:right w:val="nil"/>
            </w:tcBorders>
            <w:shd w:val="clear" w:color="auto" w:fill="auto"/>
            <w:noWrap/>
            <w:vAlign w:val="bottom"/>
            <w:hideMark/>
          </w:tcPr>
          <w:p w14:paraId="6264784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0.2549</w:t>
            </w:r>
          </w:p>
        </w:tc>
        <w:tc>
          <w:tcPr>
            <w:tcW w:w="1060" w:type="dxa"/>
            <w:tcBorders>
              <w:top w:val="nil"/>
              <w:left w:val="nil"/>
              <w:bottom w:val="nil"/>
              <w:right w:val="nil"/>
            </w:tcBorders>
            <w:shd w:val="clear" w:color="auto" w:fill="auto"/>
            <w:noWrap/>
            <w:vAlign w:val="bottom"/>
            <w:hideMark/>
          </w:tcPr>
          <w:p w14:paraId="4367034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-0.0167</w:t>
            </w:r>
          </w:p>
        </w:tc>
      </w:tr>
      <w:tr w:rsidR="001315F0" w:rsidRPr="001315F0" w14:paraId="44F56351" w14:textId="77777777" w:rsidTr="00DB64FA">
        <w:trPr>
          <w:trHeight w:val="312"/>
        </w:trPr>
        <w:tc>
          <w:tcPr>
            <w:tcW w:w="2500" w:type="dxa"/>
            <w:tcBorders>
              <w:top w:val="nil"/>
              <w:left w:val="nil"/>
              <w:bottom w:val="nil"/>
              <w:right w:val="nil"/>
            </w:tcBorders>
            <w:shd w:val="clear" w:color="auto" w:fill="auto"/>
            <w:noWrap/>
            <w:vAlign w:val="bottom"/>
            <w:hideMark/>
          </w:tcPr>
          <w:p w14:paraId="2137CBDC" w14:textId="77777777" w:rsidR="00DB64FA" w:rsidRPr="001315F0" w:rsidRDefault="00DB64FA" w:rsidP="00DB64FA">
            <w:pPr>
              <w:spacing w:after="0" w:line="240" w:lineRule="auto"/>
              <w:rPr>
                <w:rFonts w:ascii="Calibri" w:eastAsia="Times New Roman" w:hAnsi="Calibri" w:cs="Times New Roman"/>
                <w:sz w:val="24"/>
                <w:szCs w:val="24"/>
                <w:lang w:eastAsia="en-GB"/>
              </w:rPr>
            </w:pPr>
          </w:p>
        </w:tc>
        <w:tc>
          <w:tcPr>
            <w:tcW w:w="1060" w:type="dxa"/>
            <w:tcBorders>
              <w:top w:val="nil"/>
              <w:left w:val="nil"/>
              <w:bottom w:val="nil"/>
              <w:right w:val="single" w:sz="4" w:space="0" w:color="auto"/>
            </w:tcBorders>
            <w:shd w:val="clear" w:color="auto" w:fill="auto"/>
            <w:noWrap/>
            <w:vAlign w:val="bottom"/>
            <w:hideMark/>
          </w:tcPr>
          <w:p w14:paraId="74947615"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10c</w:t>
            </w:r>
          </w:p>
        </w:tc>
        <w:tc>
          <w:tcPr>
            <w:tcW w:w="1060" w:type="dxa"/>
            <w:tcBorders>
              <w:top w:val="nil"/>
              <w:left w:val="nil"/>
              <w:bottom w:val="nil"/>
              <w:right w:val="nil"/>
            </w:tcBorders>
            <w:shd w:val="clear" w:color="auto" w:fill="auto"/>
            <w:noWrap/>
            <w:vAlign w:val="bottom"/>
            <w:hideMark/>
          </w:tcPr>
          <w:p w14:paraId="7E83088C"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0.4032</w:t>
            </w:r>
          </w:p>
        </w:tc>
        <w:tc>
          <w:tcPr>
            <w:tcW w:w="1060" w:type="dxa"/>
            <w:tcBorders>
              <w:top w:val="nil"/>
              <w:left w:val="nil"/>
              <w:bottom w:val="nil"/>
              <w:right w:val="nil"/>
            </w:tcBorders>
            <w:shd w:val="clear" w:color="auto" w:fill="auto"/>
            <w:noWrap/>
            <w:vAlign w:val="bottom"/>
            <w:hideMark/>
          </w:tcPr>
          <w:p w14:paraId="03EBEC0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0.2101</w:t>
            </w:r>
          </w:p>
        </w:tc>
        <w:tc>
          <w:tcPr>
            <w:tcW w:w="1060" w:type="dxa"/>
            <w:tcBorders>
              <w:top w:val="nil"/>
              <w:left w:val="nil"/>
              <w:bottom w:val="nil"/>
              <w:right w:val="nil"/>
            </w:tcBorders>
            <w:shd w:val="clear" w:color="auto" w:fill="auto"/>
            <w:noWrap/>
            <w:vAlign w:val="bottom"/>
            <w:hideMark/>
          </w:tcPr>
          <w:p w14:paraId="0CCB9F0B"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-0.06</w:t>
            </w:r>
          </w:p>
        </w:tc>
        <w:tc>
          <w:tcPr>
            <w:tcW w:w="1060" w:type="dxa"/>
            <w:tcBorders>
              <w:top w:val="nil"/>
              <w:left w:val="nil"/>
              <w:bottom w:val="nil"/>
              <w:right w:val="nil"/>
            </w:tcBorders>
            <w:shd w:val="clear" w:color="auto" w:fill="auto"/>
            <w:noWrap/>
            <w:vAlign w:val="bottom"/>
            <w:hideMark/>
          </w:tcPr>
          <w:p w14:paraId="7AA1272F"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0.2511</w:t>
            </w:r>
          </w:p>
        </w:tc>
        <w:tc>
          <w:tcPr>
            <w:tcW w:w="1060" w:type="dxa"/>
            <w:tcBorders>
              <w:top w:val="nil"/>
              <w:left w:val="nil"/>
              <w:bottom w:val="nil"/>
              <w:right w:val="nil"/>
            </w:tcBorders>
            <w:shd w:val="clear" w:color="auto" w:fill="auto"/>
            <w:noWrap/>
            <w:vAlign w:val="bottom"/>
            <w:hideMark/>
          </w:tcPr>
          <w:p w14:paraId="13692D23"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0.4344</w:t>
            </w:r>
          </w:p>
        </w:tc>
      </w:tr>
      <w:tr w:rsidR="00DB64FA" w:rsidRPr="001315F0" w14:paraId="7BA55102" w14:textId="77777777" w:rsidTr="00DB64FA">
        <w:trPr>
          <w:trHeight w:val="312"/>
        </w:trPr>
        <w:tc>
          <w:tcPr>
            <w:tcW w:w="2500" w:type="dxa"/>
            <w:tcBorders>
              <w:top w:val="single" w:sz="4" w:space="0" w:color="auto"/>
              <w:left w:val="nil"/>
              <w:bottom w:val="single" w:sz="4" w:space="0" w:color="auto"/>
              <w:right w:val="nil"/>
            </w:tcBorders>
            <w:shd w:val="clear" w:color="auto" w:fill="auto"/>
            <w:noWrap/>
            <w:vAlign w:val="bottom"/>
            <w:hideMark/>
          </w:tcPr>
          <w:p w14:paraId="14EFFED5"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%Explained Variance</w:t>
            </w:r>
          </w:p>
        </w:tc>
        <w:tc>
          <w:tcPr>
            <w:tcW w:w="1060" w:type="dxa"/>
            <w:tcBorders>
              <w:top w:val="single" w:sz="4" w:space="0" w:color="auto"/>
              <w:left w:val="nil"/>
              <w:bottom w:val="single" w:sz="4" w:space="0" w:color="auto"/>
              <w:right w:val="nil"/>
            </w:tcBorders>
            <w:shd w:val="clear" w:color="auto" w:fill="auto"/>
            <w:noWrap/>
            <w:vAlign w:val="bottom"/>
            <w:hideMark/>
          </w:tcPr>
          <w:p w14:paraId="560FF424" w14:textId="77777777" w:rsidR="00DB64FA" w:rsidRPr="001315F0" w:rsidRDefault="00DB64FA" w:rsidP="00DB64FA">
            <w:pPr>
              <w:spacing w:after="0" w:line="240" w:lineRule="auto"/>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w:t>
            </w:r>
          </w:p>
        </w:tc>
        <w:tc>
          <w:tcPr>
            <w:tcW w:w="1060" w:type="dxa"/>
            <w:tcBorders>
              <w:top w:val="single" w:sz="4" w:space="0" w:color="auto"/>
              <w:left w:val="nil"/>
              <w:bottom w:val="single" w:sz="4" w:space="0" w:color="auto"/>
              <w:right w:val="nil"/>
            </w:tcBorders>
            <w:shd w:val="clear" w:color="auto" w:fill="auto"/>
            <w:noWrap/>
            <w:vAlign w:val="bottom"/>
            <w:hideMark/>
          </w:tcPr>
          <w:p w14:paraId="3D15DCD9"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17</w:t>
            </w:r>
          </w:p>
        </w:tc>
        <w:tc>
          <w:tcPr>
            <w:tcW w:w="1060" w:type="dxa"/>
            <w:tcBorders>
              <w:top w:val="single" w:sz="4" w:space="0" w:color="auto"/>
              <w:left w:val="nil"/>
              <w:bottom w:val="single" w:sz="4" w:space="0" w:color="auto"/>
              <w:right w:val="nil"/>
            </w:tcBorders>
            <w:shd w:val="clear" w:color="auto" w:fill="auto"/>
            <w:noWrap/>
            <w:vAlign w:val="bottom"/>
            <w:hideMark/>
          </w:tcPr>
          <w:p w14:paraId="0AC64D86"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9</w:t>
            </w:r>
          </w:p>
        </w:tc>
        <w:tc>
          <w:tcPr>
            <w:tcW w:w="1060" w:type="dxa"/>
            <w:tcBorders>
              <w:top w:val="single" w:sz="4" w:space="0" w:color="auto"/>
              <w:left w:val="nil"/>
              <w:bottom w:val="single" w:sz="4" w:space="0" w:color="auto"/>
              <w:right w:val="nil"/>
            </w:tcBorders>
            <w:shd w:val="clear" w:color="auto" w:fill="auto"/>
            <w:noWrap/>
            <w:vAlign w:val="bottom"/>
            <w:hideMark/>
          </w:tcPr>
          <w:p w14:paraId="7498B53D"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18</w:t>
            </w:r>
          </w:p>
        </w:tc>
        <w:tc>
          <w:tcPr>
            <w:tcW w:w="1060" w:type="dxa"/>
            <w:tcBorders>
              <w:top w:val="single" w:sz="4" w:space="0" w:color="auto"/>
              <w:left w:val="nil"/>
              <w:bottom w:val="single" w:sz="4" w:space="0" w:color="auto"/>
              <w:right w:val="nil"/>
            </w:tcBorders>
            <w:shd w:val="clear" w:color="auto" w:fill="auto"/>
            <w:noWrap/>
            <w:vAlign w:val="bottom"/>
            <w:hideMark/>
          </w:tcPr>
          <w:p w14:paraId="216DE1C5"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14</w:t>
            </w:r>
          </w:p>
        </w:tc>
        <w:tc>
          <w:tcPr>
            <w:tcW w:w="1060" w:type="dxa"/>
            <w:tcBorders>
              <w:top w:val="single" w:sz="4" w:space="0" w:color="auto"/>
              <w:left w:val="nil"/>
              <w:bottom w:val="single" w:sz="4" w:space="0" w:color="auto"/>
              <w:right w:val="nil"/>
            </w:tcBorders>
            <w:shd w:val="clear" w:color="auto" w:fill="auto"/>
            <w:noWrap/>
            <w:vAlign w:val="bottom"/>
            <w:hideMark/>
          </w:tcPr>
          <w:p w14:paraId="0F7AF8BE" w14:textId="77777777" w:rsidR="00DB64FA" w:rsidRPr="001315F0" w:rsidRDefault="00DB64FA" w:rsidP="00DB64FA">
            <w:pPr>
              <w:spacing w:after="0" w:line="240" w:lineRule="auto"/>
              <w:jc w:val="right"/>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9</w:t>
            </w:r>
          </w:p>
        </w:tc>
      </w:tr>
    </w:tbl>
    <w:p w14:paraId="1021BE94" w14:textId="77777777" w:rsidR="00C83D0C" w:rsidRPr="001315F0" w:rsidRDefault="00C83D0C" w:rsidP="00C83D0C">
      <w:pPr>
        <w:spacing w:line="360" w:lineRule="auto"/>
        <w:jc w:val="both"/>
        <w:rPr>
          <w:i/>
          <w:sz w:val="24"/>
        </w:rPr>
      </w:pPr>
    </w:p>
    <w:p w14:paraId="7998E930" w14:textId="77777777" w:rsidR="00C83D0C" w:rsidRPr="001315F0" w:rsidRDefault="00C83D0C" w:rsidP="00C83D0C">
      <w:pPr>
        <w:spacing w:line="360" w:lineRule="auto"/>
        <w:jc w:val="both"/>
        <w:rPr>
          <w:i/>
          <w:sz w:val="24"/>
        </w:rPr>
      </w:pPr>
      <w:r w:rsidRPr="001315F0">
        <w:rPr>
          <w:i/>
          <w:sz w:val="24"/>
        </w:rPr>
        <w:t>Note: Shaded boxes signify a statistically significant loading (p&lt;0.05) which was automatically flagged by computer software programme ‘</w:t>
      </w:r>
      <w:proofErr w:type="spellStart"/>
      <w:r w:rsidRPr="001315F0">
        <w:rPr>
          <w:i/>
          <w:sz w:val="24"/>
        </w:rPr>
        <w:t>KenQ</w:t>
      </w:r>
      <w:proofErr w:type="spellEnd"/>
      <w:r w:rsidRPr="001315F0">
        <w:rPr>
          <w:i/>
          <w:sz w:val="24"/>
        </w:rPr>
        <w:t>.’</w:t>
      </w:r>
    </w:p>
    <w:p w14:paraId="7A36C3D4" w14:textId="77777777" w:rsidR="00C83D0C" w:rsidRPr="001315F0" w:rsidRDefault="00C83D0C" w:rsidP="00CF04FC">
      <w:pPr>
        <w:spacing w:line="480" w:lineRule="auto"/>
        <w:jc w:val="both"/>
        <w:rPr>
          <w:sz w:val="24"/>
        </w:rPr>
      </w:pPr>
      <w:r w:rsidRPr="001315F0">
        <w:rPr>
          <w:sz w:val="24"/>
        </w:rPr>
        <w:t>As seen in table 4, when combining the percentage of variance explained by each factor, this five-factor model</w:t>
      </w:r>
      <w:r w:rsidR="00E501D5" w:rsidRPr="001315F0">
        <w:rPr>
          <w:sz w:val="24"/>
        </w:rPr>
        <w:t xml:space="preserve"> cumulatively</w:t>
      </w:r>
      <w:r w:rsidRPr="001315F0">
        <w:rPr>
          <w:sz w:val="24"/>
        </w:rPr>
        <w:t xml:space="preserve"> explains 67% of the variance and is a successful model (Watts &amp; </w:t>
      </w:r>
      <w:proofErr w:type="spellStart"/>
      <w:r w:rsidRPr="001315F0">
        <w:rPr>
          <w:sz w:val="24"/>
        </w:rPr>
        <w:t>Stenner</w:t>
      </w:r>
      <w:proofErr w:type="spellEnd"/>
      <w:r w:rsidRPr="001315F0">
        <w:rPr>
          <w:sz w:val="24"/>
        </w:rPr>
        <w:t xml:space="preserve">, 2012).  </w:t>
      </w:r>
    </w:p>
    <w:p w14:paraId="2203A3B7" w14:textId="77777777" w:rsidR="00C83D0C" w:rsidRPr="001315F0" w:rsidRDefault="00C83D0C" w:rsidP="00CF04FC">
      <w:pPr>
        <w:spacing w:line="480" w:lineRule="auto"/>
        <w:jc w:val="both"/>
        <w:rPr>
          <w:sz w:val="24"/>
        </w:rPr>
      </w:pPr>
      <w:r w:rsidRPr="001315F0">
        <w:rPr>
          <w:sz w:val="24"/>
        </w:rPr>
        <w:t>Finally, factor arrays were created for each of the five factors in the model</w:t>
      </w:r>
      <w:r w:rsidR="009B2699" w:rsidRPr="001315F0">
        <w:rPr>
          <w:sz w:val="24"/>
        </w:rPr>
        <w:t>,</w:t>
      </w:r>
      <w:r w:rsidRPr="001315F0">
        <w:rPr>
          <w:sz w:val="24"/>
        </w:rPr>
        <w:t xml:space="preserve"> </w:t>
      </w:r>
      <w:r w:rsidR="009B2699" w:rsidRPr="001315F0">
        <w:rPr>
          <w:sz w:val="24"/>
        </w:rPr>
        <w:t>representing</w:t>
      </w:r>
      <w:r w:rsidRPr="001315F0">
        <w:rPr>
          <w:sz w:val="24"/>
        </w:rPr>
        <w:t xml:space="preserve"> the viewpoints of eac</w:t>
      </w:r>
      <w:r w:rsidR="009B2699" w:rsidRPr="001315F0">
        <w:rPr>
          <w:sz w:val="24"/>
        </w:rPr>
        <w:t>h participant‘s results that</w:t>
      </w:r>
      <w:r w:rsidRPr="001315F0">
        <w:rPr>
          <w:sz w:val="24"/>
        </w:rPr>
        <w:t xml:space="preserve"> significantly loaded onto that particular factor. These factor arrays are further discussed in the following section.  </w:t>
      </w:r>
    </w:p>
    <w:p w14:paraId="00AC552A" w14:textId="77777777" w:rsidR="00C83D0C" w:rsidRPr="001315F0" w:rsidRDefault="00C83D0C" w:rsidP="00CF04FC">
      <w:pPr>
        <w:spacing w:line="480" w:lineRule="auto"/>
        <w:jc w:val="both"/>
        <w:rPr>
          <w:i/>
          <w:sz w:val="24"/>
        </w:rPr>
      </w:pPr>
    </w:p>
    <w:p w14:paraId="6E4BC9C7" w14:textId="77777777" w:rsidR="00C83D0C" w:rsidRPr="001315F0" w:rsidRDefault="00C83D0C" w:rsidP="00CF04FC">
      <w:pPr>
        <w:spacing w:line="480" w:lineRule="auto"/>
        <w:jc w:val="both"/>
        <w:rPr>
          <w:i/>
          <w:sz w:val="24"/>
        </w:rPr>
      </w:pPr>
      <w:r w:rsidRPr="001315F0">
        <w:rPr>
          <w:i/>
          <w:sz w:val="24"/>
        </w:rPr>
        <w:t>Findings</w:t>
      </w:r>
    </w:p>
    <w:p w14:paraId="6C88C6DC" w14:textId="5ED90709" w:rsidR="00C83D0C" w:rsidRPr="001315F0" w:rsidRDefault="00C83D0C" w:rsidP="00CF04FC">
      <w:pPr>
        <w:spacing w:line="480" w:lineRule="auto"/>
        <w:jc w:val="both"/>
        <w:rPr>
          <w:sz w:val="24"/>
        </w:rPr>
      </w:pPr>
      <w:r w:rsidRPr="001315F0">
        <w:rPr>
          <w:sz w:val="24"/>
        </w:rPr>
        <w:t>The identified five factors represent a variety of different perspectives a</w:t>
      </w:r>
      <w:r w:rsidR="00F1299C" w:rsidRPr="001315F0">
        <w:rPr>
          <w:sz w:val="24"/>
        </w:rPr>
        <w:t>bout SGO</w:t>
      </w:r>
      <w:r w:rsidRPr="001315F0">
        <w:rPr>
          <w:sz w:val="24"/>
        </w:rPr>
        <w:t xml:space="preserve">s found within the data. </w:t>
      </w:r>
    </w:p>
    <w:p w14:paraId="5641DD22" w14:textId="77777777" w:rsidR="00C83D0C" w:rsidRPr="001315F0" w:rsidRDefault="00C83D0C" w:rsidP="00CF04FC">
      <w:pPr>
        <w:spacing w:line="480" w:lineRule="auto"/>
        <w:jc w:val="both"/>
        <w:rPr>
          <w:b/>
          <w:sz w:val="24"/>
        </w:rPr>
      </w:pPr>
      <w:r w:rsidRPr="001315F0">
        <w:rPr>
          <w:b/>
          <w:sz w:val="24"/>
        </w:rPr>
        <w:t>Factor 1: The child is part of the family: positive experience despite limited knowledge</w:t>
      </w:r>
    </w:p>
    <w:p w14:paraId="37CD3AE4" w14:textId="37440219" w:rsidR="00C83D0C" w:rsidRPr="001315F0" w:rsidRDefault="00C83D0C" w:rsidP="00CF04FC">
      <w:pPr>
        <w:spacing w:line="480" w:lineRule="auto"/>
        <w:jc w:val="both"/>
        <w:rPr>
          <w:b/>
          <w:sz w:val="24"/>
        </w:rPr>
      </w:pPr>
      <w:r w:rsidRPr="001315F0">
        <w:rPr>
          <w:sz w:val="24"/>
        </w:rPr>
        <w:t>Factor one combines the viewpoints of two individuals across five Q-sorts</w:t>
      </w:r>
      <w:r w:rsidR="007C63D2" w:rsidRPr="001315F0">
        <w:rPr>
          <w:sz w:val="24"/>
        </w:rPr>
        <w:t xml:space="preserve"> (participants 5 &amp; 10)</w:t>
      </w:r>
      <w:r w:rsidRPr="001315F0">
        <w:rPr>
          <w:sz w:val="24"/>
        </w:rPr>
        <w:t xml:space="preserve">. Both participants loading onto this factor were female carers for a child they had known since birth. They had both been caring for a child under an SGO for approximately five years. Whilst neither individual was immediately related to the child, they both had a strong familial link. They were also both currently receiving support from a specialist looked after children’s service. This factor has an Eigenvalue of 11.5021 and accounts for 17% of the variance. </w:t>
      </w:r>
    </w:p>
    <w:p w14:paraId="575918FD" w14:textId="77777777" w:rsidR="00C83D0C" w:rsidRPr="001315F0" w:rsidRDefault="00C83D0C" w:rsidP="00CF04FC">
      <w:pPr>
        <w:spacing w:line="480" w:lineRule="auto"/>
        <w:jc w:val="both"/>
        <w:rPr>
          <w:sz w:val="24"/>
        </w:rPr>
      </w:pPr>
      <w:r w:rsidRPr="001315F0">
        <w:rPr>
          <w:sz w:val="24"/>
        </w:rPr>
        <w:t xml:space="preserve">Six significant statements loaded onto this factor (32:-3, 45:0, 33:1, 43:1, 35:4, 18:5), and having a sense that the child feels part of the family was a key statement for both participants across all three time points. Participant 10 felt so strongly about this that she even commented </w:t>
      </w:r>
      <w:r w:rsidRPr="001315F0">
        <w:rPr>
          <w:i/>
          <w:sz w:val="24"/>
        </w:rPr>
        <w:t xml:space="preserve">“I can’t see why they didn’t go for full adoption” </w:t>
      </w:r>
      <w:r w:rsidRPr="001315F0">
        <w:rPr>
          <w:sz w:val="24"/>
        </w:rPr>
        <w:t xml:space="preserve">(making reference to the social workers who initially suggested the SGO to her), as to her there was no question that the child she cared for was just as much a part of the family as her biological children were. </w:t>
      </w:r>
    </w:p>
    <w:p w14:paraId="10208BC9" w14:textId="77777777" w:rsidR="00C83D0C" w:rsidRPr="001315F0" w:rsidRDefault="00C83D0C" w:rsidP="00CF04FC">
      <w:pPr>
        <w:spacing w:line="480" w:lineRule="auto"/>
        <w:jc w:val="both"/>
        <w:rPr>
          <w:sz w:val="24"/>
        </w:rPr>
      </w:pPr>
      <w:r w:rsidRPr="001315F0">
        <w:rPr>
          <w:sz w:val="24"/>
        </w:rPr>
        <w:t xml:space="preserve">Feeling a sense of reward from the caring role was also ranked highest in this factor. When considering whether there was a sense of feeling like they had an obligation to take on the care of the child, the participants whose responses loaded onto this factor agreed with this, however, only to a small extent (+1).  This suggests that not feeling a strong sense of obligation to take on the caring role may be an important factor for a positive outcome. The same ranking was also given to the statement which questioned whether the child’s birth parents were supportive of the SGO.  Whilst it is not a strong response, it does suggest that the birth parents not strongly contesting the SGO is a defining characteristic of this factor. </w:t>
      </w:r>
    </w:p>
    <w:p w14:paraId="4B9F6ABF" w14:textId="76E143E4" w:rsidR="00C83D0C" w:rsidRPr="001315F0" w:rsidRDefault="00C83D0C" w:rsidP="00CF04FC">
      <w:pPr>
        <w:spacing w:line="480" w:lineRule="auto"/>
        <w:jc w:val="both"/>
        <w:rPr>
          <w:sz w:val="24"/>
        </w:rPr>
      </w:pPr>
      <w:r w:rsidRPr="001315F0">
        <w:rPr>
          <w:sz w:val="24"/>
        </w:rPr>
        <w:t>Having an understanding about what an SGO involves was rated the lowest in this factor. Interestingly, the responses were not so concrete when considering othe</w:t>
      </w:r>
      <w:r w:rsidR="00F1299C" w:rsidRPr="001315F0">
        <w:rPr>
          <w:sz w:val="24"/>
        </w:rPr>
        <w:t>r people’s understanding of SGO</w:t>
      </w:r>
      <w:r w:rsidRPr="001315F0">
        <w:rPr>
          <w:sz w:val="24"/>
        </w:rPr>
        <w:t>s.  This was something that they neither agreed with nor disagreed with.</w:t>
      </w:r>
    </w:p>
    <w:p w14:paraId="3DCEFB3A" w14:textId="1E2C3B8D" w:rsidR="00C83D0C" w:rsidRPr="001315F0" w:rsidRDefault="00C83D0C" w:rsidP="00CF04FC">
      <w:pPr>
        <w:spacing w:line="480" w:lineRule="auto"/>
        <w:jc w:val="both"/>
        <w:rPr>
          <w:sz w:val="24"/>
        </w:rPr>
      </w:pPr>
      <w:r w:rsidRPr="001315F0">
        <w:rPr>
          <w:sz w:val="24"/>
        </w:rPr>
        <w:t>Summary: Participants in this factor have a strong sense that the child feels part of the family. This may have been supported by not having a strong sense of obligation to take on the role and the biological parents not strongly contesting the SGO. Having</w:t>
      </w:r>
      <w:r w:rsidR="00F1299C" w:rsidRPr="001315F0">
        <w:rPr>
          <w:sz w:val="24"/>
        </w:rPr>
        <w:t xml:space="preserve"> a limited understanding of SGO</w:t>
      </w:r>
      <w:r w:rsidRPr="001315F0">
        <w:rPr>
          <w:sz w:val="24"/>
        </w:rPr>
        <w:t xml:space="preserve">s appears mitigated by the other perhaps more positive and valued factors.  </w:t>
      </w:r>
    </w:p>
    <w:p w14:paraId="4888B1BE" w14:textId="77777777" w:rsidR="00C83D0C" w:rsidRPr="001315F0" w:rsidRDefault="00C83D0C" w:rsidP="00CF04FC">
      <w:pPr>
        <w:spacing w:line="480" w:lineRule="auto"/>
        <w:jc w:val="both"/>
        <w:rPr>
          <w:b/>
          <w:sz w:val="24"/>
        </w:rPr>
      </w:pPr>
      <w:r w:rsidRPr="001315F0">
        <w:rPr>
          <w:b/>
          <w:sz w:val="24"/>
        </w:rPr>
        <w:t>Factor 2: In the dark, obliged and unsupported</w:t>
      </w:r>
    </w:p>
    <w:p w14:paraId="3F179F6A" w14:textId="6393DC67" w:rsidR="00C83D0C" w:rsidRPr="001315F0" w:rsidRDefault="00C83D0C" w:rsidP="00CF04FC">
      <w:pPr>
        <w:spacing w:line="480" w:lineRule="auto"/>
        <w:jc w:val="both"/>
        <w:rPr>
          <w:sz w:val="24"/>
        </w:rPr>
      </w:pPr>
      <w:r w:rsidRPr="001315F0">
        <w:rPr>
          <w:sz w:val="24"/>
        </w:rPr>
        <w:t>Factor two is derived from three Q-sorts by the same individual</w:t>
      </w:r>
      <w:r w:rsidR="007C63D2" w:rsidRPr="001315F0">
        <w:rPr>
          <w:sz w:val="24"/>
        </w:rPr>
        <w:t xml:space="preserve"> (participant 8)</w:t>
      </w:r>
      <w:r w:rsidRPr="001315F0">
        <w:rPr>
          <w:sz w:val="24"/>
        </w:rPr>
        <w:t xml:space="preserve">. This carer is aged over 51 years and has an SGO for her two grandchildren who have been in her care for the past five years. This factor has an Eigenvalue of 2.8698 and accounts for 9% of the variance. Ten statements were calculated to be of significance for this factor (4: -5, 8: -5, 22: -3, 35: -3, 5: -2, 47: -2, 14: 0, 29: 0, 31: 0, and 43: 5). </w:t>
      </w:r>
    </w:p>
    <w:p w14:paraId="084B73BD" w14:textId="5C99F483" w:rsidR="00C83D0C" w:rsidRPr="001315F0" w:rsidRDefault="00C83D0C" w:rsidP="00CF04FC">
      <w:pPr>
        <w:spacing w:line="480" w:lineRule="auto"/>
        <w:jc w:val="both"/>
        <w:rPr>
          <w:i/>
          <w:sz w:val="24"/>
        </w:rPr>
      </w:pPr>
      <w:r w:rsidRPr="001315F0">
        <w:rPr>
          <w:sz w:val="24"/>
        </w:rPr>
        <w:t>This factor represents a</w:t>
      </w:r>
      <w:r w:rsidR="00F1299C" w:rsidRPr="001315F0">
        <w:rPr>
          <w:sz w:val="24"/>
        </w:rPr>
        <w:t xml:space="preserve"> more negative viewpoint of SGO</w:t>
      </w:r>
      <w:r w:rsidRPr="001315F0">
        <w:rPr>
          <w:sz w:val="24"/>
        </w:rPr>
        <w:t>s, and talks of feeling un-prepared, un-supported, and unsure about the happiness of the children. Feeling financially well -supported was ranked lowest in this factor, and formed a large part of the conversation throughout the research meeting. The carer shared that she felt having an SGO puts people at financial disadvantage in comparison to other caring roles. She said</w:t>
      </w:r>
      <w:r w:rsidRPr="001315F0">
        <w:rPr>
          <w:i/>
          <w:sz w:val="24"/>
        </w:rPr>
        <w:t xml:space="preserve"> “I know somebody else who is a foster carer for her grandchildren and she is financially better off.” </w:t>
      </w:r>
      <w:r w:rsidRPr="001315F0">
        <w:rPr>
          <w:sz w:val="24"/>
        </w:rPr>
        <w:t xml:space="preserve">This even led her to question the SGO saying </w:t>
      </w:r>
      <w:r w:rsidRPr="001315F0">
        <w:rPr>
          <w:i/>
          <w:sz w:val="24"/>
        </w:rPr>
        <w:t>“I want to know if I can go to court and get rid of the SGO.”</w:t>
      </w:r>
    </w:p>
    <w:p w14:paraId="51A3BF0C" w14:textId="77777777" w:rsidR="00C83D0C" w:rsidRPr="001315F0" w:rsidRDefault="00C83D0C" w:rsidP="00CF04FC">
      <w:pPr>
        <w:spacing w:line="480" w:lineRule="auto"/>
        <w:jc w:val="both"/>
        <w:rPr>
          <w:sz w:val="24"/>
        </w:rPr>
      </w:pPr>
      <w:r w:rsidRPr="001315F0">
        <w:rPr>
          <w:sz w:val="24"/>
        </w:rPr>
        <w:t xml:space="preserve">Also ranked lowest in this factor was seeing the role as ‘rewarding.’ In fact, this carer had given up a life in another country and lost her relationship as a consequence of her caring responsibilities. She also reported a poor understanding of the children’s behaviour and a poor understanding of how the children’s past experiences may have impacted upon their current behaviours. It is also of note that feeling an obligation to take on the caring role was ranked highest (+5).  </w:t>
      </w:r>
    </w:p>
    <w:p w14:paraId="11E521B4" w14:textId="77777777" w:rsidR="00C83D0C" w:rsidRPr="001315F0" w:rsidRDefault="00C83D0C" w:rsidP="00CF04FC">
      <w:pPr>
        <w:spacing w:line="480" w:lineRule="auto"/>
        <w:jc w:val="both"/>
        <w:rPr>
          <w:sz w:val="24"/>
        </w:rPr>
      </w:pPr>
      <w:r w:rsidRPr="001315F0">
        <w:rPr>
          <w:sz w:val="24"/>
        </w:rPr>
        <w:t xml:space="preserve">Summary: This factor suggests that feeling obliged to take on the role of special guardian without being given the right support can lead to an extremely negative experience for the carer, and a possibly unintentional negative outcome for the child or children in their care. The cumulative effects of feeling unprepared, unsupported, unrewarded, financially burdened and obligated unsurprisingly result in a generally negative experience. </w:t>
      </w:r>
    </w:p>
    <w:p w14:paraId="1E4AB0E9" w14:textId="77777777" w:rsidR="00C83D0C" w:rsidRPr="001315F0" w:rsidRDefault="00C83D0C" w:rsidP="00CF04FC">
      <w:pPr>
        <w:spacing w:line="480" w:lineRule="auto"/>
        <w:jc w:val="both"/>
        <w:rPr>
          <w:b/>
          <w:sz w:val="24"/>
        </w:rPr>
      </w:pPr>
      <w:r w:rsidRPr="001315F0">
        <w:rPr>
          <w:b/>
          <w:sz w:val="24"/>
        </w:rPr>
        <w:t xml:space="preserve">Factor 4: Lots of training opportunities and managing well </w:t>
      </w:r>
    </w:p>
    <w:p w14:paraId="3271AF2A" w14:textId="3A6BF146"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sz w:val="24"/>
        </w:rPr>
        <w:t>Factor three consists of the responses from two carers and six Q-sorts</w:t>
      </w:r>
      <w:r w:rsidR="007C63D2" w:rsidRPr="001315F0">
        <w:rPr>
          <w:sz w:val="24"/>
        </w:rPr>
        <w:t xml:space="preserve"> (participants 3 &amp; 4)</w:t>
      </w:r>
      <w:r w:rsidRPr="001315F0">
        <w:rPr>
          <w:sz w:val="24"/>
        </w:rPr>
        <w:t xml:space="preserve">. This factor has an Eigenvalue of </w:t>
      </w:r>
      <w:r w:rsidRPr="001315F0">
        <w:rPr>
          <w:rFonts w:ascii="Calibri" w:eastAsia="Times New Roman" w:hAnsi="Calibri" w:cs="Times New Roman"/>
          <w:sz w:val="24"/>
          <w:szCs w:val="24"/>
          <w:lang w:eastAsia="en-GB"/>
        </w:rPr>
        <w:t xml:space="preserve">2.1453 and accounts for 18% of the variance. The two carers whose sorts load onto this factor were a couple aged over 51 years who had been granted an SGO approximately six months prior to the research meeting. The children in their care were not biologically related to them, but there was a familial relationship as they were the half siblings of their biological grandson. The couple were not currently receiving any specialist support from services. Seven statements loaded significantly onto this factor (21: -5, 20: -4, 10: -1, 12: 1, 40: 1, 6: 2 and 8: 5). </w:t>
      </w:r>
    </w:p>
    <w:p w14:paraId="4E59B3E6"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A defining characteristic of this factor is feeling as though sufficient training to be a Special Guardian has been received. This is ranked higher in this factor than any other. Participant 4 commented </w:t>
      </w:r>
      <w:r w:rsidRPr="001315F0">
        <w:rPr>
          <w:rFonts w:ascii="Calibri" w:eastAsia="Times New Roman" w:hAnsi="Calibri" w:cs="Times New Roman"/>
          <w:i/>
          <w:sz w:val="24"/>
          <w:szCs w:val="24"/>
          <w:lang w:eastAsia="en-GB"/>
        </w:rPr>
        <w:t xml:space="preserve">“we have been on a number of courses which were helpful, particularly the contact with other people in the same situations.” </w:t>
      </w:r>
      <w:r w:rsidRPr="001315F0">
        <w:rPr>
          <w:rFonts w:ascii="Calibri" w:eastAsia="Times New Roman" w:hAnsi="Calibri" w:cs="Times New Roman"/>
          <w:sz w:val="24"/>
          <w:szCs w:val="24"/>
          <w:lang w:eastAsia="en-GB"/>
        </w:rPr>
        <w:t xml:space="preserve">Interestingly, they were the only two carers out of the ten interviewed who shared that they had attended training courses at the point of taking on an SGO.  </w:t>
      </w:r>
    </w:p>
    <w:p w14:paraId="62576FFF"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This was also the only factor in which the participants agreed that they often speak with other special guardians, and they openly spoke of the benefit of this. </w:t>
      </w:r>
    </w:p>
    <w:p w14:paraId="4F7063A0"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Two further defining statements were; ‘the child/children I care for display a lot of unsettled behaviour,’ and ‘the child/children I care for display a lot of challenging behaviour.’ Both carers could not disagree more with these statements. This does bring into question whether there is a link between the amount of training a carer receives and the amount of reported challenging or unsettled behaviours seen in the children. Another possible explanation for the ranking of these statements in particular, may be related to the fact the children in their care were much younger than those placed with other carers in the study, and these carers had received their SGO most recently.  </w:t>
      </w:r>
    </w:p>
    <w:p w14:paraId="25AAD0BC"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Summary: The participants in this factor had held an SGO for the shortest amount of time. The training they received prior to taking on the SGO and the contact with other carers appears to have resulted in a more positive overall experience. The fact that they were a carer couple and able to support each other may also have contributed to the more positive experience. </w:t>
      </w:r>
    </w:p>
    <w:p w14:paraId="25168D72" w14:textId="77777777" w:rsidR="00C83D0C" w:rsidRPr="001315F0" w:rsidRDefault="00C83D0C" w:rsidP="00CF04FC">
      <w:pPr>
        <w:spacing w:line="480" w:lineRule="auto"/>
        <w:jc w:val="both"/>
        <w:rPr>
          <w:b/>
          <w:sz w:val="24"/>
        </w:rPr>
      </w:pPr>
      <w:r w:rsidRPr="001315F0">
        <w:rPr>
          <w:b/>
          <w:sz w:val="24"/>
        </w:rPr>
        <w:t>Factor 5: Giving up the caring role is not an option… but having a supportive family is helpful</w:t>
      </w:r>
    </w:p>
    <w:p w14:paraId="6D3D1D63" w14:textId="57DD2B5D"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sz w:val="24"/>
        </w:rPr>
        <w:t>This factor is made up of the responses of nine Q-sorts from three participants</w:t>
      </w:r>
      <w:r w:rsidR="007C63D2" w:rsidRPr="001315F0">
        <w:rPr>
          <w:sz w:val="24"/>
        </w:rPr>
        <w:t xml:space="preserve"> (participants 6, 7 &amp; 9)</w:t>
      </w:r>
      <w:r w:rsidRPr="001315F0">
        <w:rPr>
          <w:sz w:val="24"/>
        </w:rPr>
        <w:t xml:space="preserve"> and has an eigenvalue of </w:t>
      </w:r>
      <w:r w:rsidRPr="001315F0">
        <w:rPr>
          <w:rFonts w:ascii="Calibri" w:eastAsia="Times New Roman" w:hAnsi="Calibri" w:cs="Times New Roman"/>
          <w:sz w:val="24"/>
          <w:szCs w:val="24"/>
          <w:lang w:eastAsia="en-GB"/>
        </w:rPr>
        <w:t xml:space="preserve">1.8767, accounting for 14% of the variance. There were five statements that loaded significantly on to this factor defining its characteristics (42: -5, 19: -2, 24: -2, 34: -1, </w:t>
      </w:r>
      <w:proofErr w:type="gramStart"/>
      <w:r w:rsidRPr="001315F0">
        <w:rPr>
          <w:rFonts w:ascii="Calibri" w:eastAsia="Times New Roman" w:hAnsi="Calibri" w:cs="Times New Roman"/>
          <w:sz w:val="24"/>
          <w:szCs w:val="24"/>
          <w:lang w:eastAsia="en-GB"/>
        </w:rPr>
        <w:t>2</w:t>
      </w:r>
      <w:proofErr w:type="gramEnd"/>
      <w:r w:rsidRPr="001315F0">
        <w:rPr>
          <w:rFonts w:ascii="Calibri" w:eastAsia="Times New Roman" w:hAnsi="Calibri" w:cs="Times New Roman"/>
          <w:sz w:val="24"/>
          <w:szCs w:val="24"/>
          <w:lang w:eastAsia="en-GB"/>
        </w:rPr>
        <w:t xml:space="preserve">: +4.) The participants that loaded significantly onto this factor ranged in age from 31 years and above. Two of the carers were biological grandparents for the child in their care, and one was initially a foster carer who had known the child for five years prior to applying for an SGO. </w:t>
      </w:r>
    </w:p>
    <w:p w14:paraId="5C9D4A09"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Of significant relevance for this factor is the feeling of being well-supported by family members. All participants who loaded onto this factor strongly agreed with this statement. When speaking about knowing who to call on for support when needed, participant 7 commented </w:t>
      </w:r>
      <w:r w:rsidRPr="001315F0">
        <w:rPr>
          <w:rFonts w:ascii="Calibri" w:eastAsia="Times New Roman" w:hAnsi="Calibri" w:cs="Times New Roman"/>
          <w:i/>
          <w:sz w:val="24"/>
          <w:szCs w:val="24"/>
          <w:lang w:eastAsia="en-GB"/>
        </w:rPr>
        <w:t xml:space="preserve">“it was just the family, it was really hard,” </w:t>
      </w:r>
      <w:r w:rsidRPr="001315F0">
        <w:rPr>
          <w:rFonts w:ascii="Calibri" w:eastAsia="Times New Roman" w:hAnsi="Calibri" w:cs="Times New Roman"/>
          <w:sz w:val="24"/>
          <w:szCs w:val="24"/>
          <w:lang w:eastAsia="en-GB"/>
        </w:rPr>
        <w:t xml:space="preserve">and when speaking about the support received from other services, whether that be health, social care, or education, she commented </w:t>
      </w:r>
      <w:r w:rsidRPr="001315F0">
        <w:rPr>
          <w:rFonts w:ascii="Calibri" w:eastAsia="Times New Roman" w:hAnsi="Calibri" w:cs="Times New Roman"/>
          <w:i/>
          <w:sz w:val="24"/>
          <w:szCs w:val="24"/>
          <w:lang w:eastAsia="en-GB"/>
        </w:rPr>
        <w:t>“I don’t want to throw them under the bus, but they could have done more.”</w:t>
      </w:r>
      <w:r w:rsidRPr="001315F0">
        <w:rPr>
          <w:rFonts w:ascii="Calibri" w:eastAsia="Times New Roman" w:hAnsi="Calibri" w:cs="Times New Roman"/>
          <w:sz w:val="24"/>
          <w:szCs w:val="24"/>
          <w:lang w:eastAsia="en-GB"/>
        </w:rPr>
        <w:t xml:space="preserve"> This coincides with another defining statement significant to this factor, which asks whether the cared for children receive the support they need from school. All participants disagreed with this. </w:t>
      </w:r>
    </w:p>
    <w:p w14:paraId="192E2AD7" w14:textId="77777777" w:rsidR="00C83D0C" w:rsidRPr="001315F0" w:rsidRDefault="00C83D0C" w:rsidP="00CF04FC">
      <w:pPr>
        <w:spacing w:line="480" w:lineRule="auto"/>
        <w:jc w:val="both"/>
        <w:rPr>
          <w:rFonts w:ascii="Calibri" w:eastAsia="Times New Roman" w:hAnsi="Calibri" w:cs="Times New Roman"/>
          <w:i/>
          <w:sz w:val="24"/>
          <w:szCs w:val="24"/>
          <w:lang w:eastAsia="en-GB"/>
        </w:rPr>
      </w:pPr>
      <w:r w:rsidRPr="001315F0">
        <w:rPr>
          <w:rFonts w:ascii="Calibri" w:eastAsia="Times New Roman" w:hAnsi="Calibri" w:cs="Times New Roman"/>
          <w:sz w:val="24"/>
          <w:szCs w:val="24"/>
          <w:lang w:eastAsia="en-GB"/>
        </w:rPr>
        <w:t xml:space="preserve">At the extreme end of the scale, all participants who loaded onto this factor strongly disagreed that they would want to pass on the caring role. They were all clear that they would like to keep caring for the children for as long as possible. In fact, participant 7 said </w:t>
      </w:r>
      <w:r w:rsidRPr="001315F0">
        <w:rPr>
          <w:rFonts w:ascii="Calibri" w:eastAsia="Times New Roman" w:hAnsi="Calibri" w:cs="Times New Roman"/>
          <w:i/>
          <w:sz w:val="24"/>
          <w:szCs w:val="24"/>
          <w:lang w:eastAsia="en-GB"/>
        </w:rPr>
        <w:t xml:space="preserve">“the SGO is like a silent partner, it’s just knowing that my granddaughter will be by my side until I’m up there.” </w:t>
      </w:r>
    </w:p>
    <w:p w14:paraId="1B2E3F57" w14:textId="77777777" w:rsidR="00C83D0C" w:rsidRPr="001315F0" w:rsidRDefault="00C83D0C" w:rsidP="00CF04FC">
      <w:pPr>
        <w:spacing w:line="480" w:lineRule="auto"/>
        <w:jc w:val="both"/>
        <w:rPr>
          <w:rFonts w:ascii="Calibri" w:eastAsia="Times New Roman" w:hAnsi="Calibri" w:cs="Times New Roman"/>
          <w:i/>
          <w:sz w:val="24"/>
          <w:szCs w:val="24"/>
          <w:lang w:eastAsia="en-GB"/>
        </w:rPr>
      </w:pPr>
      <w:r w:rsidRPr="001315F0">
        <w:rPr>
          <w:rFonts w:ascii="Calibri" w:eastAsia="Times New Roman" w:hAnsi="Calibri" w:cs="Times New Roman"/>
          <w:sz w:val="24"/>
          <w:szCs w:val="24"/>
          <w:lang w:eastAsia="en-GB"/>
        </w:rPr>
        <w:t xml:space="preserve">Of final relevance to this factor was the fact that the participants disagreed that the children’s behaviours were hard to manage, suggesting that they were managing this well. Participant 6 commented </w:t>
      </w:r>
      <w:r w:rsidRPr="001315F0">
        <w:rPr>
          <w:rFonts w:ascii="Calibri" w:eastAsia="Times New Roman" w:hAnsi="Calibri" w:cs="Times New Roman"/>
          <w:i/>
          <w:sz w:val="24"/>
          <w:szCs w:val="24"/>
          <w:lang w:eastAsia="en-GB"/>
        </w:rPr>
        <w:t>“wash, clean, feed, easy,” “it’s stressful but you cope.”</w:t>
      </w:r>
    </w:p>
    <w:p w14:paraId="5840C026"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Summary: Participants in this factor portray a more positive experience. Difficulties such as not feeling supported by school appear to be outweighed by feeling supported by family and not struggling to manage the child’s behaviours, which has ultimately led to a sense of not wanting to pass on the caring role.  </w:t>
      </w:r>
    </w:p>
    <w:p w14:paraId="47185FF3" w14:textId="77777777" w:rsidR="00C83D0C" w:rsidRPr="001315F0" w:rsidRDefault="00C83D0C" w:rsidP="00CF04FC">
      <w:pPr>
        <w:spacing w:line="480" w:lineRule="auto"/>
        <w:jc w:val="both"/>
        <w:rPr>
          <w:rFonts w:ascii="Calibri" w:eastAsia="Times New Roman" w:hAnsi="Calibri" w:cs="Times New Roman"/>
          <w:b/>
          <w:sz w:val="24"/>
          <w:szCs w:val="24"/>
          <w:lang w:eastAsia="en-GB"/>
        </w:rPr>
      </w:pPr>
      <w:r w:rsidRPr="001315F0">
        <w:rPr>
          <w:rFonts w:ascii="Calibri" w:eastAsia="Times New Roman" w:hAnsi="Calibri" w:cs="Times New Roman"/>
          <w:b/>
          <w:sz w:val="24"/>
          <w:szCs w:val="24"/>
          <w:lang w:eastAsia="en-GB"/>
        </w:rPr>
        <w:t>Factor 7: Confused, angry and don’t know who to trust</w:t>
      </w:r>
    </w:p>
    <w:p w14:paraId="0D25C792" w14:textId="058D652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This final factor comes from the responses of one carer across three Q-sorts</w:t>
      </w:r>
      <w:r w:rsidR="007C63D2" w:rsidRPr="001315F0">
        <w:rPr>
          <w:rFonts w:ascii="Calibri" w:eastAsia="Times New Roman" w:hAnsi="Calibri" w:cs="Times New Roman"/>
          <w:sz w:val="24"/>
          <w:szCs w:val="24"/>
          <w:lang w:eastAsia="en-GB"/>
        </w:rPr>
        <w:t xml:space="preserve"> (participant 1)</w:t>
      </w:r>
      <w:r w:rsidRPr="001315F0">
        <w:rPr>
          <w:rFonts w:ascii="Calibri" w:eastAsia="Times New Roman" w:hAnsi="Calibri" w:cs="Times New Roman"/>
          <w:sz w:val="24"/>
          <w:szCs w:val="24"/>
          <w:lang w:eastAsia="en-GB"/>
        </w:rPr>
        <w:t xml:space="preserve">. It has an Eigenvalue of 1.4085 and accounts for 9% of the variance. The carer whose responses loaded significantly onto this factor is aged 31-40 and is the great-aunt of the child in her care. She has held an SGO for this child for approximately five years. Six statements are of particular significance to this factor (33: -5, 12: -3, 21: -2, 17: -1, 29: 4, </w:t>
      </w:r>
      <w:proofErr w:type="gramStart"/>
      <w:r w:rsidRPr="001315F0">
        <w:rPr>
          <w:rFonts w:ascii="Calibri" w:eastAsia="Times New Roman" w:hAnsi="Calibri" w:cs="Times New Roman"/>
          <w:sz w:val="24"/>
          <w:szCs w:val="24"/>
          <w:lang w:eastAsia="en-GB"/>
        </w:rPr>
        <w:t>16</w:t>
      </w:r>
      <w:proofErr w:type="gramEnd"/>
      <w:r w:rsidRPr="001315F0">
        <w:rPr>
          <w:rFonts w:ascii="Calibri" w:eastAsia="Times New Roman" w:hAnsi="Calibri" w:cs="Times New Roman"/>
          <w:sz w:val="24"/>
          <w:szCs w:val="24"/>
          <w:lang w:eastAsia="en-GB"/>
        </w:rPr>
        <w:t>: 5).</w:t>
      </w:r>
    </w:p>
    <w:p w14:paraId="7D65DACA"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Of particular relevance appears to be that this carer strongly agreed that being a special guardian makes her feel angry. This was rated higher in this factor than any of the others. This may well be due to the fact that the carer did not feel that she had a good bond with the child, and the birth parents were definitely not supportive of the SGO. She commented </w:t>
      </w:r>
      <w:r w:rsidRPr="001315F0">
        <w:rPr>
          <w:rFonts w:ascii="Calibri" w:eastAsia="Times New Roman" w:hAnsi="Calibri" w:cs="Times New Roman"/>
          <w:i/>
          <w:sz w:val="24"/>
          <w:szCs w:val="24"/>
          <w:lang w:eastAsia="en-GB"/>
        </w:rPr>
        <w:t>“contact is horrendous, probably the worst thing</w:t>
      </w:r>
      <w:r w:rsidRPr="001315F0">
        <w:rPr>
          <w:rFonts w:ascii="Calibri" w:eastAsia="Times New Roman" w:hAnsi="Calibri" w:cs="Times New Roman"/>
          <w:sz w:val="24"/>
          <w:szCs w:val="24"/>
          <w:lang w:eastAsia="en-GB"/>
        </w:rPr>
        <w:t xml:space="preserve">” and she described the contact process as </w:t>
      </w:r>
      <w:r w:rsidRPr="001315F0">
        <w:rPr>
          <w:rFonts w:ascii="Calibri" w:eastAsia="Times New Roman" w:hAnsi="Calibri" w:cs="Times New Roman"/>
          <w:i/>
          <w:sz w:val="24"/>
          <w:szCs w:val="24"/>
          <w:lang w:eastAsia="en-GB"/>
        </w:rPr>
        <w:t xml:space="preserve">“awkward.” </w:t>
      </w:r>
    </w:p>
    <w:p w14:paraId="478784C6" w14:textId="77777777" w:rsidR="00C83D0C" w:rsidRPr="001315F0" w:rsidRDefault="00C83D0C" w:rsidP="00CF04FC">
      <w:pPr>
        <w:spacing w:line="480" w:lineRule="auto"/>
        <w:jc w:val="both"/>
        <w:rPr>
          <w:rFonts w:ascii="Calibri" w:eastAsia="Times New Roman" w:hAnsi="Calibri" w:cs="Times New Roman"/>
          <w:i/>
          <w:sz w:val="24"/>
          <w:szCs w:val="24"/>
          <w:lang w:eastAsia="en-GB"/>
        </w:rPr>
      </w:pPr>
      <w:r w:rsidRPr="001315F0">
        <w:rPr>
          <w:rFonts w:ascii="Calibri" w:eastAsia="Times New Roman" w:hAnsi="Calibri" w:cs="Times New Roman"/>
          <w:sz w:val="24"/>
          <w:szCs w:val="24"/>
          <w:lang w:eastAsia="en-GB"/>
        </w:rPr>
        <w:t xml:space="preserve">Some of the carer’s stresses appeared to be linked to the amount of support that she has received. When talking about how she had attempted to call one service for help she recounts </w:t>
      </w:r>
      <w:r w:rsidRPr="001315F0">
        <w:rPr>
          <w:rFonts w:ascii="Calibri" w:eastAsia="Times New Roman" w:hAnsi="Calibri" w:cs="Times New Roman"/>
          <w:i/>
          <w:sz w:val="24"/>
          <w:szCs w:val="24"/>
          <w:lang w:eastAsia="en-GB"/>
        </w:rPr>
        <w:t xml:space="preserve">“they asked if the placement was at risk of breaking down, I said no, then they said we can’t help you. So I just cried.” </w:t>
      </w:r>
      <w:r w:rsidRPr="001315F0">
        <w:rPr>
          <w:rFonts w:ascii="Calibri" w:eastAsia="Times New Roman" w:hAnsi="Calibri" w:cs="Times New Roman"/>
          <w:sz w:val="24"/>
          <w:szCs w:val="24"/>
          <w:lang w:eastAsia="en-GB"/>
        </w:rPr>
        <w:t xml:space="preserve"> She also shared that, whilst at first things appeared to be going well, as time passed </w:t>
      </w:r>
      <w:r w:rsidRPr="001315F0">
        <w:rPr>
          <w:rFonts w:ascii="Calibri" w:eastAsia="Times New Roman" w:hAnsi="Calibri" w:cs="Times New Roman"/>
          <w:i/>
          <w:sz w:val="24"/>
          <w:szCs w:val="24"/>
          <w:lang w:eastAsia="en-GB"/>
        </w:rPr>
        <w:t>“family and friends backed off and the list of support numbers I had been given didn’t work.”</w:t>
      </w:r>
      <w:r w:rsidRPr="001315F0">
        <w:rPr>
          <w:rFonts w:ascii="Calibri" w:eastAsia="Times New Roman" w:hAnsi="Calibri" w:cs="Times New Roman"/>
          <w:sz w:val="24"/>
          <w:szCs w:val="24"/>
          <w:lang w:eastAsia="en-GB"/>
        </w:rPr>
        <w:t xml:space="preserve"> This conversation eventually culminated with the carer admitting that she no longer knew where to turn to for support, adding </w:t>
      </w:r>
      <w:r w:rsidRPr="001315F0">
        <w:rPr>
          <w:rFonts w:ascii="Calibri" w:eastAsia="Times New Roman" w:hAnsi="Calibri" w:cs="Times New Roman"/>
          <w:i/>
          <w:sz w:val="24"/>
          <w:szCs w:val="24"/>
          <w:lang w:eastAsia="en-GB"/>
        </w:rPr>
        <w:t>“I just don’t know who to trust.”</w:t>
      </w:r>
    </w:p>
    <w:p w14:paraId="34FD707B"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There were, however, also some positive defining features to this factor. These included feeling like the child was doing well at school, and not feeling like the child was displaying a lot of unsettled behaviours. It could be hypothesised that having these positive factors amongst the negative ones are the reason that this placement was not at risk of breaking down. </w:t>
      </w:r>
    </w:p>
    <w:p w14:paraId="79D0DC45" w14:textId="77777777" w:rsidR="00C83D0C" w:rsidRPr="001315F0" w:rsidRDefault="00C83D0C" w:rsidP="00CF04FC">
      <w:pPr>
        <w:spacing w:line="480" w:lineRule="auto"/>
        <w:jc w:val="both"/>
        <w:rPr>
          <w:rFonts w:ascii="Calibri" w:eastAsia="Times New Roman" w:hAnsi="Calibri" w:cs="Times New Roman"/>
          <w:sz w:val="24"/>
          <w:szCs w:val="24"/>
          <w:lang w:eastAsia="en-GB"/>
        </w:rPr>
      </w:pPr>
      <w:r w:rsidRPr="001315F0">
        <w:rPr>
          <w:rFonts w:ascii="Calibri" w:eastAsia="Times New Roman" w:hAnsi="Calibri" w:cs="Times New Roman"/>
          <w:sz w:val="24"/>
          <w:szCs w:val="24"/>
          <w:lang w:eastAsia="en-GB"/>
        </w:rPr>
        <w:t xml:space="preserve">Summary: This participant’s positive experiences had become outweighed by the negative. She was feeling let down by services, was struggling with the biological parents and did not feel like she had a good bond with the child. Cumulatively this had led her to feel very angry. </w:t>
      </w:r>
    </w:p>
    <w:p w14:paraId="4DB3E9C2" w14:textId="77777777" w:rsidR="00B536CE" w:rsidRPr="001315F0" w:rsidRDefault="00B536CE" w:rsidP="00CF04FC">
      <w:pPr>
        <w:spacing w:line="480" w:lineRule="auto"/>
        <w:jc w:val="center"/>
        <w:rPr>
          <w:b/>
          <w:sz w:val="24"/>
        </w:rPr>
      </w:pPr>
    </w:p>
    <w:p w14:paraId="5C9F4F1B" w14:textId="4BEC9243" w:rsidR="00C83D0C" w:rsidRPr="001315F0" w:rsidRDefault="00C83D0C" w:rsidP="00CF04FC">
      <w:pPr>
        <w:spacing w:line="480" w:lineRule="auto"/>
        <w:jc w:val="center"/>
        <w:rPr>
          <w:b/>
          <w:sz w:val="24"/>
        </w:rPr>
      </w:pPr>
      <w:r w:rsidRPr="001315F0">
        <w:rPr>
          <w:b/>
          <w:sz w:val="24"/>
        </w:rPr>
        <w:t>Discussion</w:t>
      </w:r>
    </w:p>
    <w:p w14:paraId="66AAAB61" w14:textId="0C2802CC" w:rsidR="00C83D0C" w:rsidRPr="001315F0" w:rsidRDefault="00C83D0C" w:rsidP="00CF04FC">
      <w:pPr>
        <w:spacing w:line="480" w:lineRule="auto"/>
        <w:jc w:val="both"/>
        <w:rPr>
          <w:sz w:val="24"/>
        </w:rPr>
      </w:pPr>
      <w:r w:rsidRPr="001315F0">
        <w:rPr>
          <w:sz w:val="24"/>
        </w:rPr>
        <w:t>This study set out to retrospectively explore carers’ exp</w:t>
      </w:r>
      <w:r w:rsidR="00F1299C" w:rsidRPr="001315F0">
        <w:rPr>
          <w:sz w:val="24"/>
        </w:rPr>
        <w:t>eriences and perceptions of SGO</w:t>
      </w:r>
      <w:r w:rsidRPr="001315F0">
        <w:rPr>
          <w:sz w:val="24"/>
        </w:rPr>
        <w:t>s over time. Whilst there are published guidel</w:t>
      </w:r>
      <w:r w:rsidR="00F1299C" w:rsidRPr="001315F0">
        <w:rPr>
          <w:sz w:val="24"/>
        </w:rPr>
        <w:t>ines available advising how SGO</w:t>
      </w:r>
      <w:r w:rsidRPr="001315F0">
        <w:rPr>
          <w:sz w:val="24"/>
        </w:rPr>
        <w:t xml:space="preserve">s should be implemented, and how carers should be supported, there is limited literature </w:t>
      </w:r>
      <w:r w:rsidR="006B76A6" w:rsidRPr="001315F0">
        <w:rPr>
          <w:sz w:val="24"/>
        </w:rPr>
        <w:t xml:space="preserve">currently </w:t>
      </w:r>
      <w:r w:rsidRPr="001315F0">
        <w:rPr>
          <w:sz w:val="24"/>
        </w:rPr>
        <w:t xml:space="preserve">available to suggest whether these guidelines are being followed and what the outcomes for carers are. From analysing the Q-sorts of 10 carers, several accounts were identified that provide insight into how carers experience and perceive SGOs.  </w:t>
      </w:r>
    </w:p>
    <w:p w14:paraId="3C7D89A5" w14:textId="77777777" w:rsidR="00C83D0C" w:rsidRPr="001315F0" w:rsidRDefault="00C83D0C" w:rsidP="00CF04FC">
      <w:pPr>
        <w:spacing w:line="480" w:lineRule="auto"/>
        <w:jc w:val="both"/>
        <w:rPr>
          <w:sz w:val="24"/>
          <w:u w:val="single"/>
        </w:rPr>
      </w:pPr>
      <w:r w:rsidRPr="001315F0">
        <w:rPr>
          <w:sz w:val="24"/>
          <w:u w:val="single"/>
        </w:rPr>
        <w:t>Feelings of obligation and reward</w:t>
      </w:r>
    </w:p>
    <w:p w14:paraId="37165DE0" w14:textId="77777777" w:rsidR="00C83D0C" w:rsidRPr="001315F0" w:rsidRDefault="00C83D0C" w:rsidP="00CF04FC">
      <w:pPr>
        <w:spacing w:line="480" w:lineRule="auto"/>
        <w:jc w:val="both"/>
        <w:rPr>
          <w:sz w:val="24"/>
        </w:rPr>
      </w:pPr>
      <w:r w:rsidRPr="001315F0">
        <w:rPr>
          <w:sz w:val="24"/>
        </w:rPr>
        <w:t xml:space="preserve">This was a significant element of factors 1 and 2. In factor 1 the carers did not feel a strong sense of obligation to take on the role and reported a generally positive experience; however the carer in factor 2 reported a strong sense of obligation and described a largely negative experience. This therefore suggests that there is a relationship between how obliged a carer feels to take on the role and their overall perception of the SGO. </w:t>
      </w:r>
    </w:p>
    <w:p w14:paraId="701C3988" w14:textId="51AB4E82" w:rsidR="00C83D0C" w:rsidRPr="001315F0" w:rsidRDefault="00C83D0C" w:rsidP="00CF04FC">
      <w:pPr>
        <w:spacing w:line="480" w:lineRule="auto"/>
        <w:jc w:val="both"/>
        <w:rPr>
          <w:sz w:val="24"/>
        </w:rPr>
      </w:pPr>
      <w:r w:rsidRPr="001315F0">
        <w:rPr>
          <w:sz w:val="24"/>
        </w:rPr>
        <w:t>It appears therefore that this is something that needs to be taken into consideration when assessing carers. Current findings however concluded that carers reported feeling pressured to take on the caring role with little guidance and support in thinking about it (Department of Health, 2014</w:t>
      </w:r>
      <w:r w:rsidR="00210230" w:rsidRPr="001315F0">
        <w:rPr>
          <w:sz w:val="24"/>
        </w:rPr>
        <w:t xml:space="preserve">; </w:t>
      </w:r>
      <w:proofErr w:type="spellStart"/>
      <w:r w:rsidR="00210230" w:rsidRPr="001315F0">
        <w:rPr>
          <w:sz w:val="24"/>
        </w:rPr>
        <w:t>Hingley</w:t>
      </w:r>
      <w:proofErr w:type="spellEnd"/>
      <w:r w:rsidR="00210230" w:rsidRPr="001315F0">
        <w:rPr>
          <w:sz w:val="24"/>
        </w:rPr>
        <w:t xml:space="preserve"> at </w:t>
      </w:r>
      <w:proofErr w:type="spellStart"/>
      <w:r w:rsidR="00210230" w:rsidRPr="001315F0">
        <w:rPr>
          <w:sz w:val="24"/>
        </w:rPr>
        <w:t>al</w:t>
      </w:r>
      <w:proofErr w:type="spellEnd"/>
      <w:r w:rsidR="00210230" w:rsidRPr="001315F0">
        <w:rPr>
          <w:sz w:val="24"/>
        </w:rPr>
        <w:t>, 2019</w:t>
      </w:r>
      <w:r w:rsidRPr="001315F0">
        <w:rPr>
          <w:sz w:val="24"/>
        </w:rPr>
        <w:t xml:space="preserve">). Therefore this does not appear to be something that is being well addressed by services to date. </w:t>
      </w:r>
    </w:p>
    <w:p w14:paraId="05D80A79" w14:textId="77777777" w:rsidR="00C83D0C" w:rsidRPr="001315F0" w:rsidRDefault="00C83D0C" w:rsidP="00CF04FC">
      <w:pPr>
        <w:spacing w:line="480" w:lineRule="auto"/>
        <w:jc w:val="both"/>
        <w:rPr>
          <w:sz w:val="24"/>
        </w:rPr>
      </w:pPr>
      <w:r w:rsidRPr="001315F0">
        <w:rPr>
          <w:sz w:val="24"/>
        </w:rPr>
        <w:t xml:space="preserve">Feeling a sense of reward from the caring role also appeared to be significant within factors 1 and 2 specifically. When the sense of reward was higher, the outcomes appeared to be more positive. It seems logical to perceive that feeling a sense of satisfaction for any role is likely to result in better outcomes, so there is no reason to expect it to be any different for a caring responsibility such as an SGO. </w:t>
      </w:r>
    </w:p>
    <w:p w14:paraId="4C16855E" w14:textId="77777777" w:rsidR="00C83D0C" w:rsidRPr="001315F0" w:rsidRDefault="00C83D0C" w:rsidP="00CF04FC">
      <w:pPr>
        <w:spacing w:line="480" w:lineRule="auto"/>
        <w:jc w:val="both"/>
        <w:rPr>
          <w:sz w:val="24"/>
          <w:u w:val="single"/>
        </w:rPr>
      </w:pPr>
      <w:r w:rsidRPr="001315F0">
        <w:rPr>
          <w:sz w:val="24"/>
          <w:u w:val="single"/>
        </w:rPr>
        <w:t>Preparation and Support</w:t>
      </w:r>
    </w:p>
    <w:p w14:paraId="170756F2" w14:textId="77777777" w:rsidR="00C83D0C" w:rsidRPr="001315F0" w:rsidRDefault="00C83D0C" w:rsidP="00CF04FC">
      <w:pPr>
        <w:pStyle w:val="CommentText"/>
        <w:spacing w:line="480" w:lineRule="auto"/>
        <w:jc w:val="both"/>
        <w:rPr>
          <w:sz w:val="24"/>
        </w:rPr>
      </w:pPr>
      <w:r w:rsidRPr="001315F0">
        <w:rPr>
          <w:sz w:val="24"/>
        </w:rPr>
        <w:t xml:space="preserve">The findings of factor 1 suggest that carers did not understand what an SGO involved. Nor did they feel that this had improved over time. The carers reporting a lack of understanding, however, were some of the most positive about the placement, so knowledge and understanding about the SGO may not be as important as we perceive. What may be more relevant here is the need to make sure that carers are assessed based on their individual needs, rather than providing blanket information and support to everybody. </w:t>
      </w:r>
    </w:p>
    <w:p w14:paraId="0F9F35B1" w14:textId="77777777" w:rsidR="00C83D0C" w:rsidRPr="001315F0" w:rsidRDefault="00C83D0C" w:rsidP="00CF04FC">
      <w:pPr>
        <w:spacing w:line="480" w:lineRule="auto"/>
        <w:jc w:val="both"/>
        <w:rPr>
          <w:sz w:val="24"/>
        </w:rPr>
      </w:pPr>
      <w:r w:rsidRPr="001315F0">
        <w:rPr>
          <w:sz w:val="24"/>
        </w:rPr>
        <w:t xml:space="preserve">Three of the identified factors (2, 5, &amp; 7) were characterised by some feeling of being unsupported. This was also a significant concern which was raised by all carers to some extent during the research meeting and one that unfortunately is well documented in the literature. Several studies have concluded that, when comparing the support received by foster carers and kinship carers, kinship carers receive less professional support (Gebel, 1996; Farmer, 2010). </w:t>
      </w:r>
    </w:p>
    <w:p w14:paraId="69DB8E7B" w14:textId="37E00C5D" w:rsidR="00C83D0C" w:rsidRPr="001315F0" w:rsidRDefault="00C83D0C" w:rsidP="00CF04FC">
      <w:pPr>
        <w:spacing w:line="480" w:lineRule="auto"/>
        <w:jc w:val="both"/>
        <w:rPr>
          <w:sz w:val="24"/>
        </w:rPr>
      </w:pPr>
      <w:r w:rsidRPr="001315F0">
        <w:rPr>
          <w:sz w:val="24"/>
        </w:rPr>
        <w:t xml:space="preserve">One of the factors highlighted in this study was feeling unsupported financially, and </w:t>
      </w:r>
      <w:r w:rsidR="00D70F64" w:rsidRPr="001315F0">
        <w:rPr>
          <w:sz w:val="24"/>
        </w:rPr>
        <w:t>represented a significant</w:t>
      </w:r>
      <w:r w:rsidRPr="001315F0">
        <w:rPr>
          <w:sz w:val="24"/>
        </w:rPr>
        <w:t xml:space="preserve"> strain for one participant in particular. Again, this is something evidenced in the literature, and an issue which remains unclear due to different services across the country having different rules with regards to financial support of special guardians (Department for Education, 2014).</w:t>
      </w:r>
    </w:p>
    <w:p w14:paraId="26F5F3F4" w14:textId="0A81C8AD" w:rsidR="00C83D0C" w:rsidRPr="001315F0" w:rsidRDefault="00C83D0C" w:rsidP="00CF04FC">
      <w:pPr>
        <w:spacing w:line="480" w:lineRule="auto"/>
        <w:jc w:val="both"/>
        <w:rPr>
          <w:sz w:val="24"/>
        </w:rPr>
      </w:pPr>
      <w:r w:rsidRPr="001315F0">
        <w:rPr>
          <w:sz w:val="24"/>
        </w:rPr>
        <w:t xml:space="preserve">Feeling unsupported by services in general and not knowing who to turn to for support was another common concern. This was a significant difficulty in factor 7, with a lack of support managing contact with biological parents being a </w:t>
      </w:r>
      <w:r w:rsidR="00995CD3" w:rsidRPr="001315F0">
        <w:rPr>
          <w:sz w:val="24"/>
        </w:rPr>
        <w:t>significant</w:t>
      </w:r>
      <w:r w:rsidRPr="001315F0">
        <w:rPr>
          <w:sz w:val="24"/>
        </w:rPr>
        <w:t xml:space="preserve"> cause of stress. This brings into question how well guidelines and recommendations are being implemented by services given that a need for ongoing specialist support and specific support around contact with birth families is clearly recommended in the guidelines (Department for Education, 2017).</w:t>
      </w:r>
    </w:p>
    <w:p w14:paraId="449CA75D" w14:textId="77777777" w:rsidR="00C83D0C" w:rsidRPr="001315F0" w:rsidRDefault="00C83D0C" w:rsidP="00CF04FC">
      <w:pPr>
        <w:spacing w:line="480" w:lineRule="auto"/>
        <w:jc w:val="both"/>
        <w:rPr>
          <w:sz w:val="24"/>
        </w:rPr>
      </w:pPr>
      <w:r w:rsidRPr="001315F0">
        <w:rPr>
          <w:sz w:val="24"/>
        </w:rPr>
        <w:t xml:space="preserve">Contrary to this, however, was the sense of being well-supported by family members, which appeared to be a defining characteristic of factor </w:t>
      </w:r>
      <w:proofErr w:type="gramStart"/>
      <w:r w:rsidRPr="001315F0">
        <w:rPr>
          <w:sz w:val="24"/>
        </w:rPr>
        <w:t>7.</w:t>
      </w:r>
      <w:proofErr w:type="gramEnd"/>
      <w:r w:rsidRPr="001315F0">
        <w:rPr>
          <w:sz w:val="24"/>
        </w:rPr>
        <w:t xml:space="preserve"> It could be hypothesised that having this protective factor helps carers to balance out some of the other difficulties, and supports their desire to not give up the caring responsibility. </w:t>
      </w:r>
    </w:p>
    <w:p w14:paraId="48CD7ED0" w14:textId="77777777" w:rsidR="00C83D0C" w:rsidRPr="001315F0" w:rsidRDefault="00C83D0C" w:rsidP="00CF04FC">
      <w:pPr>
        <w:spacing w:line="480" w:lineRule="auto"/>
        <w:jc w:val="both"/>
        <w:rPr>
          <w:sz w:val="24"/>
          <w:u w:val="single"/>
        </w:rPr>
      </w:pPr>
      <w:r w:rsidRPr="001315F0">
        <w:rPr>
          <w:sz w:val="24"/>
          <w:u w:val="single"/>
        </w:rPr>
        <w:t>Training</w:t>
      </w:r>
    </w:p>
    <w:p w14:paraId="0E86DE36" w14:textId="77777777" w:rsidR="00C83D0C" w:rsidRPr="001315F0" w:rsidRDefault="00C83D0C" w:rsidP="00CF04FC">
      <w:pPr>
        <w:spacing w:line="480" w:lineRule="auto"/>
        <w:jc w:val="both"/>
        <w:rPr>
          <w:sz w:val="24"/>
        </w:rPr>
      </w:pPr>
      <w:r w:rsidRPr="001315F0">
        <w:rPr>
          <w:sz w:val="24"/>
        </w:rPr>
        <w:t xml:space="preserve">A topic which had divided opinions was that of sufficient training being received. Whilst the majority of carers interviewed reported attending no training until things reached breaking point, two carers spoke of receiving lots of training opportunities early on, and the positive impact that this had for them. The findings of factor 4 therefore suggests that offering training to carers at the point of taking on the SGO can provide them with the skills they need to make the process a more positive experience, and ultimately improve the outcomes for both the carer and the child. It was also of note that the carers who did report receiving sufficient training were those who had obtained the SGOs most recently, therefore, it could be that this is a change that is already beginning to occur in some services. </w:t>
      </w:r>
    </w:p>
    <w:p w14:paraId="67077FA1" w14:textId="77777777" w:rsidR="00C83D0C" w:rsidRPr="001315F0" w:rsidRDefault="00C83D0C" w:rsidP="00CF04FC">
      <w:pPr>
        <w:spacing w:line="480" w:lineRule="auto"/>
        <w:jc w:val="both"/>
        <w:rPr>
          <w:sz w:val="24"/>
          <w:u w:val="single"/>
        </w:rPr>
      </w:pPr>
      <w:r w:rsidRPr="001315F0">
        <w:rPr>
          <w:sz w:val="24"/>
          <w:u w:val="single"/>
        </w:rPr>
        <w:t>Not giving up</w:t>
      </w:r>
    </w:p>
    <w:p w14:paraId="25B81E4E" w14:textId="77777777" w:rsidR="00C83D0C" w:rsidRPr="001315F0" w:rsidRDefault="00C83D0C" w:rsidP="00CF04FC">
      <w:pPr>
        <w:spacing w:line="480" w:lineRule="auto"/>
        <w:jc w:val="both"/>
        <w:rPr>
          <w:sz w:val="24"/>
        </w:rPr>
      </w:pPr>
      <w:r w:rsidRPr="001315F0">
        <w:rPr>
          <w:sz w:val="24"/>
        </w:rPr>
        <w:t xml:space="preserve">A sense that their home is the best place for the child to live and not feeling like the placement is at risk of breaking down, was a common view point across most of the factors. A sense of permanence is extremely important for the wellbeing of looked after children, and is something that they may not experience in foster care. It is also something that is supported by current British research. Farmer (2009 &amp; 2010) concluded from a case file analysis and subsequent interviews, that kinship carers displayed higher levels of commitment to the children and were more likely to persevere for longer when under strain than un-related foster carers were. Whilst this research is not directly comparable, it does suggest that special guardians do persevere despite being under significant strain in some cases. </w:t>
      </w:r>
    </w:p>
    <w:p w14:paraId="236F4F82" w14:textId="77777777" w:rsidR="00C83D0C" w:rsidRPr="001315F0" w:rsidRDefault="00C83D0C" w:rsidP="00CF04FC">
      <w:pPr>
        <w:spacing w:line="480" w:lineRule="auto"/>
        <w:jc w:val="both"/>
        <w:rPr>
          <w:sz w:val="24"/>
        </w:rPr>
      </w:pPr>
      <w:r w:rsidRPr="001315F0">
        <w:rPr>
          <w:sz w:val="24"/>
        </w:rPr>
        <w:t xml:space="preserve">Furthermore, a sense that the child feels part of the family was a defining characteristic of factor 1. It could be hypothesised that this may increase the likelihood of the placement being a stable and permanent home for the child. This will also offer the opportunity for children to develop stable attachments to their </w:t>
      </w:r>
      <w:proofErr w:type="spellStart"/>
      <w:r w:rsidRPr="001315F0">
        <w:rPr>
          <w:sz w:val="24"/>
        </w:rPr>
        <w:t>carers</w:t>
      </w:r>
      <w:proofErr w:type="spellEnd"/>
      <w:r w:rsidRPr="001315F0">
        <w:rPr>
          <w:sz w:val="24"/>
        </w:rPr>
        <w:t>, which we know is important for development and psych</w:t>
      </w:r>
      <w:r w:rsidR="00CF04FC" w:rsidRPr="001315F0">
        <w:rPr>
          <w:sz w:val="24"/>
        </w:rPr>
        <w:t>ological wellbeing (Bowlby, 1979</w:t>
      </w:r>
      <w:r w:rsidRPr="001315F0">
        <w:rPr>
          <w:sz w:val="24"/>
        </w:rPr>
        <w:t>). It is also possible that this is a reason why kinship placements tend to see fewer placements breakdowns than foster placements do (</w:t>
      </w:r>
      <w:proofErr w:type="spellStart"/>
      <w:r w:rsidRPr="001315F0">
        <w:rPr>
          <w:rFonts w:cs="Arial"/>
          <w:sz w:val="24"/>
          <w:szCs w:val="24"/>
        </w:rPr>
        <w:t>Oosterman</w:t>
      </w:r>
      <w:proofErr w:type="spellEnd"/>
      <w:r w:rsidRPr="001315F0">
        <w:rPr>
          <w:rFonts w:cs="Arial"/>
          <w:sz w:val="24"/>
          <w:szCs w:val="24"/>
        </w:rPr>
        <w:t xml:space="preserve"> et al., 2007)</w:t>
      </w:r>
      <w:r w:rsidRPr="001315F0">
        <w:rPr>
          <w:sz w:val="24"/>
        </w:rPr>
        <w:t>.</w:t>
      </w:r>
    </w:p>
    <w:p w14:paraId="0049F869" w14:textId="77777777" w:rsidR="00C83D0C" w:rsidRPr="001315F0" w:rsidRDefault="00C83D0C" w:rsidP="00CF04FC">
      <w:pPr>
        <w:spacing w:line="480" w:lineRule="auto"/>
        <w:jc w:val="both"/>
        <w:rPr>
          <w:sz w:val="24"/>
        </w:rPr>
      </w:pPr>
    </w:p>
    <w:p w14:paraId="30CB80E1" w14:textId="47EA79D6" w:rsidR="00C83D0C" w:rsidRPr="001315F0" w:rsidRDefault="00D70F64" w:rsidP="00CF04FC">
      <w:pPr>
        <w:spacing w:line="480" w:lineRule="auto"/>
        <w:jc w:val="both"/>
        <w:rPr>
          <w:i/>
          <w:sz w:val="24"/>
        </w:rPr>
      </w:pPr>
      <w:r w:rsidRPr="001315F0">
        <w:rPr>
          <w:i/>
          <w:sz w:val="24"/>
        </w:rPr>
        <w:t>Practice</w:t>
      </w:r>
      <w:r w:rsidR="00C83D0C" w:rsidRPr="001315F0">
        <w:rPr>
          <w:i/>
          <w:sz w:val="24"/>
        </w:rPr>
        <w:t xml:space="preserve"> Implications</w:t>
      </w:r>
    </w:p>
    <w:p w14:paraId="0A1BFC14" w14:textId="77777777" w:rsidR="00C83D0C" w:rsidRPr="001315F0" w:rsidRDefault="00C83D0C" w:rsidP="00CF04FC">
      <w:pPr>
        <w:spacing w:line="480" w:lineRule="auto"/>
        <w:jc w:val="both"/>
        <w:rPr>
          <w:sz w:val="24"/>
        </w:rPr>
      </w:pPr>
      <w:r w:rsidRPr="001315F0">
        <w:rPr>
          <w:sz w:val="24"/>
        </w:rPr>
        <w:t xml:space="preserve">The findings suggest that on the whole special guardians have a strong sense that the best place for the child to be living is with them, therefore services have a duty to make sure that they are being supported in the best possible way. </w:t>
      </w:r>
    </w:p>
    <w:p w14:paraId="6EA23FF0" w14:textId="77777777" w:rsidR="00C83D0C" w:rsidRPr="001315F0" w:rsidRDefault="00C83D0C" w:rsidP="00CF04FC">
      <w:pPr>
        <w:spacing w:line="480" w:lineRule="auto"/>
        <w:jc w:val="both"/>
        <w:rPr>
          <w:sz w:val="24"/>
        </w:rPr>
      </w:pPr>
      <w:r w:rsidRPr="001315F0">
        <w:rPr>
          <w:sz w:val="24"/>
        </w:rPr>
        <w:t xml:space="preserve">With regards to the importance of feeling a sense of obligation to take on the role as highlighted in factors 1 and 2, an awareness of the impact that this could have should be held in mind by professionals, and attempts made to try and balance prioritising timely permanence for young people whilst giving prospective carers the opportunity to fully consider what they are taking on-board. It was of note that some of the more negative responses came from a grandparent and great aunt, therefore, it could be considered whether closer family members may need more space to consider this role, given the greater sense of obligation they may feel to accept it. </w:t>
      </w:r>
    </w:p>
    <w:p w14:paraId="617BCEA0" w14:textId="77777777" w:rsidR="00C83D0C" w:rsidRPr="001315F0" w:rsidRDefault="00C83D0C" w:rsidP="00CF04FC">
      <w:pPr>
        <w:spacing w:line="480" w:lineRule="auto"/>
        <w:jc w:val="both"/>
        <w:rPr>
          <w:rFonts w:cs="Arial"/>
          <w:sz w:val="24"/>
        </w:rPr>
      </w:pPr>
      <w:r w:rsidRPr="001315F0">
        <w:rPr>
          <w:rFonts w:cs="Arial"/>
          <w:sz w:val="24"/>
        </w:rPr>
        <w:t xml:space="preserve">Furthermore, as also highlighted in factors 1 and 2, carers felt unprepared to take on the role and had little understanding of what an SGO is. This is supported by the findings of the Department of Health’s research document (2014), and therefore suggests that more preparatory work for carers who are considering applying for an SGO would be beneficial. It is also important for this work to be individualised to each carer’s specific needs. </w:t>
      </w:r>
    </w:p>
    <w:p w14:paraId="65B2B474" w14:textId="77777777" w:rsidR="00C83D0C" w:rsidRPr="001315F0" w:rsidRDefault="00C83D0C" w:rsidP="00CF04FC">
      <w:pPr>
        <w:spacing w:line="480" w:lineRule="auto"/>
        <w:jc w:val="both"/>
        <w:rPr>
          <w:rFonts w:cs="Arial"/>
          <w:sz w:val="24"/>
        </w:rPr>
      </w:pPr>
      <w:r w:rsidRPr="001315F0">
        <w:rPr>
          <w:rFonts w:cs="Arial"/>
          <w:sz w:val="24"/>
        </w:rPr>
        <w:t>Factors 2 and 7 highlighted a feeling of being unsupported. Eight of the ten carers interviewed reported that they received no specific training or support until they began to struggle and sought help themselves from a specialist service. This led to some reporting feelings of anger, stress, isolation, confusion and sadness. C</w:t>
      </w:r>
      <w:r w:rsidRPr="001315F0">
        <w:rPr>
          <w:sz w:val="24"/>
        </w:rPr>
        <w:t xml:space="preserve">urrent recommendations in England by the National Institute of Clinical Excellence (NICE) are to </w:t>
      </w:r>
      <w:r w:rsidRPr="001315F0">
        <w:rPr>
          <w:rFonts w:ascii="Lato" w:hAnsi="Lato" w:cs="Lato"/>
          <w:sz w:val="24"/>
          <w:szCs w:val="24"/>
        </w:rPr>
        <w:t>“</w:t>
      </w:r>
      <w:r w:rsidRPr="001315F0">
        <w:rPr>
          <w:rFonts w:cs="Lato"/>
          <w:i/>
          <w:sz w:val="24"/>
          <w:szCs w:val="24"/>
        </w:rPr>
        <w:t>Ensure foster carers and their families (including carers who are family or friends) receive high quality ongoing support packages”</w:t>
      </w:r>
      <w:r w:rsidRPr="001315F0">
        <w:rPr>
          <w:sz w:val="24"/>
        </w:rPr>
        <w:t xml:space="preserve"> (NICE, 2010, p.51).</w:t>
      </w:r>
      <w:r w:rsidRPr="001315F0">
        <w:rPr>
          <w:rFonts w:cs="Arial"/>
          <w:sz w:val="24"/>
        </w:rPr>
        <w:t xml:space="preserve"> It appears that this is a clear gap in services, however, and this should be addressed moving forwards.</w:t>
      </w:r>
    </w:p>
    <w:p w14:paraId="13C1A84D" w14:textId="2FFC56C9" w:rsidR="00C83D0C" w:rsidRPr="001315F0" w:rsidRDefault="00C83D0C" w:rsidP="00CF04FC">
      <w:pPr>
        <w:spacing w:line="480" w:lineRule="auto"/>
        <w:jc w:val="both"/>
        <w:rPr>
          <w:rFonts w:cs="Arial"/>
          <w:sz w:val="24"/>
        </w:rPr>
      </w:pPr>
      <w:r w:rsidRPr="001315F0">
        <w:rPr>
          <w:rFonts w:cs="Arial"/>
          <w:sz w:val="24"/>
        </w:rPr>
        <w:t>Possible options that may address these issue</w:t>
      </w:r>
      <w:r w:rsidR="00995CD3" w:rsidRPr="001315F0">
        <w:rPr>
          <w:rFonts w:cs="Arial"/>
          <w:sz w:val="24"/>
        </w:rPr>
        <w:t>s</w:t>
      </w:r>
      <w:r w:rsidRPr="001315F0">
        <w:rPr>
          <w:rFonts w:cs="Arial"/>
          <w:sz w:val="24"/>
        </w:rPr>
        <w:t xml:space="preserve"> are: 1) more training prior to applying for the SGO, specifically around the complexity of attachment, how a child’s prior experiences may impact their current behaviours, and managing contact with biological families; 2) more opportunities for peer sup</w:t>
      </w:r>
      <w:r w:rsidR="00F1299C" w:rsidRPr="001315F0">
        <w:rPr>
          <w:rFonts w:cs="Arial"/>
          <w:sz w:val="24"/>
        </w:rPr>
        <w:t>port and meeting with other SGO</w:t>
      </w:r>
      <w:r w:rsidRPr="001315F0">
        <w:rPr>
          <w:rFonts w:cs="Arial"/>
          <w:sz w:val="24"/>
        </w:rPr>
        <w:t xml:space="preserve">s possibly via support groups; and 3) ongoing contact from services on a needs-led basis, including having clear and up-to-date guidance about where to turn to for support, if it is needed. </w:t>
      </w:r>
    </w:p>
    <w:p w14:paraId="07624381" w14:textId="70872F9B" w:rsidR="00C83D0C" w:rsidRPr="001315F0" w:rsidRDefault="00C83D0C" w:rsidP="00CF04FC">
      <w:pPr>
        <w:spacing w:line="480" w:lineRule="auto"/>
        <w:jc w:val="both"/>
        <w:rPr>
          <w:rFonts w:cs="Arial"/>
          <w:sz w:val="24"/>
        </w:rPr>
      </w:pPr>
      <w:r w:rsidRPr="001315F0">
        <w:rPr>
          <w:rFonts w:cs="Arial"/>
          <w:sz w:val="24"/>
        </w:rPr>
        <w:t xml:space="preserve">Finally, it appears that carers report a more positive experience when they claim the child is part of their family. Consideration should be given to whether there is a need to psychologically assess the bond between the child and potential carer prior to the SGO being sought, as not feeling like there is good bond between the carer and child was a significant contributor to an overall negative experience within factor 7. This could be done using tools such as the </w:t>
      </w:r>
      <w:proofErr w:type="spellStart"/>
      <w:r w:rsidRPr="001315F0">
        <w:rPr>
          <w:rFonts w:cs="Arial"/>
          <w:sz w:val="24"/>
        </w:rPr>
        <w:t>Marschak</w:t>
      </w:r>
      <w:proofErr w:type="spellEnd"/>
      <w:r w:rsidRPr="001315F0">
        <w:rPr>
          <w:rFonts w:cs="Arial"/>
          <w:sz w:val="24"/>
        </w:rPr>
        <w:t xml:space="preserve"> Interaction Method (</w:t>
      </w:r>
      <w:proofErr w:type="spellStart"/>
      <w:r w:rsidRPr="001315F0">
        <w:rPr>
          <w:rFonts w:cs="Arial"/>
          <w:sz w:val="24"/>
        </w:rPr>
        <w:t>Marschak</w:t>
      </w:r>
      <w:proofErr w:type="spellEnd"/>
      <w:r w:rsidRPr="001315F0">
        <w:rPr>
          <w:rFonts w:cs="Arial"/>
          <w:sz w:val="24"/>
        </w:rPr>
        <w:t>, 1960), or the Working Model of the Child Interview (Benoit et al., 1997).</w:t>
      </w:r>
      <w:r w:rsidR="008B3D86" w:rsidRPr="001315F0">
        <w:rPr>
          <w:rFonts w:cs="Arial"/>
          <w:sz w:val="24"/>
        </w:rPr>
        <w:t xml:space="preserve"> </w:t>
      </w:r>
      <w:r w:rsidRPr="001315F0">
        <w:rPr>
          <w:rFonts w:cs="Arial"/>
          <w:sz w:val="24"/>
        </w:rPr>
        <w:t xml:space="preserve"> </w:t>
      </w:r>
    </w:p>
    <w:p w14:paraId="5FC461CF" w14:textId="77777777" w:rsidR="00C83D0C" w:rsidRPr="001315F0" w:rsidRDefault="00C83D0C" w:rsidP="00CF04FC">
      <w:pPr>
        <w:spacing w:line="480" w:lineRule="auto"/>
        <w:jc w:val="both"/>
        <w:rPr>
          <w:rFonts w:cs="Arial"/>
          <w:sz w:val="24"/>
        </w:rPr>
      </w:pPr>
      <w:r w:rsidRPr="001315F0">
        <w:rPr>
          <w:rFonts w:cs="Arial"/>
          <w:sz w:val="24"/>
        </w:rPr>
        <w:t xml:space="preserve">  </w:t>
      </w:r>
    </w:p>
    <w:p w14:paraId="0BE93A03" w14:textId="77777777" w:rsidR="00C83D0C" w:rsidRPr="001315F0" w:rsidRDefault="00C83D0C" w:rsidP="00CF04FC">
      <w:pPr>
        <w:spacing w:line="480" w:lineRule="auto"/>
        <w:jc w:val="both"/>
        <w:rPr>
          <w:i/>
          <w:sz w:val="24"/>
        </w:rPr>
      </w:pPr>
      <w:r w:rsidRPr="001315F0">
        <w:rPr>
          <w:i/>
          <w:sz w:val="24"/>
        </w:rPr>
        <w:t>Future Research</w:t>
      </w:r>
    </w:p>
    <w:p w14:paraId="0D634994" w14:textId="558D41D9" w:rsidR="00C83D0C" w:rsidRPr="001315F0" w:rsidRDefault="0060019F" w:rsidP="00CF04FC">
      <w:pPr>
        <w:spacing w:line="480" w:lineRule="auto"/>
        <w:jc w:val="both"/>
        <w:rPr>
          <w:sz w:val="24"/>
        </w:rPr>
      </w:pPr>
      <w:r w:rsidRPr="001315F0">
        <w:rPr>
          <w:sz w:val="24"/>
        </w:rPr>
        <w:t>This study</w:t>
      </w:r>
      <w:r w:rsidR="00C83D0C" w:rsidRPr="001315F0">
        <w:rPr>
          <w:sz w:val="24"/>
        </w:rPr>
        <w:t xml:space="preserve"> explored the experiences faced by special guardians in the caring role that they undertake, however, there is </w:t>
      </w:r>
      <w:r w:rsidRPr="001315F0">
        <w:rPr>
          <w:sz w:val="24"/>
        </w:rPr>
        <w:t xml:space="preserve">definite </w:t>
      </w:r>
      <w:r w:rsidR="00C83D0C" w:rsidRPr="001315F0">
        <w:rPr>
          <w:sz w:val="24"/>
        </w:rPr>
        <w:t>scope for furth</w:t>
      </w:r>
      <w:r w:rsidRPr="001315F0">
        <w:rPr>
          <w:sz w:val="24"/>
        </w:rPr>
        <w:t>er research in this field</w:t>
      </w:r>
      <w:r w:rsidR="00C83D0C" w:rsidRPr="001315F0">
        <w:rPr>
          <w:sz w:val="24"/>
        </w:rPr>
        <w:t>. Whilst the use of Q-method was appropriate due to the lack of current research to date, there is opportunity to further explore carer’s experiences using a more qualitative approach, allowing them the time to properly share their stories. It would also be beneficial to hear the views of a larger sample of carers across a larger geographical area to support the generalisability of findings.</w:t>
      </w:r>
    </w:p>
    <w:p w14:paraId="350A66FE" w14:textId="5ED3F742" w:rsidR="00C83D0C" w:rsidRPr="001315F0" w:rsidRDefault="00C83D0C" w:rsidP="00CF04FC">
      <w:pPr>
        <w:spacing w:line="480" w:lineRule="auto"/>
        <w:jc w:val="both"/>
        <w:rPr>
          <w:sz w:val="24"/>
        </w:rPr>
      </w:pPr>
      <w:r w:rsidRPr="001315F0">
        <w:rPr>
          <w:sz w:val="24"/>
        </w:rPr>
        <w:t xml:space="preserve"> Further areas of interest also include, but are not limited to; comparing experiences of family members and non-related foster care</w:t>
      </w:r>
      <w:r w:rsidR="00D70F64" w:rsidRPr="001315F0">
        <w:rPr>
          <w:sz w:val="24"/>
        </w:rPr>
        <w:t>r</w:t>
      </w:r>
      <w:r w:rsidRPr="001315F0">
        <w:rPr>
          <w:sz w:val="24"/>
        </w:rPr>
        <w:t>s, exploring long-term outcomes of children placed under an SGO, exploring</w:t>
      </w:r>
      <w:r w:rsidR="00F1299C" w:rsidRPr="001315F0">
        <w:rPr>
          <w:sz w:val="24"/>
        </w:rPr>
        <w:t xml:space="preserve"> children’s perspectives of SGO</w:t>
      </w:r>
      <w:r w:rsidRPr="001315F0">
        <w:rPr>
          <w:sz w:val="24"/>
        </w:rPr>
        <w:t xml:space="preserve">s, exploring biological parents’ perspectives of SGOs, exploring the impact of interventions such as training/research/role preparation given disparities in this across the country, and finally research on Special Guardians’ own attachment style and the impact on long-term outcomes. </w:t>
      </w:r>
    </w:p>
    <w:p w14:paraId="6B1DE8E6" w14:textId="77777777" w:rsidR="00C83D0C" w:rsidRPr="001315F0" w:rsidRDefault="00C83D0C" w:rsidP="00CF04FC">
      <w:pPr>
        <w:spacing w:line="480" w:lineRule="auto"/>
        <w:jc w:val="both"/>
        <w:rPr>
          <w:i/>
          <w:sz w:val="24"/>
        </w:rPr>
      </w:pPr>
    </w:p>
    <w:p w14:paraId="757CBC75" w14:textId="77777777" w:rsidR="00C83D0C" w:rsidRPr="001315F0" w:rsidRDefault="00C83D0C" w:rsidP="00CF04FC">
      <w:pPr>
        <w:spacing w:line="480" w:lineRule="auto"/>
        <w:jc w:val="both"/>
        <w:rPr>
          <w:i/>
          <w:sz w:val="24"/>
        </w:rPr>
      </w:pPr>
      <w:r w:rsidRPr="001315F0">
        <w:rPr>
          <w:i/>
          <w:sz w:val="24"/>
        </w:rPr>
        <w:t>Limitations</w:t>
      </w:r>
    </w:p>
    <w:p w14:paraId="4D56CCEA" w14:textId="6A09BBAD" w:rsidR="00C83D0C" w:rsidRPr="001315F0" w:rsidRDefault="009B2699" w:rsidP="00CF04FC">
      <w:pPr>
        <w:spacing w:line="480" w:lineRule="auto"/>
        <w:jc w:val="both"/>
        <w:rPr>
          <w:sz w:val="24"/>
        </w:rPr>
      </w:pPr>
      <w:r w:rsidRPr="001315F0">
        <w:rPr>
          <w:sz w:val="24"/>
        </w:rPr>
        <w:t xml:space="preserve">The results are </w:t>
      </w:r>
      <w:r w:rsidR="00C83D0C" w:rsidRPr="001315F0">
        <w:rPr>
          <w:sz w:val="24"/>
        </w:rPr>
        <w:t>based on ten individual carers and it is</w:t>
      </w:r>
      <w:r w:rsidRPr="001315F0">
        <w:rPr>
          <w:sz w:val="24"/>
        </w:rPr>
        <w:t xml:space="preserve"> therefore</w:t>
      </w:r>
      <w:r w:rsidR="00C83D0C" w:rsidRPr="001315F0">
        <w:rPr>
          <w:sz w:val="24"/>
        </w:rPr>
        <w:t xml:space="preserve"> difficult to generalise these findings to the wider population of special guardians. It is also of note that, whilst the five-factor model accounted for a reasonable amount of variance, some factors only pertained to the responses of a single participant.  Similarly, the findings are based on a sample of carers in </w:t>
      </w:r>
      <w:r w:rsidRPr="001315F0">
        <w:rPr>
          <w:sz w:val="24"/>
        </w:rPr>
        <w:t>one geographical location</w:t>
      </w:r>
      <w:r w:rsidR="00C83D0C" w:rsidRPr="001315F0">
        <w:rPr>
          <w:sz w:val="24"/>
        </w:rPr>
        <w:t xml:space="preserve"> only, and therefore we cannot discount that carers may have differing experiences in other geographical </w:t>
      </w:r>
      <w:r w:rsidR="0060019F" w:rsidRPr="001315F0">
        <w:rPr>
          <w:sz w:val="24"/>
        </w:rPr>
        <w:t>locations</w:t>
      </w:r>
      <w:r w:rsidR="00C83D0C" w:rsidRPr="001315F0">
        <w:rPr>
          <w:sz w:val="24"/>
        </w:rPr>
        <w:t xml:space="preserve">. </w:t>
      </w:r>
    </w:p>
    <w:p w14:paraId="498CDD7E" w14:textId="319B4F4E" w:rsidR="00995CD3" w:rsidRPr="001315F0" w:rsidRDefault="00995CD3" w:rsidP="00995CD3">
      <w:pPr>
        <w:pStyle w:val="CommentText"/>
        <w:spacing w:line="480" w:lineRule="auto"/>
        <w:rPr>
          <w:sz w:val="24"/>
        </w:rPr>
      </w:pPr>
      <w:r w:rsidRPr="001315F0">
        <w:rPr>
          <w:sz w:val="24"/>
        </w:rPr>
        <w:t xml:space="preserve">A learning point from the research was the implication of not including an explicit definition for participants of what the researchers meant by a familial relationship in the inclusion criteria. This meant participants volunteered who were not family members or relatives of the children for whom they had a SGO, yet conceptualised themselves as having a familial relationship. It may be that there are differences in perceptions of SGOs based on whether Special Guardians are familiarly-related to the </w:t>
      </w:r>
      <w:proofErr w:type="gramStart"/>
      <w:r w:rsidRPr="001315F0">
        <w:rPr>
          <w:sz w:val="24"/>
        </w:rPr>
        <w:t>child(</w:t>
      </w:r>
      <w:proofErr w:type="spellStart"/>
      <w:proofErr w:type="gramEnd"/>
      <w:r w:rsidRPr="001315F0">
        <w:rPr>
          <w:sz w:val="24"/>
        </w:rPr>
        <w:t>ren</w:t>
      </w:r>
      <w:proofErr w:type="spellEnd"/>
      <w:r w:rsidRPr="001315F0">
        <w:rPr>
          <w:sz w:val="24"/>
        </w:rPr>
        <w:t>) in their care or unrelated foster carers. The final group of participants was reasonably heterogeneous in respect to the nature of their relationship with the child in terms of closeness of relationship, for example, biological distance or likely pre-existing relationship prior to the SGO (e.g., distant relative vs grandparent) which may have been important in the range of perceptions of SGOs reflected in the final model.</w:t>
      </w:r>
    </w:p>
    <w:p w14:paraId="5B8CF481" w14:textId="77777777" w:rsidR="00995CD3" w:rsidRPr="001315F0" w:rsidRDefault="00995CD3" w:rsidP="00CF04FC">
      <w:pPr>
        <w:spacing w:line="480" w:lineRule="auto"/>
        <w:jc w:val="both"/>
        <w:rPr>
          <w:sz w:val="24"/>
        </w:rPr>
      </w:pPr>
    </w:p>
    <w:p w14:paraId="197E0B3B" w14:textId="77777777" w:rsidR="00C83D0C" w:rsidRPr="001315F0" w:rsidRDefault="00C83D0C" w:rsidP="00CF04FC">
      <w:pPr>
        <w:spacing w:line="480" w:lineRule="auto"/>
        <w:jc w:val="center"/>
        <w:rPr>
          <w:b/>
          <w:sz w:val="24"/>
        </w:rPr>
      </w:pPr>
      <w:r w:rsidRPr="001315F0">
        <w:rPr>
          <w:b/>
          <w:sz w:val="24"/>
        </w:rPr>
        <w:t>Conclusion</w:t>
      </w:r>
    </w:p>
    <w:p w14:paraId="13819FF1" w14:textId="77777777" w:rsidR="00C83D0C" w:rsidRPr="001315F0" w:rsidRDefault="00C83D0C" w:rsidP="00CF04FC">
      <w:pPr>
        <w:spacing w:line="480" w:lineRule="auto"/>
        <w:rPr>
          <w:sz w:val="24"/>
        </w:rPr>
      </w:pPr>
      <w:r w:rsidRPr="001315F0">
        <w:rPr>
          <w:sz w:val="24"/>
        </w:rPr>
        <w:t xml:space="preserve">To the best of the researcher’s knowledge, this is the first empirical study to explore carers’ experiences and perceptions of SGOs. Several common experiences amongst special guardians, both positive and negative were concluded. These include feeling as if the child in their care is one of the family and having no desire to end their caring role, seeing the role as rewarding and reporting the benefit of receiving training early on. Participants also expressed some areas of concern however that were linked to more negative overall experiences. These included feeling unsupported, feeling a strong obligation to take on the caring role, and not feeling prepared for what to expect. </w:t>
      </w:r>
    </w:p>
    <w:p w14:paraId="6EE19B4B" w14:textId="77777777" w:rsidR="00C83D0C" w:rsidRPr="001315F0" w:rsidRDefault="00C83D0C" w:rsidP="00CF04FC">
      <w:pPr>
        <w:spacing w:line="480" w:lineRule="auto"/>
        <w:rPr>
          <w:sz w:val="24"/>
        </w:rPr>
      </w:pPr>
      <w:r w:rsidRPr="001315F0">
        <w:rPr>
          <w:sz w:val="24"/>
        </w:rPr>
        <w:t xml:space="preserve">Consequently the study highlights a need for services to better prepare carers for the role they are taking on, and to better support them if times of difficulty arise. Whilst there are some limitations to this study, it does provide a clear basis for which further research in this area should be considered. </w:t>
      </w:r>
      <w:r w:rsidRPr="001315F0">
        <w:rPr>
          <w:sz w:val="24"/>
        </w:rPr>
        <w:br w:type="page"/>
      </w:r>
    </w:p>
    <w:p w14:paraId="600F75AB" w14:textId="77777777" w:rsidR="00C83D0C" w:rsidRPr="001315F0" w:rsidRDefault="00C83D0C" w:rsidP="00CF04FC">
      <w:pPr>
        <w:spacing w:line="480" w:lineRule="auto"/>
        <w:jc w:val="center"/>
        <w:rPr>
          <w:b/>
          <w:sz w:val="24"/>
          <w:szCs w:val="24"/>
        </w:rPr>
      </w:pPr>
      <w:r w:rsidRPr="001315F0">
        <w:rPr>
          <w:b/>
          <w:sz w:val="24"/>
          <w:szCs w:val="24"/>
        </w:rPr>
        <w:t>References</w:t>
      </w:r>
    </w:p>
    <w:p w14:paraId="4C2210D7" w14:textId="77777777" w:rsidR="00C83D0C" w:rsidRPr="001315F0" w:rsidRDefault="00C83D0C" w:rsidP="00CF04FC">
      <w:pPr>
        <w:spacing w:line="480" w:lineRule="auto"/>
        <w:ind w:left="851" w:hanging="851"/>
        <w:rPr>
          <w:sz w:val="24"/>
          <w:szCs w:val="24"/>
          <w:lang w:eastAsia="en-GB"/>
        </w:rPr>
      </w:pPr>
      <w:r w:rsidRPr="001315F0">
        <w:rPr>
          <w:sz w:val="24"/>
          <w:szCs w:val="24"/>
          <w:lang w:eastAsia="en-GB"/>
        </w:rPr>
        <w:t xml:space="preserve">Ainsworth, M. D. S., &amp; Bell, S. M. (1970). Attachment, exploration, and separation: Illustrated by the behaviour of one-year-olds in a strange situation. </w:t>
      </w:r>
      <w:r w:rsidRPr="001315F0">
        <w:rPr>
          <w:i/>
          <w:iCs/>
          <w:sz w:val="24"/>
          <w:szCs w:val="24"/>
          <w:lang w:eastAsia="en-GB"/>
        </w:rPr>
        <w:t>Child development</w:t>
      </w:r>
      <w:r w:rsidRPr="001315F0">
        <w:rPr>
          <w:sz w:val="24"/>
          <w:szCs w:val="24"/>
          <w:lang w:eastAsia="en-GB"/>
        </w:rPr>
        <w:t xml:space="preserve">, </w:t>
      </w:r>
      <w:r w:rsidRPr="001315F0">
        <w:rPr>
          <w:b/>
          <w:iCs/>
          <w:sz w:val="24"/>
          <w:szCs w:val="24"/>
          <w:lang w:eastAsia="en-GB"/>
        </w:rPr>
        <w:t>41</w:t>
      </w:r>
      <w:r w:rsidRPr="001315F0">
        <w:rPr>
          <w:sz w:val="24"/>
          <w:szCs w:val="24"/>
          <w:lang w:eastAsia="en-GB"/>
        </w:rPr>
        <w:t>(1), pp. 49-67.</w:t>
      </w:r>
    </w:p>
    <w:p w14:paraId="51ECDB46" w14:textId="77777777" w:rsidR="00C83D0C" w:rsidRPr="001315F0" w:rsidRDefault="00C83D0C" w:rsidP="00CF04FC">
      <w:pPr>
        <w:spacing w:line="480" w:lineRule="auto"/>
        <w:ind w:left="851" w:hanging="851"/>
        <w:rPr>
          <w:sz w:val="24"/>
          <w:szCs w:val="24"/>
          <w:lang w:eastAsia="en-GB"/>
        </w:rPr>
      </w:pPr>
      <w:r w:rsidRPr="001315F0">
        <w:rPr>
          <w:sz w:val="24"/>
          <w:szCs w:val="24"/>
          <w:lang w:eastAsia="en-GB"/>
        </w:rPr>
        <w:t xml:space="preserve">Ainsworth, M. S. (1979). Infant–mother attachment. </w:t>
      </w:r>
      <w:r w:rsidRPr="001315F0">
        <w:rPr>
          <w:i/>
          <w:iCs/>
          <w:sz w:val="24"/>
          <w:szCs w:val="24"/>
          <w:lang w:eastAsia="en-GB"/>
        </w:rPr>
        <w:t>American psychologist</w:t>
      </w:r>
      <w:r w:rsidRPr="001315F0">
        <w:rPr>
          <w:sz w:val="24"/>
          <w:szCs w:val="24"/>
          <w:lang w:eastAsia="en-GB"/>
        </w:rPr>
        <w:t xml:space="preserve">, </w:t>
      </w:r>
      <w:r w:rsidRPr="001315F0">
        <w:rPr>
          <w:b/>
          <w:iCs/>
          <w:sz w:val="24"/>
          <w:szCs w:val="24"/>
          <w:lang w:eastAsia="en-GB"/>
        </w:rPr>
        <w:t>34</w:t>
      </w:r>
      <w:r w:rsidRPr="001315F0">
        <w:rPr>
          <w:sz w:val="24"/>
          <w:szCs w:val="24"/>
          <w:lang w:eastAsia="en-GB"/>
        </w:rPr>
        <w:t>(10), pp. 932-937.</w:t>
      </w:r>
    </w:p>
    <w:p w14:paraId="06A4FE1A" w14:textId="77777777" w:rsidR="00C83D0C" w:rsidRPr="001315F0" w:rsidRDefault="00C83D0C" w:rsidP="00CF04FC">
      <w:pPr>
        <w:spacing w:line="480" w:lineRule="auto"/>
        <w:ind w:left="851" w:hanging="851"/>
        <w:rPr>
          <w:sz w:val="24"/>
          <w:szCs w:val="24"/>
        </w:rPr>
      </w:pPr>
      <w:proofErr w:type="spellStart"/>
      <w:r w:rsidRPr="001315F0">
        <w:rPr>
          <w:sz w:val="24"/>
          <w:szCs w:val="24"/>
        </w:rPr>
        <w:t>Banasick</w:t>
      </w:r>
      <w:proofErr w:type="spellEnd"/>
      <w:r w:rsidRPr="001315F0">
        <w:rPr>
          <w:sz w:val="24"/>
          <w:szCs w:val="24"/>
        </w:rPr>
        <w:t>, S. (2018). “Ken-Q Analysis”, Available at: https://shawnbanasick.github.io/ken-q-analysis/#section1. Accessed 23</w:t>
      </w:r>
      <w:r w:rsidRPr="001315F0">
        <w:rPr>
          <w:sz w:val="24"/>
          <w:szCs w:val="24"/>
          <w:vertAlign w:val="superscript"/>
        </w:rPr>
        <w:t>rd</w:t>
      </w:r>
      <w:r w:rsidRPr="001315F0">
        <w:rPr>
          <w:sz w:val="24"/>
          <w:szCs w:val="24"/>
        </w:rPr>
        <w:t xml:space="preserve"> January 2019</w:t>
      </w:r>
    </w:p>
    <w:p w14:paraId="02B4CD9E" w14:textId="77777777" w:rsidR="00C83D0C" w:rsidRPr="001315F0" w:rsidRDefault="00C83D0C" w:rsidP="00CF04FC">
      <w:pPr>
        <w:spacing w:line="480" w:lineRule="auto"/>
        <w:ind w:left="851" w:hanging="851"/>
        <w:rPr>
          <w:sz w:val="24"/>
          <w:szCs w:val="24"/>
          <w:lang w:eastAsia="en-GB"/>
        </w:rPr>
      </w:pPr>
      <w:r w:rsidRPr="001315F0">
        <w:rPr>
          <w:sz w:val="24"/>
          <w:szCs w:val="24"/>
          <w:lang w:eastAsia="en-GB"/>
        </w:rPr>
        <w:t xml:space="preserve">Benoit, D., </w:t>
      </w:r>
      <w:proofErr w:type="spellStart"/>
      <w:r w:rsidRPr="001315F0">
        <w:rPr>
          <w:sz w:val="24"/>
          <w:szCs w:val="24"/>
          <w:lang w:eastAsia="en-GB"/>
        </w:rPr>
        <w:t>Zeanah</w:t>
      </w:r>
      <w:proofErr w:type="spellEnd"/>
      <w:r w:rsidRPr="001315F0">
        <w:rPr>
          <w:sz w:val="24"/>
          <w:szCs w:val="24"/>
          <w:lang w:eastAsia="en-GB"/>
        </w:rPr>
        <w:t xml:space="preserve">, C. H., Parker, K. C., Nicholson, E., &amp; </w:t>
      </w:r>
      <w:proofErr w:type="spellStart"/>
      <w:r w:rsidRPr="001315F0">
        <w:rPr>
          <w:sz w:val="24"/>
          <w:szCs w:val="24"/>
          <w:lang w:eastAsia="en-GB"/>
        </w:rPr>
        <w:t>Coolbear</w:t>
      </w:r>
      <w:proofErr w:type="spellEnd"/>
      <w:r w:rsidRPr="001315F0">
        <w:rPr>
          <w:sz w:val="24"/>
          <w:szCs w:val="24"/>
          <w:lang w:eastAsia="en-GB"/>
        </w:rPr>
        <w:t xml:space="preserve">, J. (1997). “Working model of the child interview”: Infant clinical status related to maternal perceptions. </w:t>
      </w:r>
      <w:r w:rsidRPr="001315F0">
        <w:rPr>
          <w:i/>
          <w:iCs/>
          <w:sz w:val="24"/>
          <w:szCs w:val="24"/>
          <w:lang w:eastAsia="en-GB"/>
        </w:rPr>
        <w:t xml:space="preserve">Infant Mental Health Journal: Official Publication of </w:t>
      </w:r>
      <w:proofErr w:type="gramStart"/>
      <w:r w:rsidRPr="001315F0">
        <w:rPr>
          <w:i/>
          <w:iCs/>
          <w:sz w:val="24"/>
          <w:szCs w:val="24"/>
          <w:lang w:eastAsia="en-GB"/>
        </w:rPr>
        <w:t>The</w:t>
      </w:r>
      <w:proofErr w:type="gramEnd"/>
      <w:r w:rsidRPr="001315F0">
        <w:rPr>
          <w:i/>
          <w:iCs/>
          <w:sz w:val="24"/>
          <w:szCs w:val="24"/>
          <w:lang w:eastAsia="en-GB"/>
        </w:rPr>
        <w:t xml:space="preserve"> World Association for Infant Mental Health</w:t>
      </w:r>
      <w:r w:rsidRPr="001315F0">
        <w:rPr>
          <w:sz w:val="24"/>
          <w:szCs w:val="24"/>
          <w:lang w:eastAsia="en-GB"/>
        </w:rPr>
        <w:t xml:space="preserve">, </w:t>
      </w:r>
      <w:r w:rsidRPr="001315F0">
        <w:rPr>
          <w:b/>
          <w:iCs/>
          <w:sz w:val="24"/>
          <w:szCs w:val="24"/>
          <w:lang w:eastAsia="en-GB"/>
        </w:rPr>
        <w:t>18</w:t>
      </w:r>
      <w:r w:rsidRPr="001315F0">
        <w:rPr>
          <w:sz w:val="24"/>
          <w:szCs w:val="24"/>
          <w:lang w:eastAsia="en-GB"/>
        </w:rPr>
        <w:t>(1), pp. 107-121.</w:t>
      </w:r>
    </w:p>
    <w:p w14:paraId="6D40D347" w14:textId="77777777" w:rsidR="00C83D0C" w:rsidRPr="001315F0" w:rsidRDefault="00C83D0C" w:rsidP="00CF04FC">
      <w:pPr>
        <w:spacing w:line="480" w:lineRule="auto"/>
        <w:ind w:left="851" w:hanging="851"/>
        <w:rPr>
          <w:sz w:val="24"/>
          <w:szCs w:val="24"/>
          <w:lang w:eastAsia="en-GB"/>
        </w:rPr>
      </w:pPr>
      <w:proofErr w:type="spellStart"/>
      <w:r w:rsidRPr="001315F0">
        <w:rPr>
          <w:sz w:val="24"/>
          <w:szCs w:val="24"/>
          <w:lang w:eastAsia="en-GB"/>
        </w:rPr>
        <w:t>Berrick</w:t>
      </w:r>
      <w:proofErr w:type="spellEnd"/>
      <w:r w:rsidRPr="001315F0">
        <w:rPr>
          <w:sz w:val="24"/>
          <w:szCs w:val="24"/>
          <w:lang w:eastAsia="en-GB"/>
        </w:rPr>
        <w:t xml:space="preserve">, J. D. (1998). When children cannot remain home: Foster family care and kinship        care. </w:t>
      </w:r>
      <w:r w:rsidRPr="001315F0">
        <w:rPr>
          <w:i/>
          <w:iCs/>
          <w:sz w:val="24"/>
          <w:szCs w:val="24"/>
          <w:lang w:eastAsia="en-GB"/>
        </w:rPr>
        <w:t>The future of children</w:t>
      </w:r>
      <w:r w:rsidRPr="001315F0">
        <w:rPr>
          <w:sz w:val="24"/>
          <w:szCs w:val="24"/>
          <w:lang w:eastAsia="en-GB"/>
        </w:rPr>
        <w:t xml:space="preserve">, </w:t>
      </w:r>
      <w:r w:rsidRPr="001315F0">
        <w:rPr>
          <w:b/>
          <w:sz w:val="24"/>
          <w:szCs w:val="24"/>
          <w:lang w:eastAsia="en-GB"/>
        </w:rPr>
        <w:t>8</w:t>
      </w:r>
      <w:r w:rsidRPr="001315F0">
        <w:rPr>
          <w:sz w:val="24"/>
          <w:szCs w:val="24"/>
          <w:lang w:eastAsia="en-GB"/>
        </w:rPr>
        <w:t>(1), pp. 72-87.</w:t>
      </w:r>
    </w:p>
    <w:p w14:paraId="6AF6436D" w14:textId="77777777" w:rsidR="00C83D0C" w:rsidRPr="001315F0" w:rsidRDefault="00C83D0C" w:rsidP="00CF04FC">
      <w:pPr>
        <w:spacing w:line="480" w:lineRule="auto"/>
        <w:ind w:left="851" w:hanging="851"/>
        <w:rPr>
          <w:rFonts w:cs="Helvetica"/>
          <w:sz w:val="24"/>
          <w:szCs w:val="24"/>
          <w:lang w:val="en"/>
        </w:rPr>
      </w:pPr>
      <w:r w:rsidRPr="001315F0">
        <w:rPr>
          <w:rFonts w:cs="Helvetica"/>
          <w:sz w:val="24"/>
          <w:szCs w:val="24"/>
          <w:lang w:val="en"/>
        </w:rPr>
        <w:t xml:space="preserve">Bowlby, J. (1979). </w:t>
      </w:r>
      <w:r w:rsidRPr="001315F0">
        <w:rPr>
          <w:rFonts w:cs="Helvetica"/>
          <w:i/>
          <w:iCs/>
          <w:sz w:val="24"/>
          <w:szCs w:val="24"/>
          <w:lang w:val="en"/>
        </w:rPr>
        <w:t>The making and breaking of affectional bonds</w:t>
      </w:r>
      <w:r w:rsidRPr="001315F0">
        <w:rPr>
          <w:rFonts w:cs="Helvetica"/>
          <w:sz w:val="24"/>
          <w:szCs w:val="24"/>
          <w:lang w:val="en"/>
        </w:rPr>
        <w:t xml:space="preserve">. London: </w:t>
      </w:r>
      <w:proofErr w:type="spellStart"/>
      <w:r w:rsidRPr="001315F0">
        <w:rPr>
          <w:rFonts w:cs="Helvetica"/>
          <w:sz w:val="24"/>
          <w:szCs w:val="24"/>
          <w:lang w:val="en"/>
        </w:rPr>
        <w:t>Tavistock</w:t>
      </w:r>
      <w:proofErr w:type="spellEnd"/>
      <w:r w:rsidRPr="001315F0">
        <w:rPr>
          <w:rFonts w:cs="Helvetica"/>
          <w:sz w:val="24"/>
          <w:szCs w:val="24"/>
          <w:lang w:val="en"/>
        </w:rPr>
        <w:t xml:space="preserve">                         Publications.</w:t>
      </w:r>
    </w:p>
    <w:p w14:paraId="0485AE74" w14:textId="77777777" w:rsidR="00C83D0C" w:rsidRPr="001315F0" w:rsidRDefault="00C83D0C" w:rsidP="00CF04FC">
      <w:pPr>
        <w:spacing w:line="480" w:lineRule="auto"/>
        <w:ind w:left="851" w:hanging="851"/>
        <w:rPr>
          <w:sz w:val="24"/>
          <w:szCs w:val="24"/>
          <w:lang w:eastAsia="en-GB"/>
        </w:rPr>
      </w:pPr>
      <w:r w:rsidRPr="001315F0">
        <w:rPr>
          <w:sz w:val="24"/>
          <w:szCs w:val="24"/>
          <w:lang w:eastAsia="en-GB"/>
        </w:rPr>
        <w:t xml:space="preserve">Brown, S.R. (1996). Q methodology and qualitative research. </w:t>
      </w:r>
      <w:r w:rsidRPr="001315F0">
        <w:rPr>
          <w:i/>
          <w:iCs/>
          <w:sz w:val="24"/>
          <w:szCs w:val="24"/>
          <w:lang w:eastAsia="en-GB"/>
        </w:rPr>
        <w:t>Qualitative health research</w:t>
      </w:r>
      <w:r w:rsidRPr="001315F0">
        <w:rPr>
          <w:sz w:val="24"/>
          <w:szCs w:val="24"/>
          <w:lang w:eastAsia="en-GB"/>
        </w:rPr>
        <w:t xml:space="preserve">, </w:t>
      </w:r>
      <w:r w:rsidRPr="001315F0">
        <w:rPr>
          <w:b/>
          <w:iCs/>
          <w:sz w:val="24"/>
          <w:szCs w:val="24"/>
          <w:lang w:eastAsia="en-GB"/>
        </w:rPr>
        <w:t>6</w:t>
      </w:r>
      <w:r w:rsidRPr="001315F0">
        <w:rPr>
          <w:sz w:val="24"/>
          <w:szCs w:val="24"/>
          <w:lang w:eastAsia="en-GB"/>
        </w:rPr>
        <w:t>(4), pp. 561-567.</w:t>
      </w:r>
    </w:p>
    <w:p w14:paraId="17824361" w14:textId="77777777" w:rsidR="00C83D0C" w:rsidRPr="001315F0" w:rsidRDefault="00C83D0C" w:rsidP="00CF04FC">
      <w:pPr>
        <w:spacing w:line="480" w:lineRule="auto"/>
        <w:ind w:left="851" w:hanging="851"/>
        <w:rPr>
          <w:rFonts w:cs="Arial"/>
          <w:sz w:val="24"/>
          <w:szCs w:val="24"/>
        </w:rPr>
      </w:pPr>
      <w:r w:rsidRPr="001315F0">
        <w:rPr>
          <w:rFonts w:cs="Arial"/>
          <w:sz w:val="24"/>
          <w:szCs w:val="24"/>
        </w:rPr>
        <w:t xml:space="preserve">Cabinet Office (2000). </w:t>
      </w:r>
      <w:r w:rsidRPr="001315F0">
        <w:rPr>
          <w:rFonts w:cs="Arial"/>
          <w:i/>
          <w:sz w:val="24"/>
          <w:szCs w:val="24"/>
        </w:rPr>
        <w:t xml:space="preserve">Prime Ministers review of adoption: Issued for consultation. </w:t>
      </w:r>
      <w:r w:rsidRPr="001315F0">
        <w:rPr>
          <w:rFonts w:cs="Arial"/>
          <w:sz w:val="24"/>
          <w:szCs w:val="24"/>
        </w:rPr>
        <w:t>London: Department of Health.</w:t>
      </w:r>
    </w:p>
    <w:p w14:paraId="7B5F8C4B" w14:textId="77777777" w:rsidR="00C83D0C" w:rsidRPr="001315F0" w:rsidRDefault="00C83D0C" w:rsidP="00CF04FC">
      <w:pPr>
        <w:spacing w:line="480" w:lineRule="auto"/>
        <w:ind w:left="851" w:hanging="851"/>
        <w:rPr>
          <w:rFonts w:cs="Arial"/>
          <w:sz w:val="24"/>
          <w:szCs w:val="24"/>
          <w:lang w:eastAsia="en-GB"/>
        </w:rPr>
      </w:pPr>
      <w:proofErr w:type="spellStart"/>
      <w:r w:rsidRPr="001315F0">
        <w:rPr>
          <w:rFonts w:cs="Arial"/>
          <w:sz w:val="24"/>
          <w:szCs w:val="24"/>
          <w:lang w:eastAsia="en-GB"/>
        </w:rPr>
        <w:t>Ceballo</w:t>
      </w:r>
      <w:proofErr w:type="spellEnd"/>
      <w:r w:rsidRPr="001315F0">
        <w:rPr>
          <w:rFonts w:cs="Arial"/>
          <w:sz w:val="24"/>
          <w:szCs w:val="24"/>
          <w:lang w:eastAsia="en-GB"/>
        </w:rPr>
        <w:t xml:space="preserve">, R., Lansford, J. E., Abbey, A., &amp; Stewart, A. J. (2004). Gaining a child: Comparing the experiences of biological parents, adoptive parents, and stepparents. </w:t>
      </w:r>
      <w:r w:rsidRPr="001315F0">
        <w:rPr>
          <w:rFonts w:cs="Arial"/>
          <w:i/>
          <w:iCs/>
          <w:sz w:val="24"/>
          <w:szCs w:val="24"/>
          <w:lang w:eastAsia="en-GB"/>
        </w:rPr>
        <w:t>Family relations</w:t>
      </w:r>
      <w:r w:rsidRPr="001315F0">
        <w:rPr>
          <w:rFonts w:cs="Arial"/>
          <w:sz w:val="24"/>
          <w:szCs w:val="24"/>
          <w:lang w:eastAsia="en-GB"/>
        </w:rPr>
        <w:t xml:space="preserve">, </w:t>
      </w:r>
      <w:r w:rsidRPr="001315F0">
        <w:rPr>
          <w:rFonts w:cs="Arial"/>
          <w:b/>
          <w:iCs/>
          <w:sz w:val="24"/>
          <w:szCs w:val="24"/>
          <w:lang w:eastAsia="en-GB"/>
        </w:rPr>
        <w:t>53</w:t>
      </w:r>
      <w:r w:rsidRPr="001315F0">
        <w:rPr>
          <w:rFonts w:cs="Arial"/>
          <w:sz w:val="24"/>
          <w:szCs w:val="24"/>
          <w:lang w:eastAsia="en-GB"/>
        </w:rPr>
        <w:t>(1), pp. 38-48.</w:t>
      </w:r>
    </w:p>
    <w:p w14:paraId="1B9611F5" w14:textId="77777777" w:rsidR="00C83D0C" w:rsidRPr="001315F0" w:rsidRDefault="00C83D0C" w:rsidP="00CF04FC">
      <w:pPr>
        <w:spacing w:line="480" w:lineRule="auto"/>
        <w:ind w:left="851" w:hanging="851"/>
        <w:rPr>
          <w:rFonts w:cs="Arial"/>
          <w:sz w:val="24"/>
          <w:szCs w:val="24"/>
        </w:rPr>
      </w:pPr>
      <w:r w:rsidRPr="001315F0">
        <w:rPr>
          <w:rFonts w:cs="Arial"/>
          <w:sz w:val="24"/>
          <w:szCs w:val="24"/>
        </w:rPr>
        <w:t xml:space="preserve">Cohen, J. (1988). </w:t>
      </w:r>
      <w:r w:rsidRPr="001315F0">
        <w:rPr>
          <w:rFonts w:cs="Arial"/>
          <w:i/>
          <w:sz w:val="24"/>
          <w:szCs w:val="24"/>
        </w:rPr>
        <w:t>Statistical power analysis for the behavioural sciences</w:t>
      </w:r>
      <w:r w:rsidRPr="001315F0">
        <w:rPr>
          <w:rFonts w:cs="Arial"/>
          <w:sz w:val="24"/>
          <w:szCs w:val="24"/>
        </w:rPr>
        <w:t xml:space="preserve"> (2</w:t>
      </w:r>
      <w:r w:rsidRPr="001315F0">
        <w:rPr>
          <w:rFonts w:cs="Arial"/>
          <w:sz w:val="24"/>
          <w:szCs w:val="24"/>
          <w:vertAlign w:val="superscript"/>
        </w:rPr>
        <w:t>nd</w:t>
      </w:r>
      <w:r w:rsidRPr="001315F0">
        <w:rPr>
          <w:rFonts w:cs="Arial"/>
          <w:sz w:val="24"/>
          <w:szCs w:val="24"/>
        </w:rPr>
        <w:t xml:space="preserve"> </w:t>
      </w:r>
      <w:r w:rsidRPr="001315F0">
        <w:rPr>
          <w:rFonts w:cs="Arial"/>
          <w:sz w:val="24"/>
          <w:szCs w:val="24"/>
        </w:rPr>
        <w:tab/>
        <w:t>edition). New York: Academic press.</w:t>
      </w:r>
    </w:p>
    <w:p w14:paraId="673BAF74" w14:textId="77777777" w:rsidR="00C83D0C" w:rsidRPr="001315F0" w:rsidRDefault="00C83D0C" w:rsidP="00CF04FC">
      <w:pPr>
        <w:spacing w:line="480" w:lineRule="auto"/>
        <w:ind w:left="851" w:hanging="851"/>
        <w:rPr>
          <w:rFonts w:cs="Arial"/>
          <w:sz w:val="24"/>
          <w:szCs w:val="24"/>
        </w:rPr>
      </w:pPr>
      <w:r w:rsidRPr="001315F0">
        <w:rPr>
          <w:rFonts w:cs="Arial"/>
          <w:sz w:val="24"/>
          <w:szCs w:val="24"/>
        </w:rPr>
        <w:t xml:space="preserve">Department for Education (2014). </w:t>
      </w:r>
      <w:r w:rsidRPr="001315F0">
        <w:rPr>
          <w:rFonts w:cs="Arial"/>
          <w:i/>
          <w:sz w:val="24"/>
          <w:szCs w:val="24"/>
        </w:rPr>
        <w:t xml:space="preserve">Investigating special guardianships: Experiences, challenges and outcomes. </w:t>
      </w:r>
      <w:r w:rsidRPr="001315F0">
        <w:rPr>
          <w:rFonts w:cs="Arial"/>
          <w:sz w:val="24"/>
          <w:szCs w:val="24"/>
        </w:rPr>
        <w:t>York: British Association for Adoption and Fostering.</w:t>
      </w:r>
    </w:p>
    <w:p w14:paraId="77C6F1F8" w14:textId="77777777" w:rsidR="00C83D0C" w:rsidRPr="001315F0" w:rsidRDefault="00C83D0C" w:rsidP="00CF04FC">
      <w:pPr>
        <w:pStyle w:val="Default"/>
        <w:spacing w:line="480" w:lineRule="auto"/>
        <w:ind w:left="851" w:hanging="851"/>
        <w:rPr>
          <w:rFonts w:asciiTheme="minorHAnsi" w:hAnsiTheme="minorHAnsi"/>
          <w:color w:val="auto"/>
        </w:rPr>
      </w:pPr>
      <w:r w:rsidRPr="001315F0">
        <w:rPr>
          <w:rFonts w:asciiTheme="minorHAnsi" w:hAnsiTheme="minorHAnsi"/>
          <w:color w:val="auto"/>
        </w:rPr>
        <w:t xml:space="preserve">Department for Education (2017). </w:t>
      </w:r>
      <w:r w:rsidRPr="001315F0">
        <w:rPr>
          <w:rFonts w:asciiTheme="minorHAnsi" w:hAnsiTheme="minorHAnsi"/>
          <w:i/>
          <w:color w:val="auto"/>
        </w:rPr>
        <w:t xml:space="preserve">Special Guardianship Guidance: </w:t>
      </w:r>
      <w:r w:rsidRPr="001315F0">
        <w:rPr>
          <w:rFonts w:asciiTheme="minorHAnsi" w:hAnsiTheme="minorHAnsi"/>
          <w:color w:val="auto"/>
        </w:rPr>
        <w:t xml:space="preserve"> </w:t>
      </w:r>
      <w:r w:rsidRPr="001315F0">
        <w:rPr>
          <w:rFonts w:asciiTheme="minorHAnsi" w:hAnsiTheme="minorHAnsi"/>
          <w:bCs/>
          <w:i/>
          <w:color w:val="auto"/>
        </w:rPr>
        <w:t xml:space="preserve">Statutory guidance for local authorities on the Special Guardianship Regulations 2005 (as amended by the Special Guardianship (Amendment) Regulations 2016). </w:t>
      </w:r>
      <w:r w:rsidRPr="001315F0">
        <w:rPr>
          <w:rFonts w:asciiTheme="minorHAnsi" w:hAnsiTheme="minorHAnsi"/>
          <w:bCs/>
          <w:color w:val="auto"/>
        </w:rPr>
        <w:t xml:space="preserve">London: Department for Education. </w:t>
      </w:r>
    </w:p>
    <w:p w14:paraId="263DA876" w14:textId="77777777" w:rsidR="00C83D0C" w:rsidRPr="001315F0" w:rsidRDefault="00C83D0C" w:rsidP="00CF04FC">
      <w:pPr>
        <w:autoSpaceDE w:val="0"/>
        <w:autoSpaceDN w:val="0"/>
        <w:adjustRightInd w:val="0"/>
        <w:spacing w:after="0" w:line="480" w:lineRule="auto"/>
        <w:rPr>
          <w:rFonts w:cs="Arial"/>
          <w:sz w:val="24"/>
          <w:szCs w:val="24"/>
        </w:rPr>
      </w:pPr>
    </w:p>
    <w:p w14:paraId="267489F7" w14:textId="77777777" w:rsidR="00C83D0C" w:rsidRPr="001315F0" w:rsidRDefault="00C83D0C" w:rsidP="00CF04FC">
      <w:pPr>
        <w:spacing w:line="480" w:lineRule="auto"/>
        <w:ind w:left="851" w:hanging="851"/>
        <w:rPr>
          <w:sz w:val="24"/>
          <w:szCs w:val="24"/>
        </w:rPr>
      </w:pPr>
      <w:r w:rsidRPr="001315F0">
        <w:rPr>
          <w:sz w:val="24"/>
          <w:szCs w:val="24"/>
        </w:rPr>
        <w:t xml:space="preserve">Department for Education. (2018). </w:t>
      </w:r>
      <w:r w:rsidRPr="001315F0">
        <w:rPr>
          <w:i/>
          <w:sz w:val="24"/>
          <w:szCs w:val="24"/>
        </w:rPr>
        <w:t>Children looked after in England (including adoption) year ending 31</w:t>
      </w:r>
      <w:r w:rsidRPr="001315F0">
        <w:rPr>
          <w:i/>
          <w:sz w:val="24"/>
          <w:szCs w:val="24"/>
          <w:vertAlign w:val="superscript"/>
        </w:rPr>
        <w:t>st</w:t>
      </w:r>
      <w:r w:rsidRPr="001315F0">
        <w:rPr>
          <w:i/>
          <w:sz w:val="24"/>
          <w:szCs w:val="24"/>
        </w:rPr>
        <w:t xml:space="preserve"> March 2018. </w:t>
      </w:r>
      <w:r w:rsidRPr="001315F0">
        <w:rPr>
          <w:sz w:val="24"/>
          <w:szCs w:val="24"/>
        </w:rPr>
        <w:t xml:space="preserve">Darlington: Department for Education. </w:t>
      </w:r>
    </w:p>
    <w:p w14:paraId="5FDD8D10" w14:textId="77777777" w:rsidR="00C83D0C" w:rsidRPr="001315F0" w:rsidRDefault="00C83D0C" w:rsidP="00CF04FC">
      <w:pPr>
        <w:spacing w:line="480" w:lineRule="auto"/>
        <w:ind w:left="851" w:hanging="851"/>
        <w:rPr>
          <w:sz w:val="24"/>
          <w:szCs w:val="24"/>
        </w:rPr>
      </w:pPr>
      <w:r w:rsidRPr="001315F0">
        <w:rPr>
          <w:sz w:val="24"/>
          <w:szCs w:val="24"/>
        </w:rPr>
        <w:t xml:space="preserve">Department for Education and Department of Health. (2015). </w:t>
      </w:r>
      <w:r w:rsidRPr="001315F0">
        <w:rPr>
          <w:i/>
          <w:sz w:val="24"/>
          <w:szCs w:val="24"/>
        </w:rPr>
        <w:t>Promoting the health and Wellbeing of looked after children</w:t>
      </w:r>
      <w:r w:rsidRPr="001315F0">
        <w:rPr>
          <w:sz w:val="24"/>
          <w:szCs w:val="24"/>
        </w:rPr>
        <w:t xml:space="preserve">, London: </w:t>
      </w:r>
      <w:proofErr w:type="spellStart"/>
      <w:r w:rsidRPr="001315F0">
        <w:rPr>
          <w:sz w:val="24"/>
          <w:szCs w:val="24"/>
        </w:rPr>
        <w:t>DfE</w:t>
      </w:r>
      <w:proofErr w:type="spellEnd"/>
      <w:r w:rsidRPr="001315F0">
        <w:rPr>
          <w:sz w:val="24"/>
          <w:szCs w:val="24"/>
        </w:rPr>
        <w:t>/DH.</w:t>
      </w:r>
    </w:p>
    <w:p w14:paraId="517991D4" w14:textId="77777777" w:rsidR="00C83D0C" w:rsidRPr="001315F0" w:rsidRDefault="00C83D0C" w:rsidP="00CF04FC">
      <w:pPr>
        <w:spacing w:line="480" w:lineRule="auto"/>
        <w:ind w:left="851" w:hanging="851"/>
        <w:rPr>
          <w:i/>
          <w:iCs/>
          <w:sz w:val="24"/>
          <w:szCs w:val="24"/>
        </w:rPr>
      </w:pPr>
      <w:r w:rsidRPr="001315F0">
        <w:rPr>
          <w:sz w:val="24"/>
          <w:szCs w:val="24"/>
        </w:rPr>
        <w:t xml:space="preserve">Farmer, E. (2010). What factors relate to good placement outcomes in kinship care? </w:t>
      </w:r>
      <w:r w:rsidRPr="001315F0">
        <w:rPr>
          <w:i/>
          <w:iCs/>
          <w:sz w:val="24"/>
          <w:szCs w:val="24"/>
        </w:rPr>
        <w:t xml:space="preserve">British Journal of Social Work, </w:t>
      </w:r>
      <w:r w:rsidRPr="001315F0">
        <w:rPr>
          <w:b/>
          <w:sz w:val="24"/>
          <w:szCs w:val="24"/>
        </w:rPr>
        <w:t>40</w:t>
      </w:r>
      <w:r w:rsidRPr="001315F0">
        <w:rPr>
          <w:sz w:val="24"/>
          <w:szCs w:val="24"/>
        </w:rPr>
        <w:t>(2), pp. 426-444.</w:t>
      </w:r>
    </w:p>
    <w:p w14:paraId="3FDC44E3" w14:textId="77777777" w:rsidR="00C83D0C" w:rsidRPr="001315F0" w:rsidRDefault="00C83D0C" w:rsidP="00CF04FC">
      <w:pPr>
        <w:spacing w:line="480" w:lineRule="auto"/>
        <w:ind w:left="851" w:hanging="851"/>
        <w:rPr>
          <w:sz w:val="24"/>
          <w:szCs w:val="24"/>
        </w:rPr>
      </w:pPr>
      <w:r w:rsidRPr="001315F0">
        <w:rPr>
          <w:sz w:val="24"/>
          <w:szCs w:val="24"/>
        </w:rPr>
        <w:t>Farmer, E. (2009). How do placements in kinship care compare with those in non-kin foster care: placement patterns, progress and outcomes</w:t>
      </w:r>
      <w:proofErr w:type="gramStart"/>
      <w:r w:rsidRPr="001315F0">
        <w:rPr>
          <w:sz w:val="24"/>
          <w:szCs w:val="24"/>
        </w:rPr>
        <w:t>?,</w:t>
      </w:r>
      <w:proofErr w:type="gramEnd"/>
      <w:r w:rsidRPr="001315F0">
        <w:rPr>
          <w:sz w:val="24"/>
          <w:szCs w:val="24"/>
        </w:rPr>
        <w:t xml:space="preserve"> </w:t>
      </w:r>
      <w:r w:rsidRPr="001315F0">
        <w:rPr>
          <w:i/>
          <w:iCs/>
          <w:sz w:val="24"/>
          <w:szCs w:val="24"/>
        </w:rPr>
        <w:t xml:space="preserve">Child &amp; Family Social Work, </w:t>
      </w:r>
      <w:r w:rsidRPr="001315F0">
        <w:rPr>
          <w:sz w:val="24"/>
          <w:szCs w:val="24"/>
        </w:rPr>
        <w:t>14(3), pp. 331-342.</w:t>
      </w:r>
    </w:p>
    <w:p w14:paraId="004B8E43" w14:textId="16F0F74C" w:rsidR="00C83D0C" w:rsidRPr="001315F0" w:rsidRDefault="00C83D0C" w:rsidP="00CF04FC">
      <w:pPr>
        <w:spacing w:line="480" w:lineRule="auto"/>
        <w:ind w:left="851" w:hanging="851"/>
        <w:rPr>
          <w:sz w:val="24"/>
          <w:szCs w:val="24"/>
          <w:lang w:eastAsia="en-GB"/>
        </w:rPr>
      </w:pPr>
      <w:r w:rsidRPr="001315F0">
        <w:rPr>
          <w:sz w:val="24"/>
          <w:szCs w:val="24"/>
          <w:lang w:eastAsia="en-GB"/>
        </w:rPr>
        <w:t xml:space="preserve">Gebel, T. J. (1996). Kinship care and non-relative family foster care: A comparison of caregiver attributes and attitudes. </w:t>
      </w:r>
      <w:r w:rsidRPr="001315F0">
        <w:rPr>
          <w:i/>
          <w:iCs/>
          <w:sz w:val="24"/>
          <w:szCs w:val="24"/>
          <w:lang w:eastAsia="en-GB"/>
        </w:rPr>
        <w:t>Child Welfare</w:t>
      </w:r>
      <w:r w:rsidRPr="001315F0">
        <w:rPr>
          <w:sz w:val="24"/>
          <w:szCs w:val="24"/>
          <w:lang w:eastAsia="en-GB"/>
        </w:rPr>
        <w:t xml:space="preserve">, </w:t>
      </w:r>
      <w:r w:rsidRPr="001315F0">
        <w:rPr>
          <w:b/>
          <w:iCs/>
          <w:sz w:val="24"/>
          <w:szCs w:val="24"/>
          <w:lang w:eastAsia="en-GB"/>
        </w:rPr>
        <w:t>75</w:t>
      </w:r>
      <w:r w:rsidRPr="001315F0">
        <w:rPr>
          <w:sz w:val="24"/>
          <w:szCs w:val="24"/>
          <w:lang w:eastAsia="en-GB"/>
        </w:rPr>
        <w:t>(1), pp. 5-18.</w:t>
      </w:r>
    </w:p>
    <w:p w14:paraId="2AFE3719" w14:textId="47B565DE" w:rsidR="003525E3" w:rsidRPr="001315F0" w:rsidRDefault="003525E3" w:rsidP="00CF04FC">
      <w:pPr>
        <w:spacing w:line="480" w:lineRule="auto"/>
        <w:ind w:left="851" w:hanging="851"/>
        <w:rPr>
          <w:sz w:val="24"/>
        </w:rPr>
      </w:pPr>
      <w:proofErr w:type="spellStart"/>
      <w:r w:rsidRPr="001315F0">
        <w:rPr>
          <w:sz w:val="24"/>
        </w:rPr>
        <w:t>Harwin</w:t>
      </w:r>
      <w:proofErr w:type="spellEnd"/>
      <w:r w:rsidRPr="001315F0">
        <w:rPr>
          <w:sz w:val="24"/>
        </w:rPr>
        <w:t xml:space="preserve">, J., </w:t>
      </w:r>
      <w:proofErr w:type="spellStart"/>
      <w:r w:rsidRPr="001315F0">
        <w:rPr>
          <w:sz w:val="24"/>
        </w:rPr>
        <w:t>Alrouh</w:t>
      </w:r>
      <w:proofErr w:type="spellEnd"/>
      <w:r w:rsidRPr="001315F0">
        <w:rPr>
          <w:sz w:val="24"/>
        </w:rPr>
        <w:t xml:space="preserve">, B., Palmer, M., </w:t>
      </w:r>
      <w:proofErr w:type="spellStart"/>
      <w:r w:rsidRPr="001315F0">
        <w:rPr>
          <w:sz w:val="24"/>
        </w:rPr>
        <w:t>Broadhurst</w:t>
      </w:r>
      <w:proofErr w:type="spellEnd"/>
      <w:r w:rsidRPr="001315F0">
        <w:rPr>
          <w:sz w:val="24"/>
        </w:rPr>
        <w:t xml:space="preserve">, K. E., &amp; Swift, S. (2016). Considering the case for parity in policy and practice between adoption and special guardianship: Findings from a population wide study. </w:t>
      </w:r>
      <w:r w:rsidRPr="001315F0">
        <w:rPr>
          <w:i/>
          <w:iCs/>
          <w:sz w:val="24"/>
        </w:rPr>
        <w:t>Family Law</w:t>
      </w:r>
      <w:r w:rsidRPr="001315F0">
        <w:rPr>
          <w:sz w:val="24"/>
        </w:rPr>
        <w:t xml:space="preserve">, </w:t>
      </w:r>
      <w:r w:rsidRPr="001315F0">
        <w:rPr>
          <w:b/>
          <w:iCs/>
          <w:sz w:val="24"/>
        </w:rPr>
        <w:t>46</w:t>
      </w:r>
      <w:r w:rsidRPr="001315F0">
        <w:rPr>
          <w:sz w:val="24"/>
        </w:rPr>
        <w:t>(2),</w:t>
      </w:r>
      <w:r w:rsidR="00B37A47" w:rsidRPr="001315F0">
        <w:rPr>
          <w:sz w:val="24"/>
        </w:rPr>
        <w:t xml:space="preserve"> pp.</w:t>
      </w:r>
      <w:r w:rsidRPr="001315F0">
        <w:rPr>
          <w:sz w:val="24"/>
        </w:rPr>
        <w:t xml:space="preserve"> 204-207.</w:t>
      </w:r>
    </w:p>
    <w:p w14:paraId="1511CA9F" w14:textId="7F9ECFF8" w:rsidR="00210230" w:rsidRPr="001315F0" w:rsidRDefault="00210230" w:rsidP="00CF04FC">
      <w:pPr>
        <w:spacing w:line="480" w:lineRule="auto"/>
        <w:ind w:left="851" w:hanging="851"/>
        <w:rPr>
          <w:sz w:val="32"/>
          <w:szCs w:val="24"/>
          <w:lang w:eastAsia="en-GB"/>
        </w:rPr>
      </w:pPr>
      <w:proofErr w:type="spellStart"/>
      <w:r w:rsidRPr="001315F0">
        <w:rPr>
          <w:sz w:val="24"/>
        </w:rPr>
        <w:t>Hingley</w:t>
      </w:r>
      <w:proofErr w:type="spellEnd"/>
      <w:r w:rsidRPr="001315F0">
        <w:rPr>
          <w:sz w:val="24"/>
        </w:rPr>
        <w:t xml:space="preserve">‐Jones, H., </w:t>
      </w:r>
      <w:proofErr w:type="spellStart"/>
      <w:r w:rsidRPr="001315F0">
        <w:rPr>
          <w:sz w:val="24"/>
        </w:rPr>
        <w:t>Allain</w:t>
      </w:r>
      <w:proofErr w:type="spellEnd"/>
      <w:r w:rsidRPr="001315F0">
        <w:rPr>
          <w:sz w:val="24"/>
        </w:rPr>
        <w:t xml:space="preserve">, L., Gleeson, H., &amp; </w:t>
      </w:r>
      <w:proofErr w:type="spellStart"/>
      <w:r w:rsidRPr="001315F0">
        <w:rPr>
          <w:sz w:val="24"/>
        </w:rPr>
        <w:t>Twumasi</w:t>
      </w:r>
      <w:proofErr w:type="spellEnd"/>
      <w:r w:rsidRPr="001315F0">
        <w:rPr>
          <w:sz w:val="24"/>
        </w:rPr>
        <w:t xml:space="preserve">, B. (2019). “Roll back the years”: A study of grandparent special guardians' experiences and implications for social work policy and practice in England. </w:t>
      </w:r>
      <w:r w:rsidRPr="001315F0">
        <w:rPr>
          <w:i/>
          <w:iCs/>
          <w:sz w:val="24"/>
        </w:rPr>
        <w:t>Child &amp; Family Social Work</w:t>
      </w:r>
      <w:r w:rsidRPr="001315F0">
        <w:rPr>
          <w:sz w:val="24"/>
        </w:rPr>
        <w:t>.</w:t>
      </w:r>
    </w:p>
    <w:p w14:paraId="6D9D52FD" w14:textId="77777777" w:rsidR="00C83D0C" w:rsidRPr="001315F0" w:rsidRDefault="00C83D0C" w:rsidP="00CF04FC">
      <w:pPr>
        <w:spacing w:line="480" w:lineRule="auto"/>
        <w:ind w:left="851" w:hanging="851"/>
        <w:rPr>
          <w:sz w:val="24"/>
          <w:szCs w:val="24"/>
          <w:lang w:eastAsia="en-GB"/>
        </w:rPr>
      </w:pPr>
      <w:r w:rsidRPr="001315F0">
        <w:rPr>
          <w:sz w:val="24"/>
          <w:szCs w:val="24"/>
          <w:lang w:eastAsia="en-GB"/>
        </w:rPr>
        <w:t xml:space="preserve">Holtan, A., </w:t>
      </w:r>
      <w:proofErr w:type="spellStart"/>
      <w:r w:rsidRPr="001315F0">
        <w:rPr>
          <w:sz w:val="24"/>
          <w:szCs w:val="24"/>
          <w:lang w:eastAsia="en-GB"/>
        </w:rPr>
        <w:t>Rønning</w:t>
      </w:r>
      <w:proofErr w:type="spellEnd"/>
      <w:r w:rsidRPr="001315F0">
        <w:rPr>
          <w:sz w:val="24"/>
          <w:szCs w:val="24"/>
          <w:lang w:eastAsia="en-GB"/>
        </w:rPr>
        <w:t xml:space="preserve">, J. A., </w:t>
      </w:r>
      <w:proofErr w:type="spellStart"/>
      <w:r w:rsidRPr="001315F0">
        <w:rPr>
          <w:sz w:val="24"/>
          <w:szCs w:val="24"/>
          <w:lang w:eastAsia="en-GB"/>
        </w:rPr>
        <w:t>Handegård</w:t>
      </w:r>
      <w:proofErr w:type="spellEnd"/>
      <w:r w:rsidRPr="001315F0">
        <w:rPr>
          <w:sz w:val="24"/>
          <w:szCs w:val="24"/>
          <w:lang w:eastAsia="en-GB"/>
        </w:rPr>
        <w:t xml:space="preserve">, B. H., &amp; Sourander, A. (2005). A comparison of mental health problems in kinship and </w:t>
      </w:r>
      <w:proofErr w:type="spellStart"/>
      <w:r w:rsidRPr="001315F0">
        <w:rPr>
          <w:sz w:val="24"/>
          <w:szCs w:val="24"/>
          <w:lang w:eastAsia="en-GB"/>
        </w:rPr>
        <w:t>nonkinship</w:t>
      </w:r>
      <w:proofErr w:type="spellEnd"/>
      <w:r w:rsidRPr="001315F0">
        <w:rPr>
          <w:sz w:val="24"/>
          <w:szCs w:val="24"/>
          <w:lang w:eastAsia="en-GB"/>
        </w:rPr>
        <w:t xml:space="preserve"> foster care. </w:t>
      </w:r>
      <w:r w:rsidRPr="001315F0">
        <w:rPr>
          <w:i/>
          <w:iCs/>
          <w:sz w:val="24"/>
          <w:szCs w:val="24"/>
          <w:lang w:eastAsia="en-GB"/>
        </w:rPr>
        <w:t>European Child &amp; Adolescent Psychiatry</w:t>
      </w:r>
      <w:r w:rsidRPr="001315F0">
        <w:rPr>
          <w:sz w:val="24"/>
          <w:szCs w:val="24"/>
          <w:lang w:eastAsia="en-GB"/>
        </w:rPr>
        <w:t xml:space="preserve">, </w:t>
      </w:r>
      <w:r w:rsidRPr="001315F0">
        <w:rPr>
          <w:b/>
          <w:iCs/>
          <w:sz w:val="24"/>
          <w:szCs w:val="24"/>
          <w:lang w:eastAsia="en-GB"/>
        </w:rPr>
        <w:t>14</w:t>
      </w:r>
      <w:r w:rsidRPr="001315F0">
        <w:rPr>
          <w:sz w:val="24"/>
          <w:szCs w:val="24"/>
          <w:lang w:eastAsia="en-GB"/>
        </w:rPr>
        <w:t xml:space="preserve"> (4), pp. 200-207.</w:t>
      </w:r>
    </w:p>
    <w:p w14:paraId="4785AC06" w14:textId="77777777" w:rsidR="00C83D0C" w:rsidRPr="001315F0" w:rsidRDefault="00C83D0C" w:rsidP="00CF04FC">
      <w:pPr>
        <w:spacing w:line="480" w:lineRule="auto"/>
        <w:ind w:left="851" w:hanging="851"/>
        <w:rPr>
          <w:sz w:val="24"/>
          <w:szCs w:val="24"/>
          <w:lang w:eastAsia="en-GB"/>
        </w:rPr>
      </w:pPr>
      <w:r w:rsidRPr="001315F0">
        <w:rPr>
          <w:rStyle w:val="selectable"/>
          <w:rFonts w:cs="Arial"/>
          <w:sz w:val="24"/>
          <w:szCs w:val="24"/>
          <w:lang w:val="en"/>
        </w:rPr>
        <w:t xml:space="preserve">Legislation.gov.uk. (1989). </w:t>
      </w:r>
      <w:r w:rsidRPr="001315F0">
        <w:rPr>
          <w:rStyle w:val="selectable"/>
          <w:rFonts w:cs="Arial"/>
          <w:i/>
          <w:iCs/>
          <w:sz w:val="24"/>
          <w:szCs w:val="24"/>
          <w:lang w:val="en"/>
        </w:rPr>
        <w:t>Children Act 1989</w:t>
      </w:r>
      <w:r w:rsidRPr="001315F0">
        <w:rPr>
          <w:rStyle w:val="selectable"/>
          <w:rFonts w:cs="Arial"/>
          <w:sz w:val="24"/>
          <w:szCs w:val="24"/>
          <w:lang w:val="en"/>
        </w:rPr>
        <w:t>. [</w:t>
      </w:r>
      <w:proofErr w:type="gramStart"/>
      <w:r w:rsidRPr="001315F0">
        <w:rPr>
          <w:rStyle w:val="selectable"/>
          <w:rFonts w:cs="Arial"/>
          <w:sz w:val="24"/>
          <w:szCs w:val="24"/>
          <w:lang w:val="en"/>
        </w:rPr>
        <w:t>online</w:t>
      </w:r>
      <w:proofErr w:type="gramEnd"/>
      <w:r w:rsidRPr="001315F0">
        <w:rPr>
          <w:rStyle w:val="selectable"/>
          <w:rFonts w:cs="Arial"/>
          <w:sz w:val="24"/>
          <w:szCs w:val="24"/>
          <w:lang w:val="en"/>
        </w:rPr>
        <w:t>] Available at: http://www.legislation.gov.uk/ukpga/1989/41/section/47 [Accessed 25 September 2018].</w:t>
      </w:r>
    </w:p>
    <w:p w14:paraId="6E252AA2" w14:textId="77777777" w:rsidR="00C83D0C" w:rsidRPr="001315F0" w:rsidRDefault="00C83D0C" w:rsidP="00CF04FC">
      <w:pPr>
        <w:spacing w:line="480" w:lineRule="auto"/>
        <w:ind w:left="851" w:hanging="851"/>
        <w:rPr>
          <w:sz w:val="24"/>
          <w:szCs w:val="24"/>
          <w:lang w:eastAsia="en-GB"/>
        </w:rPr>
      </w:pPr>
      <w:proofErr w:type="spellStart"/>
      <w:r w:rsidRPr="001315F0">
        <w:rPr>
          <w:sz w:val="24"/>
          <w:szCs w:val="24"/>
          <w:lang w:eastAsia="en-GB"/>
        </w:rPr>
        <w:t>Marschak</w:t>
      </w:r>
      <w:proofErr w:type="spellEnd"/>
      <w:r w:rsidRPr="001315F0">
        <w:rPr>
          <w:sz w:val="24"/>
          <w:szCs w:val="24"/>
          <w:lang w:eastAsia="en-GB"/>
        </w:rPr>
        <w:t xml:space="preserve">, M. (1960). A method for evaluating child-parent interaction under controlled conditions. </w:t>
      </w:r>
      <w:r w:rsidRPr="001315F0">
        <w:rPr>
          <w:i/>
          <w:iCs/>
          <w:sz w:val="24"/>
          <w:szCs w:val="24"/>
          <w:lang w:eastAsia="en-GB"/>
        </w:rPr>
        <w:t>The Journal of genetic psychology</w:t>
      </w:r>
      <w:r w:rsidRPr="001315F0">
        <w:rPr>
          <w:sz w:val="24"/>
          <w:szCs w:val="24"/>
          <w:lang w:eastAsia="en-GB"/>
        </w:rPr>
        <w:t xml:space="preserve">, </w:t>
      </w:r>
      <w:r w:rsidRPr="001315F0">
        <w:rPr>
          <w:b/>
          <w:iCs/>
          <w:sz w:val="24"/>
          <w:szCs w:val="24"/>
          <w:lang w:eastAsia="en-GB"/>
        </w:rPr>
        <w:t>97</w:t>
      </w:r>
      <w:r w:rsidRPr="001315F0">
        <w:rPr>
          <w:sz w:val="24"/>
          <w:szCs w:val="24"/>
          <w:lang w:eastAsia="en-GB"/>
        </w:rPr>
        <w:t>(1), pp. 3-22.</w:t>
      </w:r>
    </w:p>
    <w:p w14:paraId="22E17B7E" w14:textId="77777777" w:rsidR="00C83D0C" w:rsidRPr="001315F0" w:rsidRDefault="00C83D0C" w:rsidP="00CF04FC">
      <w:pPr>
        <w:spacing w:line="480" w:lineRule="auto"/>
        <w:ind w:left="851" w:hanging="851"/>
        <w:rPr>
          <w:rFonts w:cs="Arial"/>
          <w:sz w:val="24"/>
          <w:szCs w:val="24"/>
          <w:lang w:val="en"/>
        </w:rPr>
      </w:pPr>
      <w:proofErr w:type="spellStart"/>
      <w:r w:rsidRPr="001315F0">
        <w:rPr>
          <w:rFonts w:cs="Arial"/>
          <w:sz w:val="24"/>
          <w:szCs w:val="24"/>
          <w:lang w:val="en"/>
        </w:rPr>
        <w:t>McAuley</w:t>
      </w:r>
      <w:proofErr w:type="spellEnd"/>
      <w:r w:rsidRPr="001315F0">
        <w:rPr>
          <w:rFonts w:cs="Arial"/>
          <w:sz w:val="24"/>
          <w:szCs w:val="24"/>
          <w:lang w:val="en"/>
        </w:rPr>
        <w:t xml:space="preserve">, C., &amp; Davis, T. (2009). Emotional well-being and mental health of looked after children in </w:t>
      </w:r>
      <w:proofErr w:type="spellStart"/>
      <w:proofErr w:type="gramStart"/>
      <w:r w:rsidRPr="001315F0">
        <w:rPr>
          <w:rFonts w:cs="Arial"/>
          <w:sz w:val="24"/>
          <w:szCs w:val="24"/>
          <w:lang w:val="en"/>
        </w:rPr>
        <w:t>england</w:t>
      </w:r>
      <w:proofErr w:type="spellEnd"/>
      <w:proofErr w:type="gramEnd"/>
      <w:r w:rsidRPr="001315F0">
        <w:rPr>
          <w:rFonts w:cs="Arial"/>
          <w:sz w:val="24"/>
          <w:szCs w:val="24"/>
          <w:lang w:val="en"/>
        </w:rPr>
        <w:t>.</w:t>
      </w:r>
      <w:r w:rsidRPr="001315F0">
        <w:rPr>
          <w:rFonts w:cs="Arial"/>
          <w:i/>
          <w:iCs/>
          <w:sz w:val="24"/>
          <w:szCs w:val="24"/>
          <w:lang w:val="en"/>
        </w:rPr>
        <w:t xml:space="preserve"> Child &amp; Family Social Work, </w:t>
      </w:r>
      <w:r w:rsidRPr="001315F0">
        <w:rPr>
          <w:rFonts w:cs="Arial"/>
          <w:b/>
          <w:iCs/>
          <w:sz w:val="24"/>
          <w:szCs w:val="24"/>
          <w:lang w:val="en"/>
        </w:rPr>
        <w:t>14</w:t>
      </w:r>
      <w:r w:rsidRPr="001315F0">
        <w:rPr>
          <w:rFonts w:cs="Arial"/>
          <w:sz w:val="24"/>
          <w:szCs w:val="24"/>
          <w:lang w:val="en"/>
        </w:rPr>
        <w:t>(2), pp. 147-155.</w:t>
      </w:r>
    </w:p>
    <w:p w14:paraId="3F4B6751" w14:textId="77777777" w:rsidR="00C83D0C" w:rsidRPr="001315F0" w:rsidRDefault="00C83D0C" w:rsidP="00CF04FC">
      <w:pPr>
        <w:spacing w:line="480" w:lineRule="auto"/>
        <w:ind w:left="851" w:hanging="851"/>
        <w:rPr>
          <w:sz w:val="24"/>
          <w:szCs w:val="24"/>
        </w:rPr>
      </w:pPr>
      <w:r w:rsidRPr="001315F0">
        <w:rPr>
          <w:sz w:val="24"/>
          <w:szCs w:val="24"/>
        </w:rPr>
        <w:t xml:space="preserve">Munro, E. and Hardy, A. (2006). </w:t>
      </w:r>
      <w:r w:rsidRPr="001315F0">
        <w:rPr>
          <w:i/>
          <w:iCs/>
          <w:sz w:val="24"/>
          <w:szCs w:val="24"/>
        </w:rPr>
        <w:t>Placement Stability: A review of the literature</w:t>
      </w:r>
      <w:r w:rsidRPr="001315F0">
        <w:rPr>
          <w:sz w:val="24"/>
          <w:szCs w:val="24"/>
        </w:rPr>
        <w:t>, Loughborough, Loughborough University.</w:t>
      </w:r>
    </w:p>
    <w:p w14:paraId="4AC76066" w14:textId="77777777" w:rsidR="00C83D0C" w:rsidRPr="001315F0" w:rsidRDefault="00C83D0C" w:rsidP="00CF04FC">
      <w:pPr>
        <w:spacing w:line="480" w:lineRule="auto"/>
        <w:ind w:left="851" w:hanging="851"/>
        <w:rPr>
          <w:sz w:val="24"/>
          <w:szCs w:val="24"/>
        </w:rPr>
      </w:pPr>
      <w:r w:rsidRPr="001315F0">
        <w:rPr>
          <w:sz w:val="24"/>
          <w:szCs w:val="24"/>
        </w:rPr>
        <w:t xml:space="preserve">National Institute of Clinical Excellence (2010). </w:t>
      </w:r>
      <w:r w:rsidRPr="001315F0">
        <w:rPr>
          <w:i/>
          <w:sz w:val="24"/>
          <w:szCs w:val="24"/>
        </w:rPr>
        <w:t xml:space="preserve">Looked after children and young people. </w:t>
      </w:r>
      <w:r w:rsidRPr="001315F0">
        <w:rPr>
          <w:sz w:val="24"/>
          <w:szCs w:val="24"/>
        </w:rPr>
        <w:t>London: National Institute of Clinical Excellence.</w:t>
      </w:r>
    </w:p>
    <w:p w14:paraId="5DC9F7F4" w14:textId="77777777" w:rsidR="00C83D0C" w:rsidRPr="001315F0" w:rsidRDefault="00C83D0C" w:rsidP="00CF04FC">
      <w:pPr>
        <w:spacing w:after="0" w:line="480" w:lineRule="auto"/>
        <w:rPr>
          <w:rFonts w:ascii="Times New Roman" w:eastAsia="Times New Roman" w:hAnsi="Times New Roman" w:cs="Times New Roman"/>
          <w:sz w:val="24"/>
          <w:szCs w:val="24"/>
          <w:lang w:eastAsia="en-GB"/>
        </w:rPr>
      </w:pPr>
    </w:p>
    <w:p w14:paraId="283A2FBF" w14:textId="77777777" w:rsidR="00C83D0C" w:rsidRPr="001315F0" w:rsidRDefault="00C83D0C" w:rsidP="00CF04FC">
      <w:pPr>
        <w:spacing w:line="480" w:lineRule="auto"/>
        <w:ind w:left="851" w:hanging="851"/>
        <w:rPr>
          <w:rFonts w:cs="Arial"/>
          <w:sz w:val="24"/>
          <w:szCs w:val="24"/>
          <w:lang w:eastAsia="en-GB"/>
        </w:rPr>
      </w:pPr>
      <w:proofErr w:type="spellStart"/>
      <w:r w:rsidRPr="001315F0">
        <w:rPr>
          <w:rFonts w:cs="Arial"/>
          <w:sz w:val="24"/>
          <w:szCs w:val="24"/>
          <w:lang w:eastAsia="en-GB"/>
        </w:rPr>
        <w:t>Oosterman</w:t>
      </w:r>
      <w:proofErr w:type="spellEnd"/>
      <w:r w:rsidRPr="001315F0">
        <w:rPr>
          <w:rFonts w:cs="Arial"/>
          <w:sz w:val="24"/>
          <w:szCs w:val="24"/>
          <w:lang w:eastAsia="en-GB"/>
        </w:rPr>
        <w:t xml:space="preserve">, M., </w:t>
      </w:r>
      <w:proofErr w:type="spellStart"/>
      <w:r w:rsidRPr="001315F0">
        <w:rPr>
          <w:rFonts w:cs="Arial"/>
          <w:sz w:val="24"/>
          <w:szCs w:val="24"/>
          <w:lang w:eastAsia="en-GB"/>
        </w:rPr>
        <w:t>Schuengel</w:t>
      </w:r>
      <w:proofErr w:type="spellEnd"/>
      <w:r w:rsidRPr="001315F0">
        <w:rPr>
          <w:rFonts w:cs="Arial"/>
          <w:sz w:val="24"/>
          <w:szCs w:val="24"/>
          <w:lang w:eastAsia="en-GB"/>
        </w:rPr>
        <w:t xml:space="preserve">, C., Slot, N. W., </w:t>
      </w:r>
      <w:proofErr w:type="spellStart"/>
      <w:r w:rsidRPr="001315F0">
        <w:rPr>
          <w:rFonts w:cs="Arial"/>
          <w:sz w:val="24"/>
          <w:szCs w:val="24"/>
          <w:lang w:eastAsia="en-GB"/>
        </w:rPr>
        <w:t>Bullens</w:t>
      </w:r>
      <w:proofErr w:type="spellEnd"/>
      <w:r w:rsidRPr="001315F0">
        <w:rPr>
          <w:rFonts w:cs="Arial"/>
          <w:sz w:val="24"/>
          <w:szCs w:val="24"/>
          <w:lang w:eastAsia="en-GB"/>
        </w:rPr>
        <w:t xml:space="preserve">, R. A., &amp; </w:t>
      </w:r>
      <w:proofErr w:type="spellStart"/>
      <w:r w:rsidRPr="001315F0">
        <w:rPr>
          <w:rFonts w:cs="Arial"/>
          <w:sz w:val="24"/>
          <w:szCs w:val="24"/>
          <w:lang w:eastAsia="en-GB"/>
        </w:rPr>
        <w:t>Doreleijers</w:t>
      </w:r>
      <w:proofErr w:type="spellEnd"/>
      <w:r w:rsidRPr="001315F0">
        <w:rPr>
          <w:rFonts w:cs="Arial"/>
          <w:sz w:val="24"/>
          <w:szCs w:val="24"/>
          <w:lang w:eastAsia="en-GB"/>
        </w:rPr>
        <w:t xml:space="preserve">, T. A. (2007). Disruptions in foster care: A review and meta-analysis. </w:t>
      </w:r>
      <w:r w:rsidRPr="001315F0">
        <w:rPr>
          <w:rFonts w:cs="Arial"/>
          <w:i/>
          <w:iCs/>
          <w:sz w:val="24"/>
          <w:szCs w:val="24"/>
          <w:lang w:eastAsia="en-GB"/>
        </w:rPr>
        <w:t>Children and Youth Services Review</w:t>
      </w:r>
      <w:r w:rsidRPr="001315F0">
        <w:rPr>
          <w:rFonts w:cs="Arial"/>
          <w:sz w:val="24"/>
          <w:szCs w:val="24"/>
          <w:lang w:eastAsia="en-GB"/>
        </w:rPr>
        <w:t xml:space="preserve">, </w:t>
      </w:r>
      <w:r w:rsidRPr="001315F0">
        <w:rPr>
          <w:rFonts w:cs="Arial"/>
          <w:b/>
          <w:iCs/>
          <w:sz w:val="24"/>
          <w:szCs w:val="24"/>
          <w:lang w:eastAsia="en-GB"/>
        </w:rPr>
        <w:t>29</w:t>
      </w:r>
      <w:r w:rsidRPr="001315F0">
        <w:rPr>
          <w:rFonts w:cs="Arial"/>
          <w:sz w:val="24"/>
          <w:szCs w:val="24"/>
          <w:lang w:eastAsia="en-GB"/>
        </w:rPr>
        <w:t>(1), pp. 53-76.</w:t>
      </w:r>
    </w:p>
    <w:p w14:paraId="5B467FA3" w14:textId="0F860779" w:rsidR="00C83D0C" w:rsidRPr="001315F0" w:rsidRDefault="00C83D0C" w:rsidP="00CF04FC">
      <w:pPr>
        <w:spacing w:line="480" w:lineRule="auto"/>
        <w:ind w:left="851" w:hanging="851"/>
        <w:rPr>
          <w:sz w:val="24"/>
          <w:szCs w:val="24"/>
          <w:lang w:eastAsia="en-GB"/>
        </w:rPr>
      </w:pPr>
      <w:proofErr w:type="spellStart"/>
      <w:r w:rsidRPr="001315F0">
        <w:rPr>
          <w:sz w:val="24"/>
          <w:szCs w:val="24"/>
          <w:lang w:eastAsia="en-GB"/>
        </w:rPr>
        <w:t>Volling</w:t>
      </w:r>
      <w:proofErr w:type="spellEnd"/>
      <w:r w:rsidRPr="001315F0">
        <w:rPr>
          <w:sz w:val="24"/>
          <w:szCs w:val="24"/>
          <w:lang w:eastAsia="en-GB"/>
        </w:rPr>
        <w:t xml:space="preserve">, B. L., </w:t>
      </w:r>
      <w:proofErr w:type="spellStart"/>
      <w:r w:rsidRPr="001315F0">
        <w:rPr>
          <w:sz w:val="24"/>
          <w:szCs w:val="24"/>
          <w:lang w:eastAsia="en-GB"/>
        </w:rPr>
        <w:t>Notaro</w:t>
      </w:r>
      <w:proofErr w:type="spellEnd"/>
      <w:r w:rsidRPr="001315F0">
        <w:rPr>
          <w:sz w:val="24"/>
          <w:szCs w:val="24"/>
          <w:lang w:eastAsia="en-GB"/>
        </w:rPr>
        <w:t xml:space="preserve">, P. C., &amp; Larsen, J. J. (1998). Adult Attachment Styles: Relations with Emotional Well-Being, Marriage, and Parenting. </w:t>
      </w:r>
      <w:r w:rsidRPr="001315F0">
        <w:rPr>
          <w:i/>
          <w:iCs/>
          <w:sz w:val="24"/>
          <w:szCs w:val="24"/>
          <w:lang w:eastAsia="en-GB"/>
        </w:rPr>
        <w:t>Family Relations</w:t>
      </w:r>
      <w:r w:rsidRPr="001315F0">
        <w:rPr>
          <w:sz w:val="24"/>
          <w:szCs w:val="24"/>
          <w:lang w:eastAsia="en-GB"/>
        </w:rPr>
        <w:t xml:space="preserve">, </w:t>
      </w:r>
      <w:r w:rsidRPr="001315F0">
        <w:rPr>
          <w:b/>
          <w:iCs/>
          <w:sz w:val="24"/>
          <w:szCs w:val="24"/>
          <w:lang w:eastAsia="en-GB"/>
        </w:rPr>
        <w:t>47</w:t>
      </w:r>
      <w:r w:rsidRPr="001315F0">
        <w:rPr>
          <w:sz w:val="24"/>
          <w:szCs w:val="24"/>
          <w:lang w:eastAsia="en-GB"/>
        </w:rPr>
        <w:t>(4), pp. 355-67.</w:t>
      </w:r>
    </w:p>
    <w:p w14:paraId="3A9B7478" w14:textId="6C47D791" w:rsidR="00C83D0C" w:rsidRPr="001315F0" w:rsidRDefault="00C83D0C" w:rsidP="00CF04FC">
      <w:pPr>
        <w:spacing w:line="480" w:lineRule="auto"/>
        <w:ind w:left="851" w:hanging="851"/>
        <w:rPr>
          <w:rStyle w:val="selectable"/>
          <w:rFonts w:eastAsia="Times New Roman" w:cs="Arial"/>
          <w:sz w:val="24"/>
          <w:szCs w:val="24"/>
          <w:lang w:eastAsia="en-GB"/>
        </w:rPr>
      </w:pPr>
      <w:r w:rsidRPr="001315F0">
        <w:rPr>
          <w:rStyle w:val="selectable"/>
          <w:rFonts w:cs="Arial"/>
          <w:sz w:val="24"/>
          <w:szCs w:val="24"/>
          <w:lang w:val="en"/>
        </w:rPr>
        <w:t xml:space="preserve">Watts, S. and </w:t>
      </w:r>
      <w:proofErr w:type="spellStart"/>
      <w:r w:rsidRPr="001315F0">
        <w:rPr>
          <w:rStyle w:val="selectable"/>
          <w:rFonts w:cs="Arial"/>
          <w:sz w:val="24"/>
          <w:szCs w:val="24"/>
          <w:lang w:val="en"/>
        </w:rPr>
        <w:t>Stenner</w:t>
      </w:r>
      <w:proofErr w:type="spellEnd"/>
      <w:r w:rsidRPr="001315F0">
        <w:rPr>
          <w:rStyle w:val="selectable"/>
          <w:rFonts w:cs="Arial"/>
          <w:sz w:val="24"/>
          <w:szCs w:val="24"/>
          <w:lang w:val="en"/>
        </w:rPr>
        <w:t xml:space="preserve">, P. (2012). </w:t>
      </w:r>
      <w:r w:rsidRPr="001315F0">
        <w:rPr>
          <w:rStyle w:val="selectable"/>
          <w:rFonts w:cs="Arial"/>
          <w:i/>
          <w:iCs/>
          <w:sz w:val="24"/>
          <w:szCs w:val="24"/>
          <w:lang w:val="en"/>
        </w:rPr>
        <w:t>Doing Q Methodological Research</w:t>
      </w:r>
      <w:r w:rsidRPr="001315F0">
        <w:rPr>
          <w:rStyle w:val="selectable"/>
          <w:rFonts w:cs="Arial"/>
          <w:sz w:val="24"/>
          <w:szCs w:val="24"/>
          <w:lang w:val="en"/>
        </w:rPr>
        <w:t xml:space="preserve">. Thousand </w:t>
      </w:r>
      <w:r w:rsidR="006B76A6" w:rsidRPr="001315F0">
        <w:rPr>
          <w:rStyle w:val="selectable"/>
          <w:rFonts w:cs="Arial"/>
          <w:sz w:val="24"/>
          <w:szCs w:val="24"/>
          <w:lang w:val="en"/>
        </w:rPr>
        <w:t xml:space="preserve">Oaks: CA: SAGE Publications Ltd. </w:t>
      </w:r>
    </w:p>
    <w:p w14:paraId="78CFFAC7" w14:textId="23F49357" w:rsidR="00050D95" w:rsidRDefault="00050D95">
      <w:r>
        <w:br w:type="page"/>
      </w:r>
    </w:p>
    <w:p w14:paraId="78C52ECB" w14:textId="7BC5613D" w:rsidR="00D0232F" w:rsidRDefault="00050D95" w:rsidP="00CF04FC">
      <w:pPr>
        <w:spacing w:line="480" w:lineRule="auto"/>
        <w:rPr>
          <w:u w:val="single"/>
        </w:rPr>
      </w:pPr>
      <w:r>
        <w:rPr>
          <w:u w:val="single"/>
        </w:rPr>
        <w:t>Tables</w:t>
      </w:r>
    </w:p>
    <w:p w14:paraId="42A95B6F" w14:textId="7EE04DF4" w:rsidR="00050D95" w:rsidRDefault="00050D95" w:rsidP="00CF04FC">
      <w:pPr>
        <w:spacing w:line="480" w:lineRule="auto"/>
      </w:pPr>
      <w:r>
        <w:t>Table 1: Sample Demographics ……………………………………………………….. Page 8</w:t>
      </w:r>
    </w:p>
    <w:p w14:paraId="7E1B7981" w14:textId="57316E3A" w:rsidR="00050D95" w:rsidRDefault="00050D95" w:rsidP="00CF04FC">
      <w:pPr>
        <w:spacing w:line="480" w:lineRule="auto"/>
      </w:pPr>
      <w:r>
        <w:t>Table 2: Correlation Matrix ……………………………………………………………… Page 12</w:t>
      </w:r>
      <w:bookmarkStart w:id="0" w:name="_GoBack"/>
      <w:bookmarkEnd w:id="0"/>
    </w:p>
    <w:p w14:paraId="1E5E80E9" w14:textId="62801D30" w:rsidR="00050D95" w:rsidRDefault="00050D95" w:rsidP="00CF04FC">
      <w:pPr>
        <w:spacing w:line="480" w:lineRule="auto"/>
      </w:pPr>
      <w:r>
        <w:t>Table 3: Un-rotated factor loadings …………………………………………………. Page 13</w:t>
      </w:r>
    </w:p>
    <w:p w14:paraId="67EC9373" w14:textId="1ED4FB6A" w:rsidR="00050D95" w:rsidRDefault="00050D95" w:rsidP="00CF04FC">
      <w:pPr>
        <w:spacing w:line="480" w:lineRule="auto"/>
      </w:pPr>
      <w:r>
        <w:t>Table 4: Rotated factor loadings ………………………………………….………….. Page 14</w:t>
      </w:r>
    </w:p>
    <w:p w14:paraId="7B23C723" w14:textId="65DF16FF" w:rsidR="00050D95" w:rsidRDefault="00050D95" w:rsidP="00CF04FC">
      <w:pPr>
        <w:spacing w:line="480" w:lineRule="auto"/>
      </w:pPr>
    </w:p>
    <w:p w14:paraId="3A822627" w14:textId="07A75E1B" w:rsidR="00050D95" w:rsidRPr="00050D95" w:rsidRDefault="00050D95" w:rsidP="00CF04FC">
      <w:pPr>
        <w:spacing w:line="480" w:lineRule="auto"/>
        <w:rPr>
          <w:u w:val="single"/>
        </w:rPr>
      </w:pPr>
      <w:r w:rsidRPr="00050D95">
        <w:rPr>
          <w:u w:val="single"/>
        </w:rPr>
        <w:t>Figures</w:t>
      </w:r>
    </w:p>
    <w:p w14:paraId="6A61B2FE" w14:textId="470A3EE9" w:rsidR="00050D95" w:rsidRDefault="00050D95" w:rsidP="00CF04FC">
      <w:pPr>
        <w:spacing w:line="480" w:lineRule="auto"/>
      </w:pPr>
      <w:r>
        <w:t>Figure 1: Q Distribution Grid ……………………………………………………………. Page 10</w:t>
      </w:r>
    </w:p>
    <w:p w14:paraId="6F890A3B" w14:textId="77777777" w:rsidR="00050D95" w:rsidRDefault="00050D95" w:rsidP="00CF04FC">
      <w:pPr>
        <w:spacing w:line="480" w:lineRule="auto"/>
      </w:pPr>
    </w:p>
    <w:p w14:paraId="0BFCE13F" w14:textId="77777777" w:rsidR="00050D95" w:rsidRPr="00050D95" w:rsidRDefault="00050D95" w:rsidP="00CF04FC">
      <w:pPr>
        <w:spacing w:line="480" w:lineRule="auto"/>
      </w:pPr>
    </w:p>
    <w:sectPr w:rsidR="00050D95" w:rsidRPr="00050D9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00885" w16cid:durableId="22401306"/>
  <w16cid:commentId w16cid:paraId="22884CDC" w16cid:durableId="22401E22"/>
  <w16cid:commentId w16cid:paraId="7598CECF" w16cid:durableId="22402C56"/>
  <w16cid:commentId w16cid:paraId="5575B49F" w16cid:durableId="22402CDD"/>
  <w16cid:commentId w16cid:paraId="181FF7BA" w16cid:durableId="22402E5D"/>
  <w16cid:commentId w16cid:paraId="10F8B34E" w16cid:durableId="22402DA6"/>
  <w16cid:commentId w16cid:paraId="19B3F3F0" w16cid:durableId="22402E22"/>
  <w16cid:commentId w16cid:paraId="2886C40F" w16cid:durableId="22401574"/>
  <w16cid:commentId w16cid:paraId="60B614EB" w16cid:durableId="22402DED"/>
  <w16cid:commentId w16cid:paraId="02693CA2" w16cid:durableId="22402F45"/>
  <w16cid:commentId w16cid:paraId="3029B420" w16cid:durableId="22402F61"/>
  <w16cid:commentId w16cid:paraId="5A56C0FF" w16cid:durableId="22402FC2"/>
  <w16cid:commentId w16cid:paraId="0A1FFE52" w16cid:durableId="224031FB"/>
  <w16cid:commentId w16cid:paraId="591CFE3E" w16cid:durableId="22403298"/>
  <w16cid:commentId w16cid:paraId="19B42277" w16cid:durableId="224016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8D762" w14:textId="77777777" w:rsidR="001315F0" w:rsidRDefault="001315F0" w:rsidP="00852BFE">
      <w:pPr>
        <w:spacing w:after="0" w:line="240" w:lineRule="auto"/>
      </w:pPr>
      <w:r>
        <w:separator/>
      </w:r>
    </w:p>
  </w:endnote>
  <w:endnote w:type="continuationSeparator" w:id="0">
    <w:p w14:paraId="2E42C102" w14:textId="77777777" w:rsidR="001315F0" w:rsidRDefault="001315F0" w:rsidP="0085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053116"/>
      <w:docPartObj>
        <w:docPartGallery w:val="Page Numbers (Bottom of Page)"/>
        <w:docPartUnique/>
      </w:docPartObj>
    </w:sdtPr>
    <w:sdtEndPr>
      <w:rPr>
        <w:noProof/>
      </w:rPr>
    </w:sdtEndPr>
    <w:sdtContent>
      <w:p w14:paraId="137BF971" w14:textId="0FCFF1B8" w:rsidR="001315F0" w:rsidRDefault="001315F0">
        <w:pPr>
          <w:pStyle w:val="Footer"/>
          <w:jc w:val="right"/>
        </w:pPr>
        <w:r>
          <w:fldChar w:fldCharType="begin"/>
        </w:r>
        <w:r>
          <w:instrText xml:space="preserve"> PAGE   \* MERGEFORMAT </w:instrText>
        </w:r>
        <w:r>
          <w:fldChar w:fldCharType="separate"/>
        </w:r>
        <w:r w:rsidR="0000770C">
          <w:rPr>
            <w:noProof/>
          </w:rPr>
          <w:t>33</w:t>
        </w:r>
        <w:r>
          <w:rPr>
            <w:noProof/>
          </w:rPr>
          <w:fldChar w:fldCharType="end"/>
        </w:r>
      </w:p>
    </w:sdtContent>
  </w:sdt>
  <w:p w14:paraId="747D11C2" w14:textId="77777777" w:rsidR="001315F0" w:rsidRDefault="0013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503B4" w14:textId="77777777" w:rsidR="001315F0" w:rsidRDefault="001315F0" w:rsidP="00852BFE">
      <w:pPr>
        <w:spacing w:after="0" w:line="240" w:lineRule="auto"/>
      </w:pPr>
      <w:r>
        <w:separator/>
      </w:r>
    </w:p>
  </w:footnote>
  <w:footnote w:type="continuationSeparator" w:id="0">
    <w:p w14:paraId="63253D7D" w14:textId="77777777" w:rsidR="001315F0" w:rsidRDefault="001315F0" w:rsidP="00852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FE34D7"/>
    <w:multiLevelType w:val="hybridMultilevel"/>
    <w:tmpl w:val="70012D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1AD01"/>
    <w:multiLevelType w:val="hybridMultilevel"/>
    <w:tmpl w:val="4E13D2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3FD4"/>
    <w:multiLevelType w:val="multilevel"/>
    <w:tmpl w:val="E06AF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E0C57"/>
    <w:multiLevelType w:val="hybridMultilevel"/>
    <w:tmpl w:val="4126BE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5AD0"/>
    <w:multiLevelType w:val="hybridMultilevel"/>
    <w:tmpl w:val="57084F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713028"/>
    <w:multiLevelType w:val="hybridMultilevel"/>
    <w:tmpl w:val="4C469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67CA7"/>
    <w:multiLevelType w:val="hybridMultilevel"/>
    <w:tmpl w:val="5C97B6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731237"/>
    <w:multiLevelType w:val="hybridMultilevel"/>
    <w:tmpl w:val="BA42ED08"/>
    <w:lvl w:ilvl="0" w:tplc="0809000F">
      <w:start w:val="1"/>
      <w:numFmt w:val="decimal"/>
      <w:lvlText w:val="%1."/>
      <w:lvlJc w:val="left"/>
      <w:pPr>
        <w:ind w:left="786"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B34D5"/>
    <w:multiLevelType w:val="hybridMultilevel"/>
    <w:tmpl w:val="376ED8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8602F"/>
    <w:multiLevelType w:val="hybridMultilevel"/>
    <w:tmpl w:val="627213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D1946"/>
    <w:multiLevelType w:val="hybridMultilevel"/>
    <w:tmpl w:val="B084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428A"/>
    <w:multiLevelType w:val="hybridMultilevel"/>
    <w:tmpl w:val="B11C2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14EF1"/>
    <w:multiLevelType w:val="multilevel"/>
    <w:tmpl w:val="7362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00318"/>
    <w:multiLevelType w:val="multilevel"/>
    <w:tmpl w:val="B27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60A95"/>
    <w:multiLevelType w:val="hybridMultilevel"/>
    <w:tmpl w:val="5B507D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C6995"/>
    <w:multiLevelType w:val="hybridMultilevel"/>
    <w:tmpl w:val="91FE3C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2D0DD8"/>
    <w:multiLevelType w:val="hybridMultilevel"/>
    <w:tmpl w:val="7D38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278E4"/>
    <w:multiLevelType w:val="hybridMultilevel"/>
    <w:tmpl w:val="1EF40208"/>
    <w:lvl w:ilvl="0" w:tplc="5B50A462">
      <w:start w:val="1"/>
      <w:numFmt w:val="bullet"/>
      <w:lvlText w:val=""/>
      <w:lvlJc w:val="left"/>
      <w:pPr>
        <w:ind w:left="786"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4409D"/>
    <w:multiLevelType w:val="hybridMultilevel"/>
    <w:tmpl w:val="284EA3E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DD6246"/>
    <w:multiLevelType w:val="multilevel"/>
    <w:tmpl w:val="D582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C54DB"/>
    <w:multiLevelType w:val="hybridMultilevel"/>
    <w:tmpl w:val="42EE1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B5010"/>
    <w:multiLevelType w:val="hybridMultilevel"/>
    <w:tmpl w:val="5C549D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80E85"/>
    <w:multiLevelType w:val="hybridMultilevel"/>
    <w:tmpl w:val="DB2CBBA0"/>
    <w:lvl w:ilvl="0" w:tplc="04090001">
      <w:start w:val="1"/>
      <w:numFmt w:val="decimal"/>
      <w:lvlText w:val="%1."/>
      <w:lvlJc w:val="left"/>
      <w:pPr>
        <w:tabs>
          <w:tab w:val="num" w:pos="502"/>
        </w:tabs>
        <w:ind w:left="502"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23" w15:restartNumberingAfterBreak="0">
    <w:nsid w:val="6716158C"/>
    <w:multiLevelType w:val="hybridMultilevel"/>
    <w:tmpl w:val="38184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60C1F"/>
    <w:multiLevelType w:val="hybridMultilevel"/>
    <w:tmpl w:val="7616B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C65232"/>
    <w:multiLevelType w:val="hybridMultilevel"/>
    <w:tmpl w:val="3244E8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A6BE2"/>
    <w:multiLevelType w:val="multilevel"/>
    <w:tmpl w:val="09C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80EA5"/>
    <w:multiLevelType w:val="hybridMultilevel"/>
    <w:tmpl w:val="17FCA5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717DF"/>
    <w:multiLevelType w:val="multilevel"/>
    <w:tmpl w:val="037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A2AFC"/>
    <w:multiLevelType w:val="hybridMultilevel"/>
    <w:tmpl w:val="6F7DFD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EA0B90"/>
    <w:multiLevelType w:val="multilevel"/>
    <w:tmpl w:val="A880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369C7"/>
    <w:multiLevelType w:val="multilevel"/>
    <w:tmpl w:val="9FA0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67EB7"/>
    <w:multiLevelType w:val="hybridMultilevel"/>
    <w:tmpl w:val="3776F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B96362"/>
    <w:multiLevelType w:val="multilevel"/>
    <w:tmpl w:val="08C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810BE"/>
    <w:multiLevelType w:val="multilevel"/>
    <w:tmpl w:val="06DA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E1956"/>
    <w:multiLevelType w:val="hybridMultilevel"/>
    <w:tmpl w:val="ED186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0"/>
  </w:num>
  <w:num w:numId="3">
    <w:abstractNumId w:val="5"/>
  </w:num>
  <w:num w:numId="4">
    <w:abstractNumId w:val="32"/>
  </w:num>
  <w:num w:numId="5">
    <w:abstractNumId w:val="35"/>
  </w:num>
  <w:num w:numId="6">
    <w:abstractNumId w:val="6"/>
  </w:num>
  <w:num w:numId="7">
    <w:abstractNumId w:val="0"/>
  </w:num>
  <w:num w:numId="8">
    <w:abstractNumId w:val="1"/>
  </w:num>
  <w:num w:numId="9">
    <w:abstractNumId w:val="29"/>
  </w:num>
  <w:num w:numId="10">
    <w:abstractNumId w:val="28"/>
  </w:num>
  <w:num w:numId="11">
    <w:abstractNumId w:val="12"/>
  </w:num>
  <w:num w:numId="12">
    <w:abstractNumId w:val="31"/>
  </w:num>
  <w:num w:numId="13">
    <w:abstractNumId w:val="26"/>
  </w:num>
  <w:num w:numId="14">
    <w:abstractNumId w:val="22"/>
  </w:num>
  <w:num w:numId="15">
    <w:abstractNumId w:val="7"/>
  </w:num>
  <w:num w:numId="16">
    <w:abstractNumId w:val="2"/>
  </w:num>
  <w:num w:numId="17">
    <w:abstractNumId w:val="33"/>
  </w:num>
  <w:num w:numId="18">
    <w:abstractNumId w:val="13"/>
  </w:num>
  <w:num w:numId="19">
    <w:abstractNumId w:val="19"/>
  </w:num>
  <w:num w:numId="20">
    <w:abstractNumId w:val="30"/>
  </w:num>
  <w:num w:numId="21">
    <w:abstractNumId w:val="34"/>
  </w:num>
  <w:num w:numId="22">
    <w:abstractNumId w:val="24"/>
  </w:num>
  <w:num w:numId="23">
    <w:abstractNumId w:val="17"/>
  </w:num>
  <w:num w:numId="24">
    <w:abstractNumId w:val="14"/>
  </w:num>
  <w:num w:numId="25">
    <w:abstractNumId w:val="15"/>
  </w:num>
  <w:num w:numId="26">
    <w:abstractNumId w:val="25"/>
  </w:num>
  <w:num w:numId="27">
    <w:abstractNumId w:val="3"/>
  </w:num>
  <w:num w:numId="28">
    <w:abstractNumId w:val="4"/>
  </w:num>
  <w:num w:numId="29">
    <w:abstractNumId w:val="8"/>
  </w:num>
  <w:num w:numId="30">
    <w:abstractNumId w:val="23"/>
  </w:num>
  <w:num w:numId="31">
    <w:abstractNumId w:val="9"/>
  </w:num>
  <w:num w:numId="32">
    <w:abstractNumId w:val="20"/>
  </w:num>
  <w:num w:numId="33">
    <w:abstractNumId w:val="21"/>
  </w:num>
  <w:num w:numId="34">
    <w:abstractNumId w:val="27"/>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0C"/>
    <w:rsid w:val="0000770C"/>
    <w:rsid w:val="00022EC4"/>
    <w:rsid w:val="00050D95"/>
    <w:rsid w:val="00053D33"/>
    <w:rsid w:val="0009784A"/>
    <w:rsid w:val="000C2148"/>
    <w:rsid w:val="000C474D"/>
    <w:rsid w:val="000D6A99"/>
    <w:rsid w:val="000E6EAA"/>
    <w:rsid w:val="000F0201"/>
    <w:rsid w:val="00100998"/>
    <w:rsid w:val="00102007"/>
    <w:rsid w:val="00103957"/>
    <w:rsid w:val="001129A7"/>
    <w:rsid w:val="00112E3D"/>
    <w:rsid w:val="00120D5E"/>
    <w:rsid w:val="001242E4"/>
    <w:rsid w:val="00124F25"/>
    <w:rsid w:val="001315F0"/>
    <w:rsid w:val="001679BE"/>
    <w:rsid w:val="00170AB6"/>
    <w:rsid w:val="001768BB"/>
    <w:rsid w:val="001A443C"/>
    <w:rsid w:val="001B2426"/>
    <w:rsid w:val="001E6B33"/>
    <w:rsid w:val="001F0CE9"/>
    <w:rsid w:val="001F3709"/>
    <w:rsid w:val="001F603D"/>
    <w:rsid w:val="00210230"/>
    <w:rsid w:val="002137DA"/>
    <w:rsid w:val="002344FC"/>
    <w:rsid w:val="002A41CE"/>
    <w:rsid w:val="002B5867"/>
    <w:rsid w:val="002D4CC9"/>
    <w:rsid w:val="002E40A2"/>
    <w:rsid w:val="002E6ADB"/>
    <w:rsid w:val="00350CCD"/>
    <w:rsid w:val="003525E3"/>
    <w:rsid w:val="00362C9E"/>
    <w:rsid w:val="003B0E39"/>
    <w:rsid w:val="003B0E88"/>
    <w:rsid w:val="0040756C"/>
    <w:rsid w:val="00474E8D"/>
    <w:rsid w:val="0047686A"/>
    <w:rsid w:val="004D1E4C"/>
    <w:rsid w:val="004E6470"/>
    <w:rsid w:val="004F6B38"/>
    <w:rsid w:val="00503F0E"/>
    <w:rsid w:val="00511CB6"/>
    <w:rsid w:val="005164B8"/>
    <w:rsid w:val="00530AFE"/>
    <w:rsid w:val="00544310"/>
    <w:rsid w:val="0054712E"/>
    <w:rsid w:val="005526F7"/>
    <w:rsid w:val="00564278"/>
    <w:rsid w:val="00580CD1"/>
    <w:rsid w:val="005F44D2"/>
    <w:rsid w:val="0060019F"/>
    <w:rsid w:val="00622D39"/>
    <w:rsid w:val="00654372"/>
    <w:rsid w:val="00667269"/>
    <w:rsid w:val="00692BEB"/>
    <w:rsid w:val="006B76A6"/>
    <w:rsid w:val="006E251E"/>
    <w:rsid w:val="006E72FE"/>
    <w:rsid w:val="006F6E2D"/>
    <w:rsid w:val="007214DD"/>
    <w:rsid w:val="00745EC1"/>
    <w:rsid w:val="007530B0"/>
    <w:rsid w:val="007616F4"/>
    <w:rsid w:val="00781A51"/>
    <w:rsid w:val="00783E09"/>
    <w:rsid w:val="007C63D2"/>
    <w:rsid w:val="007E662C"/>
    <w:rsid w:val="007F14B5"/>
    <w:rsid w:val="00831411"/>
    <w:rsid w:val="00835552"/>
    <w:rsid w:val="008371DE"/>
    <w:rsid w:val="00841437"/>
    <w:rsid w:val="00852BFE"/>
    <w:rsid w:val="0085328B"/>
    <w:rsid w:val="0089040A"/>
    <w:rsid w:val="008945EB"/>
    <w:rsid w:val="008B3D86"/>
    <w:rsid w:val="008C1F3A"/>
    <w:rsid w:val="008F44D4"/>
    <w:rsid w:val="00900705"/>
    <w:rsid w:val="00967C77"/>
    <w:rsid w:val="009820F3"/>
    <w:rsid w:val="00995CD3"/>
    <w:rsid w:val="009B2699"/>
    <w:rsid w:val="009B2DBB"/>
    <w:rsid w:val="009D717D"/>
    <w:rsid w:val="009F355E"/>
    <w:rsid w:val="00A11E6F"/>
    <w:rsid w:val="00A27FA3"/>
    <w:rsid w:val="00A36071"/>
    <w:rsid w:val="00A45567"/>
    <w:rsid w:val="00A63EC5"/>
    <w:rsid w:val="00A831C2"/>
    <w:rsid w:val="00A83634"/>
    <w:rsid w:val="00AC34A7"/>
    <w:rsid w:val="00AF0E27"/>
    <w:rsid w:val="00AF2515"/>
    <w:rsid w:val="00B2052B"/>
    <w:rsid w:val="00B37A47"/>
    <w:rsid w:val="00B453E0"/>
    <w:rsid w:val="00B536CE"/>
    <w:rsid w:val="00B616A3"/>
    <w:rsid w:val="00B61AE9"/>
    <w:rsid w:val="00B6741C"/>
    <w:rsid w:val="00B71BDE"/>
    <w:rsid w:val="00BB33F8"/>
    <w:rsid w:val="00BB7B6A"/>
    <w:rsid w:val="00BC54EC"/>
    <w:rsid w:val="00BE3112"/>
    <w:rsid w:val="00BF2ECB"/>
    <w:rsid w:val="00C010F3"/>
    <w:rsid w:val="00C11B5E"/>
    <w:rsid w:val="00C2762B"/>
    <w:rsid w:val="00C711CF"/>
    <w:rsid w:val="00C83D0C"/>
    <w:rsid w:val="00CA012A"/>
    <w:rsid w:val="00CA5335"/>
    <w:rsid w:val="00CD20F6"/>
    <w:rsid w:val="00CE2458"/>
    <w:rsid w:val="00CF04FC"/>
    <w:rsid w:val="00D0232F"/>
    <w:rsid w:val="00D17346"/>
    <w:rsid w:val="00D56ADF"/>
    <w:rsid w:val="00D70F64"/>
    <w:rsid w:val="00D917E8"/>
    <w:rsid w:val="00DA31D8"/>
    <w:rsid w:val="00DB2CD7"/>
    <w:rsid w:val="00DB64FA"/>
    <w:rsid w:val="00DE2910"/>
    <w:rsid w:val="00E13D6D"/>
    <w:rsid w:val="00E501D5"/>
    <w:rsid w:val="00E7019B"/>
    <w:rsid w:val="00E80603"/>
    <w:rsid w:val="00E90535"/>
    <w:rsid w:val="00EC733A"/>
    <w:rsid w:val="00EF5F16"/>
    <w:rsid w:val="00EF725D"/>
    <w:rsid w:val="00F1299C"/>
    <w:rsid w:val="00F166B1"/>
    <w:rsid w:val="00F5779F"/>
    <w:rsid w:val="00FA0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16DE"/>
  <w15:docId w15:val="{E0CB7147-1BDC-420B-87BE-D42EEF3D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0C"/>
  </w:style>
  <w:style w:type="paragraph" w:styleId="Heading1">
    <w:name w:val="heading 1"/>
    <w:basedOn w:val="Normal"/>
    <w:next w:val="Normal"/>
    <w:link w:val="Heading1Char"/>
    <w:uiPriority w:val="9"/>
    <w:qFormat/>
    <w:rsid w:val="00C83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3D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3D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83D0C"/>
    <w:pPr>
      <w:spacing w:after="225" w:line="240" w:lineRule="auto"/>
      <w:outlineLvl w:val="3"/>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D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3D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83D0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83D0C"/>
    <w:rPr>
      <w:rFonts w:ascii="Times New Roman" w:eastAsia="Times New Roman" w:hAnsi="Times New Roman" w:cs="Times New Roman"/>
      <w:b/>
      <w:bCs/>
      <w:sz w:val="27"/>
      <w:szCs w:val="27"/>
      <w:lang w:eastAsia="en-GB"/>
    </w:rPr>
  </w:style>
  <w:style w:type="paragraph" w:customStyle="1" w:styleId="Default">
    <w:name w:val="Default"/>
    <w:rsid w:val="00C83D0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3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D0C"/>
  </w:style>
  <w:style w:type="paragraph" w:styleId="Footer">
    <w:name w:val="footer"/>
    <w:basedOn w:val="Normal"/>
    <w:link w:val="FooterChar"/>
    <w:uiPriority w:val="99"/>
    <w:unhideWhenUsed/>
    <w:rsid w:val="00C83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D0C"/>
  </w:style>
  <w:style w:type="table" w:styleId="TableGrid">
    <w:name w:val="Table Grid"/>
    <w:basedOn w:val="TableNormal"/>
    <w:uiPriority w:val="59"/>
    <w:rsid w:val="00C83D0C"/>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83D0C"/>
    <w:rPr>
      <w:color w:val="0000FF"/>
      <w:u w:val="single"/>
    </w:rPr>
  </w:style>
  <w:style w:type="character" w:styleId="Strong">
    <w:name w:val="Strong"/>
    <w:basedOn w:val="DefaultParagraphFont"/>
    <w:uiPriority w:val="22"/>
    <w:qFormat/>
    <w:rsid w:val="00C83D0C"/>
    <w:rPr>
      <w:b/>
      <w:bCs/>
    </w:rPr>
  </w:style>
  <w:style w:type="paragraph" w:customStyle="1" w:styleId="Heading1A">
    <w:name w:val="Heading 1A"/>
    <w:basedOn w:val="Normal"/>
    <w:link w:val="Heading1AChar"/>
    <w:qFormat/>
    <w:rsid w:val="00C83D0C"/>
    <w:pPr>
      <w:spacing w:after="160" w:line="259" w:lineRule="auto"/>
    </w:pPr>
    <w:rPr>
      <w:bCs/>
      <w:noProof/>
      <w:u w:val="single"/>
      <w:lang w:val="en-US"/>
    </w:rPr>
  </w:style>
  <w:style w:type="character" w:customStyle="1" w:styleId="Heading1AChar">
    <w:name w:val="Heading 1A Char"/>
    <w:basedOn w:val="DefaultParagraphFont"/>
    <w:link w:val="Heading1A"/>
    <w:rsid w:val="00C83D0C"/>
    <w:rPr>
      <w:bCs/>
      <w:noProof/>
      <w:u w:val="single"/>
      <w:lang w:val="en-US"/>
    </w:rPr>
  </w:style>
  <w:style w:type="paragraph" w:styleId="BalloonText">
    <w:name w:val="Balloon Text"/>
    <w:basedOn w:val="Normal"/>
    <w:link w:val="BalloonTextChar"/>
    <w:uiPriority w:val="99"/>
    <w:semiHidden/>
    <w:unhideWhenUsed/>
    <w:rsid w:val="00C83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0C"/>
    <w:rPr>
      <w:rFonts w:ascii="Tahoma" w:hAnsi="Tahoma" w:cs="Tahoma"/>
      <w:sz w:val="16"/>
      <w:szCs w:val="16"/>
    </w:rPr>
  </w:style>
  <w:style w:type="paragraph" w:styleId="NoSpacing">
    <w:name w:val="No Spacing"/>
    <w:link w:val="NoSpacingChar"/>
    <w:uiPriority w:val="1"/>
    <w:qFormat/>
    <w:rsid w:val="00C83D0C"/>
    <w:pPr>
      <w:spacing w:after="0" w:line="240" w:lineRule="auto"/>
    </w:pPr>
  </w:style>
  <w:style w:type="paragraph" w:styleId="ListParagraph">
    <w:name w:val="List Paragraph"/>
    <w:basedOn w:val="Normal"/>
    <w:uiPriority w:val="34"/>
    <w:qFormat/>
    <w:rsid w:val="00C83D0C"/>
    <w:pPr>
      <w:ind w:left="720"/>
      <w:contextualSpacing/>
    </w:pPr>
  </w:style>
  <w:style w:type="paragraph" w:styleId="NormalWeb">
    <w:name w:val="Normal (Web)"/>
    <w:basedOn w:val="Normal"/>
    <w:uiPriority w:val="99"/>
    <w:unhideWhenUsed/>
    <w:rsid w:val="00C83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3D0C"/>
    <w:rPr>
      <w:sz w:val="16"/>
      <w:szCs w:val="16"/>
    </w:rPr>
  </w:style>
  <w:style w:type="paragraph" w:styleId="CommentText">
    <w:name w:val="annotation text"/>
    <w:basedOn w:val="Normal"/>
    <w:link w:val="CommentTextChar"/>
    <w:uiPriority w:val="99"/>
    <w:unhideWhenUsed/>
    <w:rsid w:val="00C83D0C"/>
    <w:pPr>
      <w:spacing w:line="240" w:lineRule="auto"/>
    </w:pPr>
    <w:rPr>
      <w:sz w:val="20"/>
      <w:szCs w:val="20"/>
    </w:rPr>
  </w:style>
  <w:style w:type="character" w:customStyle="1" w:styleId="CommentTextChar">
    <w:name w:val="Comment Text Char"/>
    <w:basedOn w:val="DefaultParagraphFont"/>
    <w:link w:val="CommentText"/>
    <w:uiPriority w:val="99"/>
    <w:rsid w:val="00C83D0C"/>
    <w:rPr>
      <w:sz w:val="20"/>
      <w:szCs w:val="20"/>
    </w:rPr>
  </w:style>
  <w:style w:type="paragraph" w:styleId="CommentSubject">
    <w:name w:val="annotation subject"/>
    <w:basedOn w:val="CommentText"/>
    <w:next w:val="CommentText"/>
    <w:link w:val="CommentSubjectChar"/>
    <w:uiPriority w:val="99"/>
    <w:semiHidden/>
    <w:unhideWhenUsed/>
    <w:rsid w:val="00C83D0C"/>
    <w:rPr>
      <w:b/>
      <w:bCs/>
    </w:rPr>
  </w:style>
  <w:style w:type="character" w:customStyle="1" w:styleId="CommentSubjectChar">
    <w:name w:val="Comment Subject Char"/>
    <w:basedOn w:val="CommentTextChar"/>
    <w:link w:val="CommentSubject"/>
    <w:uiPriority w:val="99"/>
    <w:semiHidden/>
    <w:rsid w:val="00C83D0C"/>
    <w:rPr>
      <w:b/>
      <w:bCs/>
      <w:sz w:val="20"/>
      <w:szCs w:val="20"/>
    </w:rPr>
  </w:style>
  <w:style w:type="character" w:styleId="Emphasis">
    <w:name w:val="Emphasis"/>
    <w:basedOn w:val="DefaultParagraphFont"/>
    <w:uiPriority w:val="20"/>
    <w:qFormat/>
    <w:rsid w:val="00C83D0C"/>
    <w:rPr>
      <w:i/>
      <w:iCs/>
    </w:rPr>
  </w:style>
  <w:style w:type="character" w:customStyle="1" w:styleId="selectable">
    <w:name w:val="selectable"/>
    <w:basedOn w:val="DefaultParagraphFont"/>
    <w:rsid w:val="00C83D0C"/>
  </w:style>
  <w:style w:type="paragraph" w:styleId="TOCHeading">
    <w:name w:val="TOC Heading"/>
    <w:basedOn w:val="Heading1"/>
    <w:next w:val="Normal"/>
    <w:uiPriority w:val="39"/>
    <w:semiHidden/>
    <w:unhideWhenUsed/>
    <w:qFormat/>
    <w:rsid w:val="00C83D0C"/>
    <w:pPr>
      <w:outlineLvl w:val="9"/>
    </w:pPr>
    <w:rPr>
      <w:lang w:val="en-US" w:eastAsia="ja-JP"/>
    </w:rPr>
  </w:style>
  <w:style w:type="paragraph" w:customStyle="1" w:styleId="contactaddress">
    <w:name w:val="contact_address"/>
    <w:basedOn w:val="Normal"/>
    <w:rsid w:val="00C83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C83D0C"/>
  </w:style>
  <w:style w:type="paragraph" w:styleId="Revision">
    <w:name w:val="Revision"/>
    <w:hidden/>
    <w:uiPriority w:val="99"/>
    <w:semiHidden/>
    <w:rsid w:val="00C83D0C"/>
    <w:pPr>
      <w:spacing w:after="0" w:line="240" w:lineRule="auto"/>
    </w:pPr>
  </w:style>
  <w:style w:type="table" w:customStyle="1" w:styleId="TableGrid1">
    <w:name w:val="Table Grid1"/>
    <w:basedOn w:val="TableNormal"/>
    <w:next w:val="TableGrid"/>
    <w:uiPriority w:val="59"/>
    <w:rsid w:val="00C83D0C"/>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83D0C"/>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83D0C"/>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83D0C"/>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8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971">
      <w:bodyDiv w:val="1"/>
      <w:marLeft w:val="0"/>
      <w:marRight w:val="0"/>
      <w:marTop w:val="0"/>
      <w:marBottom w:val="0"/>
      <w:divBdr>
        <w:top w:val="none" w:sz="0" w:space="0" w:color="auto"/>
        <w:left w:val="none" w:sz="0" w:space="0" w:color="auto"/>
        <w:bottom w:val="none" w:sz="0" w:space="0" w:color="auto"/>
        <w:right w:val="none" w:sz="0" w:space="0" w:color="auto"/>
      </w:divBdr>
    </w:div>
    <w:div w:id="1093866589">
      <w:bodyDiv w:val="1"/>
      <w:marLeft w:val="0"/>
      <w:marRight w:val="0"/>
      <w:marTop w:val="0"/>
      <w:marBottom w:val="0"/>
      <w:divBdr>
        <w:top w:val="none" w:sz="0" w:space="0" w:color="auto"/>
        <w:left w:val="none" w:sz="0" w:space="0" w:color="auto"/>
        <w:bottom w:val="none" w:sz="0" w:space="0" w:color="auto"/>
        <w:right w:val="none" w:sz="0" w:space="0" w:color="auto"/>
      </w:divBdr>
    </w:div>
    <w:div w:id="1956710050">
      <w:bodyDiv w:val="1"/>
      <w:marLeft w:val="0"/>
      <w:marRight w:val="0"/>
      <w:marTop w:val="0"/>
      <w:marBottom w:val="0"/>
      <w:divBdr>
        <w:top w:val="none" w:sz="0" w:space="0" w:color="auto"/>
        <w:left w:val="none" w:sz="0" w:space="0" w:color="auto"/>
        <w:bottom w:val="none" w:sz="0" w:space="0" w:color="auto"/>
        <w:right w:val="none" w:sz="0" w:space="0" w:color="auto"/>
      </w:divBdr>
    </w:div>
    <w:div w:id="21445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9CB6401CB144087F23FE091D75252" ma:contentTypeVersion="13" ma:contentTypeDescription="Create a new document." ma:contentTypeScope="" ma:versionID="7c6546178b79839aee4d1cd886d02f6f">
  <xsd:schema xmlns:xsd="http://www.w3.org/2001/XMLSchema" xmlns:xs="http://www.w3.org/2001/XMLSchema" xmlns:p="http://schemas.microsoft.com/office/2006/metadata/properties" xmlns:ns3="56bf771d-e02c-4f69-b3e8-2f700e3d8335" xmlns:ns4="61c5d094-83cf-4b10-8544-818356eda34a" targetNamespace="http://schemas.microsoft.com/office/2006/metadata/properties" ma:root="true" ma:fieldsID="59cb66cd3f974b059c63942c08a7ca68" ns3:_="" ns4:_="">
    <xsd:import namespace="56bf771d-e02c-4f69-b3e8-2f700e3d8335"/>
    <xsd:import namespace="61c5d094-83cf-4b10-8544-818356eda3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f771d-e02c-4f69-b3e8-2f700e3d83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5d094-83cf-4b10-8544-818356eda3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E83D0-8BCB-4F10-9CAF-1E268A961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B253B-0699-4805-BD66-FBFA3F27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f771d-e02c-4f69-b3e8-2f700e3d8335"/>
    <ds:schemaRef ds:uri="61c5d094-83cf-4b10-8544-818356eda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997BE-D3BB-4FA2-8F39-A1515E5DF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34</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Katie (RRE) SSSFT</dc:creator>
  <cp:lastModifiedBy>Woodward Katie (RRE) MPFT</cp:lastModifiedBy>
  <cp:revision>83</cp:revision>
  <dcterms:created xsi:type="dcterms:W3CDTF">2020-04-14T09:51:00Z</dcterms:created>
  <dcterms:modified xsi:type="dcterms:W3CDTF">2020-06-03T12:21:00Z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0x010100BDF9CB6401CB144087F23FE091D75252</vt:lpwstr>
  </property>
</Properties>
</file>