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0E3F5" w14:textId="77777777" w:rsidR="00F67BC6" w:rsidRDefault="00F67BC6" w:rsidP="0050637A">
      <w:pPr>
        <w:widowControl w:val="0"/>
        <w:spacing w:line="480" w:lineRule="auto"/>
      </w:pPr>
    </w:p>
    <w:p w14:paraId="34761C73" w14:textId="77777777" w:rsidR="00F67BC6" w:rsidRDefault="00F67BC6" w:rsidP="0050637A">
      <w:pPr>
        <w:widowControl w:val="0"/>
        <w:spacing w:line="480" w:lineRule="auto"/>
      </w:pPr>
    </w:p>
    <w:p w14:paraId="322E3794" w14:textId="77777777" w:rsidR="00F67BC6" w:rsidRDefault="00F67BC6" w:rsidP="0050637A">
      <w:pPr>
        <w:widowControl w:val="0"/>
        <w:spacing w:line="480" w:lineRule="auto"/>
      </w:pPr>
    </w:p>
    <w:p w14:paraId="3216ED67" w14:textId="77777777" w:rsidR="00F67BC6" w:rsidRDefault="00F67BC6" w:rsidP="00765AE8">
      <w:pPr>
        <w:widowControl w:val="0"/>
        <w:spacing w:line="480" w:lineRule="auto"/>
        <w:jc w:val="center"/>
      </w:pPr>
    </w:p>
    <w:p w14:paraId="349E4A95" w14:textId="77777777" w:rsidR="00FD10FB" w:rsidRPr="00371DC5" w:rsidRDefault="00FD10FB" w:rsidP="00765AE8">
      <w:pPr>
        <w:widowControl w:val="0"/>
        <w:spacing w:line="480" w:lineRule="auto"/>
        <w:jc w:val="center"/>
        <w:rPr>
          <w:b/>
        </w:rPr>
      </w:pPr>
      <w:r w:rsidRPr="00371DC5">
        <w:rPr>
          <w:b/>
        </w:rPr>
        <w:t xml:space="preserve">Development and validation of the Negative </w:t>
      </w:r>
      <w:r w:rsidR="0024220B" w:rsidRPr="00371DC5">
        <w:rPr>
          <w:b/>
        </w:rPr>
        <w:t>Attitudes</w:t>
      </w:r>
      <w:r w:rsidRPr="00371DC5">
        <w:rPr>
          <w:b/>
        </w:rPr>
        <w:t xml:space="preserve"> </w:t>
      </w:r>
      <w:r w:rsidR="00312296" w:rsidRPr="00371DC5">
        <w:rPr>
          <w:b/>
        </w:rPr>
        <w:t>towards</w:t>
      </w:r>
      <w:r w:rsidRPr="00371DC5">
        <w:rPr>
          <w:b/>
        </w:rPr>
        <w:t xml:space="preserve"> CBT Scale</w:t>
      </w:r>
    </w:p>
    <w:p w14:paraId="379FF884" w14:textId="77777777" w:rsidR="006B08B6" w:rsidRPr="00371DC5" w:rsidRDefault="006B08B6" w:rsidP="00765AE8">
      <w:pPr>
        <w:widowControl w:val="0"/>
        <w:spacing w:line="480" w:lineRule="auto"/>
        <w:jc w:val="center"/>
        <w:rPr>
          <w:b/>
        </w:rPr>
      </w:pPr>
    </w:p>
    <w:p w14:paraId="0F0DB73F" w14:textId="77777777" w:rsidR="00F67BC6" w:rsidRPr="00371DC5" w:rsidRDefault="00F67BC6" w:rsidP="00765AE8">
      <w:pPr>
        <w:widowControl w:val="0"/>
        <w:spacing w:line="480" w:lineRule="auto"/>
        <w:jc w:val="center"/>
      </w:pPr>
      <w:r w:rsidRPr="00371DC5">
        <w:t>Zachary J. Parker</w:t>
      </w:r>
      <w:r w:rsidR="00856E89" w:rsidRPr="00371DC5">
        <w:rPr>
          <w:vertAlign w:val="superscript"/>
        </w:rPr>
        <w:t>1</w:t>
      </w:r>
      <w:r w:rsidRPr="00371DC5">
        <w:t xml:space="preserve"> and Glenn Waller</w:t>
      </w:r>
      <w:r w:rsidR="00856E89" w:rsidRPr="00371DC5">
        <w:rPr>
          <w:vertAlign w:val="superscript"/>
        </w:rPr>
        <w:t>2</w:t>
      </w:r>
    </w:p>
    <w:p w14:paraId="1C3BB6D1" w14:textId="77777777" w:rsidR="00F67BC6" w:rsidRPr="00371DC5" w:rsidRDefault="00856E89" w:rsidP="00765AE8">
      <w:pPr>
        <w:widowControl w:val="0"/>
        <w:spacing w:line="480" w:lineRule="auto"/>
        <w:jc w:val="center"/>
      </w:pPr>
      <w:r w:rsidRPr="00371DC5">
        <w:t xml:space="preserve">University of Northampton and </w:t>
      </w:r>
      <w:r w:rsidR="00F67BC6" w:rsidRPr="00371DC5">
        <w:t>University of Sheffield</w:t>
      </w:r>
    </w:p>
    <w:p w14:paraId="39E13BFB" w14:textId="77777777" w:rsidR="00F67BC6" w:rsidRPr="00371DC5" w:rsidRDefault="00F67BC6">
      <w:pPr>
        <w:widowControl w:val="0"/>
        <w:spacing w:line="480" w:lineRule="auto"/>
        <w:jc w:val="center"/>
      </w:pPr>
    </w:p>
    <w:p w14:paraId="10C6CDAD" w14:textId="77777777" w:rsidR="00F67BC6" w:rsidRPr="00371DC5" w:rsidRDefault="00F67BC6">
      <w:pPr>
        <w:widowControl w:val="0"/>
        <w:spacing w:line="480" w:lineRule="auto"/>
        <w:jc w:val="center"/>
      </w:pPr>
    </w:p>
    <w:p w14:paraId="35CD0FE2" w14:textId="77777777" w:rsidR="00F67BC6" w:rsidRPr="00371DC5" w:rsidRDefault="00F67BC6">
      <w:pPr>
        <w:widowControl w:val="0"/>
        <w:spacing w:line="480" w:lineRule="auto"/>
        <w:jc w:val="center"/>
      </w:pPr>
    </w:p>
    <w:p w14:paraId="16E7271F" w14:textId="77777777" w:rsidR="00F67BC6" w:rsidRPr="00371DC5" w:rsidRDefault="00F67BC6">
      <w:pPr>
        <w:widowControl w:val="0"/>
        <w:spacing w:line="480" w:lineRule="auto"/>
        <w:jc w:val="center"/>
      </w:pPr>
    </w:p>
    <w:p w14:paraId="3CD497D2" w14:textId="77777777" w:rsidR="00F67BC6" w:rsidRPr="00371DC5" w:rsidRDefault="00F67BC6">
      <w:pPr>
        <w:widowControl w:val="0"/>
        <w:spacing w:line="480" w:lineRule="auto"/>
        <w:jc w:val="center"/>
      </w:pPr>
    </w:p>
    <w:p w14:paraId="42D118AC" w14:textId="77777777" w:rsidR="00F67BC6" w:rsidRPr="00371DC5" w:rsidRDefault="00F67BC6">
      <w:pPr>
        <w:widowControl w:val="0"/>
        <w:spacing w:line="480" w:lineRule="auto"/>
        <w:jc w:val="center"/>
      </w:pPr>
    </w:p>
    <w:p w14:paraId="6AAC5FF7" w14:textId="77777777" w:rsidR="00F67BC6" w:rsidRPr="00371DC5" w:rsidRDefault="00F67BC6">
      <w:pPr>
        <w:widowControl w:val="0"/>
        <w:spacing w:line="480" w:lineRule="auto"/>
        <w:jc w:val="center"/>
      </w:pPr>
      <w:r w:rsidRPr="00371DC5">
        <w:t>Author Note</w:t>
      </w:r>
    </w:p>
    <w:p w14:paraId="71EA6CA1" w14:textId="77777777" w:rsidR="00856E89" w:rsidRPr="00371DC5" w:rsidRDefault="00856E89" w:rsidP="00856E89">
      <w:pPr>
        <w:widowControl w:val="0"/>
        <w:spacing w:line="480" w:lineRule="auto"/>
        <w:jc w:val="center"/>
      </w:pPr>
      <w:r w:rsidRPr="00371DC5">
        <w:rPr>
          <w:vertAlign w:val="superscript"/>
        </w:rPr>
        <w:t>1</w:t>
      </w:r>
      <w:r w:rsidRPr="00371DC5">
        <w:t>Zachary J. Parker, Department of Psychology, University of Northampton</w:t>
      </w:r>
    </w:p>
    <w:p w14:paraId="49565DE4" w14:textId="77777777" w:rsidR="00856E89" w:rsidRPr="00371DC5" w:rsidRDefault="00856E89" w:rsidP="00856E89">
      <w:pPr>
        <w:widowControl w:val="0"/>
        <w:spacing w:line="480" w:lineRule="auto"/>
        <w:jc w:val="center"/>
      </w:pPr>
      <w:r w:rsidRPr="00371DC5">
        <w:rPr>
          <w:vertAlign w:val="superscript"/>
        </w:rPr>
        <w:t>2</w:t>
      </w:r>
      <w:r w:rsidRPr="00371DC5">
        <w:t>Glenn Waller, Department of Psychology, University of Sheffield</w:t>
      </w:r>
    </w:p>
    <w:p w14:paraId="115CC1FB" w14:textId="77777777" w:rsidR="008839AD" w:rsidRPr="00371DC5" w:rsidRDefault="00856E89" w:rsidP="00856E89">
      <w:pPr>
        <w:widowControl w:val="0"/>
        <w:spacing w:line="480" w:lineRule="auto"/>
        <w:jc w:val="center"/>
      </w:pPr>
      <w:r w:rsidRPr="00371DC5">
        <w:t>Correspondence concerning this article should be addressed to Zachary Parker, Department of Psychology, Boughton Green Road, Northampton, NN2 7AL, UK. Contact: zachary.parker@northampton.ac.uk</w:t>
      </w:r>
      <w:r w:rsidR="008839AD" w:rsidRPr="00371DC5">
        <w:br w:type="page"/>
      </w:r>
    </w:p>
    <w:p w14:paraId="2E8A7EF8" w14:textId="77777777" w:rsidR="000D75D0" w:rsidRPr="00371DC5" w:rsidRDefault="000D75D0" w:rsidP="000D75D0">
      <w:pPr>
        <w:widowControl w:val="0"/>
        <w:spacing w:line="480" w:lineRule="auto"/>
        <w:jc w:val="center"/>
        <w:rPr>
          <w:b/>
        </w:rPr>
      </w:pPr>
      <w:r w:rsidRPr="00371DC5">
        <w:rPr>
          <w:b/>
        </w:rPr>
        <w:lastRenderedPageBreak/>
        <w:t>Development and validation of the Negative Attitudes towards CBT Scale</w:t>
      </w:r>
    </w:p>
    <w:p w14:paraId="1235C032" w14:textId="77777777" w:rsidR="000D75D0" w:rsidRPr="00371DC5" w:rsidRDefault="000D75D0" w:rsidP="00765AE8">
      <w:pPr>
        <w:widowControl w:val="0"/>
        <w:spacing w:line="480" w:lineRule="auto"/>
        <w:jc w:val="center"/>
        <w:rPr>
          <w:b/>
        </w:rPr>
      </w:pPr>
    </w:p>
    <w:p w14:paraId="331AF84F" w14:textId="77777777" w:rsidR="00C43ED5" w:rsidRPr="00371DC5" w:rsidRDefault="00C43ED5" w:rsidP="00765AE8">
      <w:pPr>
        <w:widowControl w:val="0"/>
        <w:spacing w:line="480" w:lineRule="auto"/>
        <w:jc w:val="center"/>
        <w:rPr>
          <w:b/>
        </w:rPr>
      </w:pPr>
      <w:r w:rsidRPr="00371DC5">
        <w:rPr>
          <w:b/>
        </w:rPr>
        <w:t>Abstract</w:t>
      </w:r>
    </w:p>
    <w:p w14:paraId="2CB4C6BE" w14:textId="77777777" w:rsidR="000D75D0" w:rsidRPr="00371DC5" w:rsidRDefault="000D75D0" w:rsidP="00765AE8">
      <w:pPr>
        <w:widowControl w:val="0"/>
        <w:spacing w:line="480" w:lineRule="auto"/>
        <w:jc w:val="center"/>
      </w:pPr>
    </w:p>
    <w:p w14:paraId="2E392AE9" w14:textId="77777777" w:rsidR="005D4D4E" w:rsidRPr="00371DC5" w:rsidRDefault="005D4D4E" w:rsidP="00704540">
      <w:pPr>
        <w:widowControl w:val="0"/>
        <w:spacing w:line="480" w:lineRule="auto"/>
      </w:pPr>
      <w:r w:rsidRPr="00371DC5">
        <w:rPr>
          <w:b/>
        </w:rPr>
        <w:t>Background:</w:t>
      </w:r>
      <w:r w:rsidRPr="00371DC5">
        <w:t xml:space="preserve"> </w:t>
      </w:r>
      <w:r w:rsidR="00EA7EAF" w:rsidRPr="00371DC5">
        <w:t>Clinicians commonly fail to use cognitive-</w:t>
      </w:r>
      <w:r w:rsidR="008A34B3" w:rsidRPr="00371DC5">
        <w:t>behavioural</w:t>
      </w:r>
      <w:r w:rsidR="00EA7EAF" w:rsidRPr="00371DC5">
        <w:t xml:space="preserve"> therapy</w:t>
      </w:r>
      <w:r w:rsidR="004766B2" w:rsidRPr="00371DC5">
        <w:t xml:space="preserve"> (CBT)</w:t>
      </w:r>
      <w:r w:rsidR="00EA7EAF" w:rsidRPr="00371DC5">
        <w:t xml:space="preserve"> adequately</w:t>
      </w:r>
      <w:r w:rsidR="004766B2" w:rsidRPr="00371DC5">
        <w:t>, but the reasons for such omissions are not well understood</w:t>
      </w:r>
      <w:r w:rsidR="00EA7EAF" w:rsidRPr="00371DC5">
        <w:t xml:space="preserve">. </w:t>
      </w:r>
    </w:p>
    <w:p w14:paraId="622FF5D9" w14:textId="77777777" w:rsidR="005D4D4E" w:rsidRPr="00371DC5" w:rsidRDefault="005D4D4E" w:rsidP="00704540">
      <w:pPr>
        <w:widowControl w:val="0"/>
        <w:spacing w:line="480" w:lineRule="auto"/>
      </w:pPr>
      <w:r w:rsidRPr="00371DC5">
        <w:rPr>
          <w:b/>
        </w:rPr>
        <w:t>Aims:</w:t>
      </w:r>
      <w:r w:rsidRPr="00371DC5">
        <w:t xml:space="preserve"> </w:t>
      </w:r>
      <w:r w:rsidR="00485A83" w:rsidRPr="00371DC5">
        <w:t>The objective of this study was to create and validate a measure to assess clinicians’ attitudes towards CBT</w:t>
      </w:r>
      <w:r w:rsidR="00330BD8" w:rsidRPr="00371DC5">
        <w:t xml:space="preserve"> - </w:t>
      </w:r>
      <w:r w:rsidR="00485A83" w:rsidRPr="00371DC5">
        <w:t>the Negative Attitudes towards CBT Scale (NACS).</w:t>
      </w:r>
      <w:r w:rsidR="00943861" w:rsidRPr="00371DC5">
        <w:t xml:space="preserve"> </w:t>
      </w:r>
      <w:r w:rsidR="00485A83" w:rsidRPr="00371DC5">
        <w:t xml:space="preserve"> </w:t>
      </w:r>
    </w:p>
    <w:p w14:paraId="64F7716D" w14:textId="77777777" w:rsidR="005D4D4E" w:rsidRPr="00371DC5" w:rsidRDefault="005D4D4E" w:rsidP="00704540">
      <w:pPr>
        <w:widowControl w:val="0"/>
        <w:spacing w:line="480" w:lineRule="auto"/>
      </w:pPr>
      <w:r w:rsidRPr="00371DC5">
        <w:rPr>
          <w:b/>
        </w:rPr>
        <w:t>Method:</w:t>
      </w:r>
      <w:r w:rsidRPr="00371DC5">
        <w:t xml:space="preserve"> </w:t>
      </w:r>
      <w:r w:rsidR="00330BD8" w:rsidRPr="00371DC5">
        <w:t xml:space="preserve">The participants were 204 </w:t>
      </w:r>
      <w:r w:rsidR="00485A83" w:rsidRPr="00371DC5">
        <w:t>clinicians from various mental healthcare fields</w:t>
      </w:r>
      <w:r w:rsidR="00330BD8" w:rsidRPr="00371DC5">
        <w:t>. Each completed the NACS, measures of anxiety and self-esteem, and a measure of therapists’ use of CBT and non-CBT techniques and their confidence in using those techniques</w:t>
      </w:r>
      <w:r w:rsidR="00485A83" w:rsidRPr="00371DC5">
        <w:t>.</w:t>
      </w:r>
      <w:r w:rsidR="00943861" w:rsidRPr="00371DC5">
        <w:t xml:space="preserve"> </w:t>
      </w:r>
      <w:r w:rsidR="00485A83" w:rsidRPr="00371DC5">
        <w:t xml:space="preserve"> </w:t>
      </w:r>
      <w:r w:rsidR="007A5359" w:rsidRPr="00371DC5">
        <w:t>Exploratory factor analysis was used to determine the factor structure of the NACS</w:t>
      </w:r>
      <w:r w:rsidR="00330BD8" w:rsidRPr="00371DC5">
        <w:t>, and scale internal consistency was tested</w:t>
      </w:r>
      <w:r w:rsidR="007A5359" w:rsidRPr="00371DC5">
        <w:t xml:space="preserve">. </w:t>
      </w:r>
    </w:p>
    <w:p w14:paraId="03C75C83" w14:textId="77777777" w:rsidR="005D4D4E" w:rsidRPr="00371DC5" w:rsidRDefault="005D4D4E" w:rsidP="00704540">
      <w:pPr>
        <w:widowControl w:val="0"/>
        <w:spacing w:line="480" w:lineRule="auto"/>
      </w:pPr>
      <w:r w:rsidRPr="00371DC5">
        <w:rPr>
          <w:b/>
        </w:rPr>
        <w:t>Results:</w:t>
      </w:r>
      <w:r w:rsidRPr="00371DC5">
        <w:t xml:space="preserve"> </w:t>
      </w:r>
      <w:r w:rsidR="00330BD8" w:rsidRPr="00371DC5">
        <w:t>A single, 16-item scale emerged from the factor analysis of the NACS, and that scale had good internal consistency. Clinicians’ negative attitudes and their anxiety had different patterns of association with the use of CBT and other therapeutic techniques.</w:t>
      </w:r>
      <w:r w:rsidR="00556EA4" w:rsidRPr="00371DC5">
        <w:t xml:space="preserve"> </w:t>
      </w:r>
    </w:p>
    <w:p w14:paraId="1234AF03" w14:textId="77777777" w:rsidR="00330BD8" w:rsidRPr="00371DC5" w:rsidRDefault="005D4D4E" w:rsidP="00704540">
      <w:pPr>
        <w:widowControl w:val="0"/>
        <w:spacing w:line="480" w:lineRule="auto"/>
      </w:pPr>
      <w:r w:rsidRPr="00371DC5">
        <w:rPr>
          <w:b/>
        </w:rPr>
        <w:t>Conclusions:</w:t>
      </w:r>
      <w:r w:rsidRPr="00371DC5">
        <w:t xml:space="preserve"> </w:t>
      </w:r>
      <w:r w:rsidR="00556EA4" w:rsidRPr="00371DC5">
        <w:t>The findings suggest that clinicians’ attitudes and emotions each need to be considered when understanding why many clinicians fail to deliver the optimum version of evidence-based CBT</w:t>
      </w:r>
      <w:r w:rsidR="004766B2" w:rsidRPr="00371DC5">
        <w:t xml:space="preserve">. They also suggest that </w:t>
      </w:r>
      <w:r w:rsidR="00556EA4" w:rsidRPr="00371DC5">
        <w:t>training effective CBT clinicians might depend on understanding and targeting such internal states.</w:t>
      </w:r>
    </w:p>
    <w:p w14:paraId="0A2ABA05" w14:textId="77777777" w:rsidR="008839AD" w:rsidRPr="00371DC5" w:rsidRDefault="008839AD" w:rsidP="00765AE8">
      <w:pPr>
        <w:widowControl w:val="0"/>
        <w:spacing w:line="480" w:lineRule="auto"/>
      </w:pPr>
    </w:p>
    <w:p w14:paraId="242F0093" w14:textId="77777777" w:rsidR="004766B2" w:rsidRPr="00371DC5" w:rsidRDefault="004766B2" w:rsidP="00765AE8">
      <w:pPr>
        <w:widowControl w:val="0"/>
        <w:spacing w:line="480" w:lineRule="auto"/>
      </w:pPr>
    </w:p>
    <w:p w14:paraId="3A35C811" w14:textId="77777777" w:rsidR="002F4461" w:rsidRPr="00371DC5" w:rsidRDefault="00F67BC6" w:rsidP="00765AE8">
      <w:pPr>
        <w:widowControl w:val="0"/>
        <w:spacing w:line="480" w:lineRule="auto"/>
      </w:pPr>
      <w:r w:rsidRPr="00371DC5">
        <w:rPr>
          <w:i/>
        </w:rPr>
        <w:t>Keywords:</w:t>
      </w:r>
      <w:r w:rsidRPr="00371DC5">
        <w:t xml:space="preserve"> </w:t>
      </w:r>
      <w:r w:rsidR="004766B2" w:rsidRPr="00371DC5">
        <w:t xml:space="preserve">cognitive </w:t>
      </w:r>
      <w:r w:rsidR="008A34B3" w:rsidRPr="00371DC5">
        <w:t>behavioural</w:t>
      </w:r>
      <w:r w:rsidR="004766B2" w:rsidRPr="00371DC5">
        <w:t xml:space="preserve"> therapy; clinician </w:t>
      </w:r>
      <w:r w:rsidR="00A54BE4" w:rsidRPr="00371DC5">
        <w:t>attitudes</w:t>
      </w:r>
      <w:r w:rsidR="004766B2" w:rsidRPr="00371DC5">
        <w:t xml:space="preserve">; clinician anxiety; </w:t>
      </w:r>
      <w:r w:rsidR="00A54BE4" w:rsidRPr="00371DC5">
        <w:t>treatment adherence</w:t>
      </w:r>
    </w:p>
    <w:p w14:paraId="3C4904A6" w14:textId="77777777" w:rsidR="008839AD" w:rsidRPr="00371DC5" w:rsidRDefault="008839AD" w:rsidP="00765AE8">
      <w:pPr>
        <w:widowControl w:val="0"/>
        <w:rPr>
          <w:b/>
        </w:rPr>
      </w:pPr>
      <w:r w:rsidRPr="00371DC5">
        <w:rPr>
          <w:b/>
        </w:rPr>
        <w:br w:type="page"/>
      </w:r>
    </w:p>
    <w:p w14:paraId="5844314A" w14:textId="77777777" w:rsidR="002F4461" w:rsidRPr="00371DC5" w:rsidRDefault="002F4461" w:rsidP="00765AE8">
      <w:pPr>
        <w:widowControl w:val="0"/>
        <w:rPr>
          <w:b/>
        </w:rPr>
      </w:pPr>
    </w:p>
    <w:p w14:paraId="4B23CDAE" w14:textId="77777777" w:rsidR="00F67BC6" w:rsidRPr="00371DC5" w:rsidRDefault="005C009A" w:rsidP="00765AE8">
      <w:pPr>
        <w:widowControl w:val="0"/>
        <w:spacing w:line="480" w:lineRule="auto"/>
        <w:rPr>
          <w:b/>
        </w:rPr>
      </w:pPr>
      <w:r w:rsidRPr="00371DC5">
        <w:tab/>
      </w:r>
      <w:r w:rsidRPr="00371DC5">
        <w:rPr>
          <w:b/>
        </w:rPr>
        <w:t xml:space="preserve">Development and validation of the Negative Attitudes </w:t>
      </w:r>
      <w:r w:rsidR="005506A4" w:rsidRPr="00371DC5">
        <w:rPr>
          <w:b/>
        </w:rPr>
        <w:t>t</w:t>
      </w:r>
      <w:r w:rsidRPr="00371DC5">
        <w:rPr>
          <w:b/>
        </w:rPr>
        <w:t>owards CBT Scale</w:t>
      </w:r>
    </w:p>
    <w:p w14:paraId="37967855" w14:textId="688C1162" w:rsidR="005C009A" w:rsidRPr="00371DC5" w:rsidRDefault="005C009A" w:rsidP="00765AE8">
      <w:pPr>
        <w:widowControl w:val="0"/>
        <w:spacing w:line="480" w:lineRule="auto"/>
        <w:ind w:firstLine="720"/>
      </w:pPr>
      <w:r w:rsidRPr="00371DC5">
        <w:t xml:space="preserve">There is substantial evidence that, despite its effectiveness, cognitive </w:t>
      </w:r>
      <w:r w:rsidR="008A34B3" w:rsidRPr="00371DC5">
        <w:t>behavioural</w:t>
      </w:r>
      <w:r w:rsidRPr="00371DC5">
        <w:t xml:space="preserve"> therapy (CBT) is used less often tha</w:t>
      </w:r>
      <w:r w:rsidR="006B08B6" w:rsidRPr="00371DC5">
        <w:t>n</w:t>
      </w:r>
      <w:r w:rsidRPr="00371DC5">
        <w:t xml:space="preserve"> would be expected (e.g., Tobin, Banker, Weisberg, &amp; Bowers, 2007).  Even when they plan to use CBT, clinicians either avoid or underutilize key techniques (Becker, Zayfert, &amp; Anderson, 2004; Finley et al.</w:t>
      </w:r>
      <w:r w:rsidR="00AB0E7A" w:rsidRPr="00371DC5">
        <w:t>,</w:t>
      </w:r>
      <w:r w:rsidRPr="00371DC5">
        <w:t xml:space="preserve"> 2015; Stobie, Tay</w:t>
      </w:r>
      <w:r w:rsidR="00AB0E7A" w:rsidRPr="00371DC5">
        <w:t>l</w:t>
      </w:r>
      <w:r w:rsidRPr="00371DC5">
        <w:t xml:space="preserve">or, Quigley, Ewing, &amp; Salkovskis, 2007).  Several emotional and </w:t>
      </w:r>
      <w:r w:rsidR="008A34B3" w:rsidRPr="00371DC5">
        <w:t>behavioural</w:t>
      </w:r>
      <w:r w:rsidRPr="00371DC5">
        <w:t xml:space="preserve"> factors have been shown to account for this deviation from</w:t>
      </w:r>
      <w:r w:rsidR="00704540" w:rsidRPr="00371DC5">
        <w:t xml:space="preserve"> empirically-supported treatments (EST)</w:t>
      </w:r>
      <w:r w:rsidRPr="00371DC5">
        <w:t xml:space="preserve">, including clinician </w:t>
      </w:r>
      <w:r w:rsidR="00B83B8D" w:rsidRPr="00371DC5">
        <w:t xml:space="preserve">lack of knowledge, clinician </w:t>
      </w:r>
      <w:r w:rsidRPr="00371DC5">
        <w:t>anxiety</w:t>
      </w:r>
      <w:r w:rsidR="00AB0E7A" w:rsidRPr="00371DC5">
        <w:t>,</w:t>
      </w:r>
      <w:r w:rsidRPr="00371DC5">
        <w:t xml:space="preserve"> and poor use of manuals (</w:t>
      </w:r>
      <w:r w:rsidR="007F28A2" w:rsidRPr="00371DC5">
        <w:t xml:space="preserve">e.g., </w:t>
      </w:r>
      <w:r w:rsidR="001019CF" w:rsidRPr="00371DC5">
        <w:t xml:space="preserve">Becker et al., 2004; </w:t>
      </w:r>
      <w:r w:rsidR="003E06A8" w:rsidRPr="00371DC5">
        <w:t>Deacon et al., 2013</w:t>
      </w:r>
      <w:r w:rsidRPr="00371DC5">
        <w:t xml:space="preserve">).  However, it will also be important to understand how clinicians’ attitudes to CBT interact with those emotional and </w:t>
      </w:r>
      <w:r w:rsidR="008A34B3" w:rsidRPr="00371DC5">
        <w:t>behavioural</w:t>
      </w:r>
      <w:r w:rsidRPr="00371DC5">
        <w:t xml:space="preserve"> factors.  </w:t>
      </w:r>
    </w:p>
    <w:p w14:paraId="229332D7" w14:textId="77777777" w:rsidR="005C009A" w:rsidRPr="00371DC5" w:rsidRDefault="005C009A" w:rsidP="00765AE8">
      <w:pPr>
        <w:widowControl w:val="0"/>
        <w:spacing w:line="480" w:lineRule="auto"/>
        <w:ind w:firstLine="720"/>
      </w:pPr>
      <w:r w:rsidRPr="00371DC5">
        <w:t>There is clear evidence that many clinicians hold negative attitudes towards specific elements of</w:t>
      </w:r>
      <w:r w:rsidR="00071223" w:rsidRPr="00371DC5">
        <w:t xml:space="preserve"> </w:t>
      </w:r>
      <w:r w:rsidR="00704540" w:rsidRPr="00371DC5">
        <w:t>EST</w:t>
      </w:r>
      <w:r w:rsidRPr="00371DC5">
        <w:t xml:space="preserve">, and that </w:t>
      </w:r>
      <w:r w:rsidR="001C2351" w:rsidRPr="00371DC5">
        <w:t>such</w:t>
      </w:r>
      <w:r w:rsidRPr="00371DC5">
        <w:t xml:space="preserve"> attitudes are associated with poorer use of those elements.  For example, negative attitudes to exposure therapy (Olatunji, Deacon, &amp; Abramowitz, 2009) and negative attitudes towards therapy manuals in general (Addis, Wade, &amp; Hatgis, 1999) are each associated with a lower likelihood of using the necessary tools.  There are well-validated measures of these attitudes to specific elements of </w:t>
      </w:r>
      <w:r w:rsidR="00704540" w:rsidRPr="00371DC5">
        <w:t>EST</w:t>
      </w:r>
      <w:r w:rsidR="005404C5" w:rsidRPr="00371DC5">
        <w:t xml:space="preserve">, such as </w:t>
      </w:r>
      <w:r w:rsidRPr="00371DC5">
        <w:t>the Therapist Beliefs about Exposure Scale (TBES; Deacon et al., 2013)</w:t>
      </w:r>
      <w:r w:rsidR="005404C5" w:rsidRPr="00371DC5">
        <w:t xml:space="preserve"> and </w:t>
      </w:r>
      <w:r w:rsidRPr="00371DC5">
        <w:t>Addis &amp; Krasnow</w:t>
      </w:r>
      <w:r w:rsidR="005404C5" w:rsidRPr="00371DC5">
        <w:t>’s</w:t>
      </w:r>
      <w:r w:rsidRPr="00371DC5">
        <w:t xml:space="preserve"> (2000) measure of clinicians’ negative and positive attitudes to manuals.  These measures </w:t>
      </w:r>
      <w:r w:rsidR="001C2351" w:rsidRPr="00371DC5">
        <w:t>confirm</w:t>
      </w:r>
      <w:r w:rsidRPr="00371DC5">
        <w:t xml:space="preserve"> that negative attitudes are associated with clinicians’ failure to use elements of </w:t>
      </w:r>
      <w:r w:rsidR="00704540" w:rsidRPr="00371DC5">
        <w:t>EST</w:t>
      </w:r>
      <w:r w:rsidR="00943861" w:rsidRPr="00371DC5">
        <w:t xml:space="preserve"> that are common</w:t>
      </w:r>
      <w:r w:rsidR="005D4D4E" w:rsidRPr="00371DC5">
        <w:t>ly employed</w:t>
      </w:r>
      <w:r w:rsidR="00943861" w:rsidRPr="00371DC5">
        <w:t xml:space="preserve"> </w:t>
      </w:r>
      <w:r w:rsidR="005D4D4E" w:rsidRPr="00371DC5">
        <w:t>in</w:t>
      </w:r>
      <w:r w:rsidR="00943861" w:rsidRPr="00371DC5">
        <w:t xml:space="preserve"> CBT</w:t>
      </w:r>
      <w:r w:rsidR="00AB0E7A" w:rsidRPr="00371DC5">
        <w:t xml:space="preserve"> (Addis &amp; Krasnow, 2000; Deacon et al., 2013)</w:t>
      </w:r>
      <w:r w:rsidRPr="00371DC5">
        <w:t xml:space="preserve">.  However, </w:t>
      </w:r>
      <w:r w:rsidR="00B83B8D" w:rsidRPr="00371DC5">
        <w:t xml:space="preserve">such </w:t>
      </w:r>
      <w:r w:rsidRPr="00371DC5">
        <w:t>measures are limite</w:t>
      </w:r>
      <w:r w:rsidR="00C72686" w:rsidRPr="00371DC5">
        <w:t xml:space="preserve">d by their focus on specific </w:t>
      </w:r>
      <w:r w:rsidR="00943861" w:rsidRPr="00371DC5">
        <w:t xml:space="preserve">CBT </w:t>
      </w:r>
      <w:r w:rsidRPr="00371DC5">
        <w:t xml:space="preserve">tools.  </w:t>
      </w:r>
    </w:p>
    <w:p w14:paraId="04123368" w14:textId="77777777" w:rsidR="005C009A" w:rsidRPr="00371DC5" w:rsidRDefault="005C009A" w:rsidP="00765AE8">
      <w:pPr>
        <w:widowControl w:val="0"/>
        <w:spacing w:line="480" w:lineRule="auto"/>
        <w:ind w:firstLine="720"/>
      </w:pPr>
      <w:r w:rsidRPr="00371DC5">
        <w:t xml:space="preserve">Given </w:t>
      </w:r>
      <w:r w:rsidR="006F0A3A" w:rsidRPr="00371DC5">
        <w:t xml:space="preserve">humans’ </w:t>
      </w:r>
      <w:r w:rsidRPr="00371DC5">
        <w:t>internal drive for consistency of attitudes</w:t>
      </w:r>
      <w:r w:rsidR="007F28A2" w:rsidRPr="00371DC5">
        <w:t xml:space="preserve"> (Festinger, 1957)</w:t>
      </w:r>
      <w:r w:rsidRPr="00371DC5">
        <w:t xml:space="preserve">, it is possible that such </w:t>
      </w:r>
      <w:r w:rsidR="001C2351" w:rsidRPr="00371DC5">
        <w:t>beliefs</w:t>
      </w:r>
      <w:r w:rsidRPr="00371DC5">
        <w:t xml:space="preserve"> </w:t>
      </w:r>
      <w:r w:rsidR="00AB0E7A" w:rsidRPr="00371DC5">
        <w:t xml:space="preserve">about specific techniques </w:t>
      </w:r>
      <w:r w:rsidRPr="00371DC5">
        <w:t>reflect a more general pattern of attitudes to</w:t>
      </w:r>
      <w:r w:rsidR="00FC02F7" w:rsidRPr="00371DC5">
        <w:t>wards</w:t>
      </w:r>
      <w:r w:rsidRPr="00371DC5">
        <w:t xml:space="preserve"> </w:t>
      </w:r>
      <w:r w:rsidR="00383E80" w:rsidRPr="00371DC5">
        <w:t>CBT</w:t>
      </w:r>
      <w:r w:rsidRPr="00371DC5">
        <w:t xml:space="preserve">, and that it </w:t>
      </w:r>
      <w:r w:rsidR="00AB0E7A" w:rsidRPr="00371DC5">
        <w:t>might</w:t>
      </w:r>
      <w:r w:rsidRPr="00371DC5">
        <w:t xml:space="preserve"> </w:t>
      </w:r>
      <w:r w:rsidR="006F0A3A" w:rsidRPr="00371DC5">
        <w:t xml:space="preserve">be </w:t>
      </w:r>
      <w:r w:rsidRPr="00371DC5">
        <w:t xml:space="preserve">important and potentially simpler to measure negative attitudes to </w:t>
      </w:r>
      <w:r w:rsidR="00943861" w:rsidRPr="00371DC5">
        <w:t xml:space="preserve">CBT </w:t>
      </w:r>
      <w:r w:rsidRPr="00371DC5">
        <w:t>as a whole</w:t>
      </w:r>
      <w:r w:rsidR="00AB0E7A" w:rsidRPr="00371DC5">
        <w:t>, rather</w:t>
      </w:r>
      <w:r w:rsidR="00383E80" w:rsidRPr="00371DC5">
        <w:t xml:space="preserve"> than individual elements or techniques</w:t>
      </w:r>
      <w:r w:rsidRPr="00371DC5">
        <w:t xml:space="preserve">.  </w:t>
      </w:r>
      <w:r w:rsidR="00B83B8D" w:rsidRPr="00371DC5">
        <w:t xml:space="preserve">Given the </w:t>
      </w:r>
      <w:r w:rsidR="00B83B8D" w:rsidRPr="00371DC5">
        <w:lastRenderedPageBreak/>
        <w:t>underutilization of CBT outlined above, a</w:t>
      </w:r>
      <w:r w:rsidR="005D4D4E" w:rsidRPr="00371DC5">
        <w:t xml:space="preserve"> more general</w:t>
      </w:r>
      <w:r w:rsidRPr="00371DC5">
        <w:t xml:space="preserve"> measure of attitudes towards CBT has the potential to improve the quality of services offered by clinicians.  It could allow the training of clinicians to be tailored to address </w:t>
      </w:r>
      <w:r w:rsidR="00B83B8D" w:rsidRPr="00371DC5">
        <w:t xml:space="preserve">any inappropriately </w:t>
      </w:r>
      <w:r w:rsidRPr="00371DC5">
        <w:t>negative beliefs</w:t>
      </w:r>
      <w:r w:rsidR="00B83B8D" w:rsidRPr="00371DC5">
        <w:t xml:space="preserve"> about CBT</w:t>
      </w:r>
      <w:r w:rsidRPr="00371DC5">
        <w:t xml:space="preserve">.  Similarly, it could guide supervision, providing the supervisor with an awareness of where a supervisee needs support.  </w:t>
      </w:r>
    </w:p>
    <w:p w14:paraId="494AD354" w14:textId="500D0AFA" w:rsidR="00B83F40" w:rsidRPr="00371DC5" w:rsidRDefault="00AB0E7A" w:rsidP="00765AE8">
      <w:pPr>
        <w:widowControl w:val="0"/>
        <w:spacing w:line="480" w:lineRule="auto"/>
        <w:ind w:firstLine="720"/>
      </w:pPr>
      <w:r w:rsidRPr="00371DC5">
        <w:t>Any such measure of attitudes to CBT</w:t>
      </w:r>
      <w:r w:rsidR="005424EA" w:rsidRPr="00371DC5">
        <w:t xml:space="preserve"> needs to be understood in the context of other factors that influence such clinical practice</w:t>
      </w:r>
      <w:r w:rsidR="00517E77" w:rsidRPr="00371DC5">
        <w:t xml:space="preserve">.  </w:t>
      </w:r>
      <w:r w:rsidR="00B83F40" w:rsidRPr="00371DC5">
        <w:t xml:space="preserve">Previous research has </w:t>
      </w:r>
      <w:r w:rsidR="005424EA" w:rsidRPr="00371DC5">
        <w:t xml:space="preserve">indicated the role of clinician </w:t>
      </w:r>
      <w:r w:rsidR="00B83F40" w:rsidRPr="00371DC5">
        <w:t>anxiety</w:t>
      </w:r>
      <w:r w:rsidR="008B5884" w:rsidRPr="00371DC5">
        <w:t xml:space="preserve"> and low self-esteem</w:t>
      </w:r>
      <w:r w:rsidR="005424EA" w:rsidRPr="00371DC5">
        <w:t xml:space="preserve"> as factor</w:t>
      </w:r>
      <w:r w:rsidR="008B5884" w:rsidRPr="00371DC5">
        <w:t>s</w:t>
      </w:r>
      <w:r w:rsidR="005424EA" w:rsidRPr="00371DC5">
        <w:t xml:space="preserve"> that </w:t>
      </w:r>
      <w:r w:rsidR="008B5884" w:rsidRPr="00371DC5">
        <w:t>are</w:t>
      </w:r>
      <w:r w:rsidR="005424EA" w:rsidRPr="00371DC5">
        <w:t xml:space="preserve"> associated with the under-delivery of techniques such as exposure</w:t>
      </w:r>
      <w:r w:rsidR="00B83F40" w:rsidRPr="00371DC5">
        <w:t xml:space="preserve"> (Feeney, Hembree, &amp; Zoellner, 2003; Koch, Gloster, &amp; Waller, 2007; Levita, Salas Duhne, Girling, &amp; Waller, 2016</w:t>
      </w:r>
      <w:r w:rsidR="008B5884" w:rsidRPr="00371DC5">
        <w:t>; Simpson-Southward, Hardy, &amp; Waller, under consideration</w:t>
      </w:r>
      <w:r w:rsidR="00B83F40" w:rsidRPr="00371DC5">
        <w:t xml:space="preserve">).  It is important to determine </w:t>
      </w:r>
      <w:r w:rsidR="008B5884" w:rsidRPr="00371DC5">
        <w:t xml:space="preserve">the levels to which attitudes and emotional factors might each explain the </w:t>
      </w:r>
      <w:r w:rsidR="00B83F40" w:rsidRPr="00371DC5">
        <w:t xml:space="preserve">underutilization of </w:t>
      </w:r>
      <w:r w:rsidR="008B5884" w:rsidRPr="00371DC5">
        <w:t xml:space="preserve">CBT </w:t>
      </w:r>
      <w:r w:rsidR="00B83F40" w:rsidRPr="00371DC5">
        <w:t xml:space="preserve">techniques. </w:t>
      </w:r>
      <w:r w:rsidR="007D0CC6" w:rsidRPr="00371DC5">
        <w:t xml:space="preserve">Obviously, CBT itself has developed as the result of a process of critical analysis of what does and what does not work in therapies. That process of critical analysis is an important one for the continued development of therapies, including CBT. Therefore, any measure of such attitudes should be seen as helping to </w:t>
      </w:r>
      <w:r w:rsidR="00853FCB" w:rsidRPr="00371DC5">
        <w:t>advance the use of CBT</w:t>
      </w:r>
      <w:r w:rsidR="007D0CC6" w:rsidRPr="00371DC5">
        <w:t xml:space="preserve"> through understanding why individual clinicians do or do not use it appropriately, rather than </w:t>
      </w:r>
      <w:r w:rsidR="007522BF" w:rsidRPr="00371DC5">
        <w:t xml:space="preserve">accepting CBT protocols </w:t>
      </w:r>
      <w:r w:rsidR="007D0CC6" w:rsidRPr="00371DC5">
        <w:t>as being prescriptive list</w:t>
      </w:r>
      <w:r w:rsidR="007522BF" w:rsidRPr="00371DC5">
        <w:t>s</w:t>
      </w:r>
      <w:r w:rsidR="007D0CC6" w:rsidRPr="00371DC5">
        <w:t xml:space="preserve"> of what should be done</w:t>
      </w:r>
      <w:r w:rsidR="007522BF" w:rsidRPr="00371DC5">
        <w:t>. That approach allows for the possibility that clinician attitudes should be considered as indicating ways in which the evidence might be developed, in order to determine whether recommended practice should be amended in the future.</w:t>
      </w:r>
      <w:r w:rsidR="007D0CC6" w:rsidRPr="00371DC5">
        <w:t xml:space="preserve"> </w:t>
      </w:r>
    </w:p>
    <w:p w14:paraId="569A2058" w14:textId="77777777" w:rsidR="008C4DBD" w:rsidRPr="00371DC5" w:rsidRDefault="005C009A" w:rsidP="00765AE8">
      <w:pPr>
        <w:widowControl w:val="0"/>
        <w:spacing w:line="480" w:lineRule="auto"/>
      </w:pPr>
      <w:r w:rsidRPr="00371DC5">
        <w:tab/>
        <w:t>This study reports the development and validation of a measure to assess negative attitudes towards CBT</w:t>
      </w:r>
      <w:r w:rsidR="001C2351" w:rsidRPr="00371DC5">
        <w:t xml:space="preserve"> – the Negative Attitudes to CBT Scale (NACS)</w:t>
      </w:r>
      <w:r w:rsidRPr="00371DC5">
        <w:t xml:space="preserve">.  Its utility was tested among clinicians treating anxiety disorders.  Psychometric properties (factor structure; internal consistency) were tested.  </w:t>
      </w:r>
      <w:r w:rsidR="00EE1465" w:rsidRPr="00371DC5">
        <w:t>A</w:t>
      </w:r>
      <w:r w:rsidR="0031110C" w:rsidRPr="00371DC5">
        <w:t xml:space="preserve"> two</w:t>
      </w:r>
      <w:r w:rsidR="00077F50" w:rsidRPr="00371DC5">
        <w:t>-</w:t>
      </w:r>
      <w:r w:rsidR="0031110C" w:rsidRPr="00371DC5">
        <w:t xml:space="preserve">factor structure was </w:t>
      </w:r>
      <w:r w:rsidR="00077F50" w:rsidRPr="00371DC5">
        <w:t xml:space="preserve">hypothesised - </w:t>
      </w:r>
      <w:r w:rsidR="00EE1465" w:rsidRPr="00371DC5">
        <w:t>impact on the patient experience, and impact on the therapist experience</w:t>
      </w:r>
      <w:r w:rsidR="0031110C" w:rsidRPr="00371DC5">
        <w:t xml:space="preserve">.  </w:t>
      </w:r>
      <w:r w:rsidRPr="00371DC5">
        <w:t xml:space="preserve">The clinical validity of the </w:t>
      </w:r>
      <w:r w:rsidRPr="00371DC5">
        <w:lastRenderedPageBreak/>
        <w:t xml:space="preserve">measure was tested </w:t>
      </w:r>
      <w:r w:rsidR="00077F50" w:rsidRPr="00371DC5">
        <w:t xml:space="preserve">against </w:t>
      </w:r>
      <w:r w:rsidR="008C4DBD" w:rsidRPr="00371DC5">
        <w:t>several self-reported variables</w:t>
      </w:r>
      <w:r w:rsidR="00077F50" w:rsidRPr="00371DC5">
        <w:t xml:space="preserve"> - f</w:t>
      </w:r>
      <w:r w:rsidR="008C4DBD" w:rsidRPr="00371DC5">
        <w:t>irst, relative</w:t>
      </w:r>
      <w:r w:rsidRPr="00371DC5">
        <w:t xml:space="preserve"> to clinicians’ characteristics (e.g., age, gender, </w:t>
      </w:r>
      <w:r w:rsidR="008C4DBD" w:rsidRPr="00371DC5">
        <w:t>anxiety, self-esteem)</w:t>
      </w:r>
      <w:r w:rsidR="00077F50" w:rsidRPr="00371DC5">
        <w:t xml:space="preserve">; second, </w:t>
      </w:r>
      <w:r w:rsidR="008C4DBD" w:rsidRPr="00371DC5">
        <w:t>relative to clinicians</w:t>
      </w:r>
      <w:r w:rsidR="001C2351" w:rsidRPr="00371DC5">
        <w:t>’</w:t>
      </w:r>
      <w:r w:rsidR="008C4DBD" w:rsidRPr="00371DC5">
        <w:t xml:space="preserve"> reported </w:t>
      </w:r>
      <w:r w:rsidRPr="00371DC5">
        <w:t>use o</w:t>
      </w:r>
      <w:r w:rsidR="008C4DBD" w:rsidRPr="00371DC5">
        <w:t xml:space="preserve">f specific treatment techniques (e.g., </w:t>
      </w:r>
      <w:r w:rsidR="008A34B3" w:rsidRPr="00371DC5">
        <w:t>behavioural</w:t>
      </w:r>
      <w:r w:rsidR="008C4DBD" w:rsidRPr="00371DC5">
        <w:t xml:space="preserve"> techniques). </w:t>
      </w:r>
      <w:r w:rsidR="009975F5" w:rsidRPr="00371DC5">
        <w:t xml:space="preserve"> Given previous literature (e.g., Levita</w:t>
      </w:r>
      <w:r w:rsidR="00077F50" w:rsidRPr="00371DC5">
        <w:t xml:space="preserve"> et al.</w:t>
      </w:r>
      <w:r w:rsidR="009975F5" w:rsidRPr="00371DC5">
        <w:t>, 2016)</w:t>
      </w:r>
      <w:r w:rsidR="00077F50" w:rsidRPr="00371DC5">
        <w:t>,</w:t>
      </w:r>
      <w:r w:rsidR="009975F5" w:rsidRPr="00371DC5">
        <w:t xml:space="preserve"> it was hypothesized that clinicians </w:t>
      </w:r>
      <w:r w:rsidR="00077F50" w:rsidRPr="00371DC5">
        <w:t xml:space="preserve">reporting </w:t>
      </w:r>
      <w:r w:rsidR="009975F5" w:rsidRPr="00371DC5">
        <w:t xml:space="preserve">higher anxiety </w:t>
      </w:r>
      <w:r w:rsidR="00077F50" w:rsidRPr="00371DC5">
        <w:t xml:space="preserve">and lower self-esteem </w:t>
      </w:r>
      <w:r w:rsidR="009975F5" w:rsidRPr="00371DC5">
        <w:t>w</w:t>
      </w:r>
      <w:r w:rsidR="00077F50" w:rsidRPr="00371DC5">
        <w:t>ould be</w:t>
      </w:r>
      <w:r w:rsidR="009975F5" w:rsidRPr="00371DC5">
        <w:t xml:space="preserve"> less likely to use behavioural techniques.  However, </w:t>
      </w:r>
      <w:r w:rsidR="00DF2A6A" w:rsidRPr="00371DC5">
        <w:t xml:space="preserve">it is unclear if </w:t>
      </w:r>
      <w:r w:rsidR="00077F50" w:rsidRPr="00371DC5">
        <w:t xml:space="preserve">mood </w:t>
      </w:r>
      <w:r w:rsidR="00DF2A6A" w:rsidRPr="00371DC5">
        <w:t xml:space="preserve">would </w:t>
      </w:r>
      <w:r w:rsidR="00077F50" w:rsidRPr="00371DC5">
        <w:t>a</w:t>
      </w:r>
      <w:r w:rsidR="009975F5" w:rsidRPr="00371DC5">
        <w:t>ffect the use of other methods</w:t>
      </w:r>
      <w:r w:rsidR="00856E89" w:rsidRPr="00371DC5">
        <w:t xml:space="preserve">.  </w:t>
      </w:r>
      <w:r w:rsidR="00077F50" w:rsidRPr="00371DC5">
        <w:t>I</w:t>
      </w:r>
      <w:r w:rsidR="008C4DBD" w:rsidRPr="00371DC5">
        <w:t xml:space="preserve">t was hypothesized that </w:t>
      </w:r>
      <w:r w:rsidR="001C2351" w:rsidRPr="00371DC5">
        <w:t xml:space="preserve">clinicians’ higher </w:t>
      </w:r>
      <w:r w:rsidR="008C4DBD" w:rsidRPr="00371DC5">
        <w:t xml:space="preserve">levels of anxiety </w:t>
      </w:r>
      <w:r w:rsidR="001C2351" w:rsidRPr="00371DC5">
        <w:t xml:space="preserve">and poorer self-esteem </w:t>
      </w:r>
      <w:r w:rsidR="008C4DBD" w:rsidRPr="00371DC5">
        <w:t>would be associated with negative attitudes</w:t>
      </w:r>
      <w:r w:rsidR="00077F50" w:rsidRPr="00371DC5">
        <w:t xml:space="preserve">. However, </w:t>
      </w:r>
      <w:r w:rsidR="009E71C7" w:rsidRPr="00371DC5">
        <w:t>i</w:t>
      </w:r>
      <w:r w:rsidR="00077F50" w:rsidRPr="00371DC5">
        <w:t>t was also hypothesized that the effects of attitudes towards CBT on the implementation of behavioural techniques would be above and beyond those of anxiety</w:t>
      </w:r>
      <w:r w:rsidR="008C4DBD" w:rsidRPr="00371DC5">
        <w:t xml:space="preserve">. </w:t>
      </w:r>
    </w:p>
    <w:p w14:paraId="71D7C035" w14:textId="77777777" w:rsidR="005C009A" w:rsidRPr="00371DC5" w:rsidRDefault="005C009A" w:rsidP="00765AE8">
      <w:pPr>
        <w:widowControl w:val="0"/>
        <w:spacing w:line="480" w:lineRule="auto"/>
        <w:jc w:val="center"/>
        <w:rPr>
          <w:b/>
        </w:rPr>
      </w:pPr>
      <w:r w:rsidRPr="00371DC5">
        <w:rPr>
          <w:b/>
        </w:rPr>
        <w:t>Methods</w:t>
      </w:r>
    </w:p>
    <w:p w14:paraId="7CF5B533" w14:textId="77777777" w:rsidR="005C009A" w:rsidRPr="00371DC5" w:rsidRDefault="005C009A" w:rsidP="00765AE8">
      <w:pPr>
        <w:widowControl w:val="0"/>
        <w:spacing w:line="480" w:lineRule="auto"/>
        <w:rPr>
          <w:b/>
        </w:rPr>
      </w:pPr>
      <w:r w:rsidRPr="00371DC5">
        <w:rPr>
          <w:b/>
        </w:rPr>
        <w:t>Ethics</w:t>
      </w:r>
    </w:p>
    <w:p w14:paraId="793560C8" w14:textId="77777777" w:rsidR="005C009A" w:rsidRPr="00371DC5" w:rsidRDefault="005C009A" w:rsidP="00765AE8">
      <w:pPr>
        <w:widowControl w:val="0"/>
        <w:spacing w:line="480" w:lineRule="auto"/>
      </w:pPr>
      <w:r w:rsidRPr="00371DC5">
        <w:tab/>
        <w:t>This study received ethical approval from the University of Sheffield, Department of Psychology Research Ethics Committee.</w:t>
      </w:r>
    </w:p>
    <w:p w14:paraId="0FCED138" w14:textId="77777777" w:rsidR="005C009A" w:rsidRPr="00371DC5" w:rsidRDefault="005C009A" w:rsidP="00765AE8">
      <w:pPr>
        <w:widowControl w:val="0"/>
        <w:spacing w:line="480" w:lineRule="auto"/>
        <w:rPr>
          <w:b/>
        </w:rPr>
      </w:pPr>
      <w:r w:rsidRPr="00371DC5">
        <w:rPr>
          <w:b/>
        </w:rPr>
        <w:t>Design</w:t>
      </w:r>
    </w:p>
    <w:p w14:paraId="0C3D0EDD" w14:textId="77777777" w:rsidR="005C009A" w:rsidRPr="00371DC5" w:rsidRDefault="005C009A" w:rsidP="00765AE8">
      <w:pPr>
        <w:widowControl w:val="0"/>
        <w:spacing w:line="480" w:lineRule="auto"/>
      </w:pPr>
      <w:r w:rsidRPr="00371DC5">
        <w:rPr>
          <w:b/>
        </w:rPr>
        <w:tab/>
      </w:r>
      <w:r w:rsidRPr="00371DC5">
        <w:t xml:space="preserve">This was a cross-sectional study of mental healthcare providers working with anxious clients.  The study was conducted using a survey and self-report inventories.  Data were analysed using correlational and comparative methods.  </w:t>
      </w:r>
    </w:p>
    <w:p w14:paraId="1D6FECA2" w14:textId="77777777" w:rsidR="005C009A" w:rsidRPr="00371DC5" w:rsidRDefault="005C009A" w:rsidP="00765AE8">
      <w:pPr>
        <w:widowControl w:val="0"/>
        <w:spacing w:line="480" w:lineRule="auto"/>
        <w:rPr>
          <w:b/>
        </w:rPr>
      </w:pPr>
      <w:r w:rsidRPr="00371DC5">
        <w:rPr>
          <w:b/>
        </w:rPr>
        <w:t>Participants</w:t>
      </w:r>
    </w:p>
    <w:p w14:paraId="69D5CD1A" w14:textId="77777777" w:rsidR="009F3140" w:rsidRPr="00371DC5" w:rsidRDefault="005C009A" w:rsidP="00765AE8">
      <w:pPr>
        <w:widowControl w:val="0"/>
        <w:spacing w:line="480" w:lineRule="auto"/>
      </w:pPr>
      <w:r w:rsidRPr="00371DC5">
        <w:tab/>
        <w:t xml:space="preserve">The sample </w:t>
      </w:r>
      <w:r w:rsidR="009641BC" w:rsidRPr="00371DC5">
        <w:t xml:space="preserve">consisted of </w:t>
      </w:r>
      <w:r w:rsidRPr="00371DC5">
        <w:t>204 clinicians who reported that they were working with patients with anxiety disorders.  A total of 1965 clinicians were approached</w:t>
      </w:r>
      <w:r w:rsidR="001C2351" w:rsidRPr="00371DC5">
        <w:t xml:space="preserve"> directly</w:t>
      </w:r>
      <w:r w:rsidRPr="00371DC5">
        <w:t xml:space="preserve"> to participate in this study, via two online databases and four workshops.  Five hundred</w:t>
      </w:r>
      <w:r w:rsidR="007522BF" w:rsidRPr="00371DC5">
        <w:t xml:space="preserve"> and</w:t>
      </w:r>
      <w:r w:rsidRPr="00371DC5">
        <w:t xml:space="preserve"> thirty-seven clinicians from the British Association for Behavioural and Cognitive Psychotherapies and 1286 clinicians from the British Psychological Society were approached by email to take part in </w:t>
      </w:r>
      <w:r w:rsidR="00FC02F7" w:rsidRPr="00371DC5">
        <w:t>the</w:t>
      </w:r>
      <w:r w:rsidRPr="00371DC5">
        <w:t xml:space="preserve"> online version.  Of these, 280 clinicians started the study.  Following removal of those who failed to complete the measure, 123 were included for </w:t>
      </w:r>
      <w:r w:rsidRPr="00371DC5">
        <w:lastRenderedPageBreak/>
        <w:t>analysis</w:t>
      </w:r>
      <w:r w:rsidR="00870744" w:rsidRPr="00371DC5">
        <w:t xml:space="preserve">. </w:t>
      </w:r>
      <w:r w:rsidRPr="00371DC5">
        <w:t xml:space="preserve"> </w:t>
      </w:r>
    </w:p>
    <w:p w14:paraId="4A2A5EDF" w14:textId="77777777" w:rsidR="005C009A" w:rsidRPr="00371DC5" w:rsidRDefault="009F3140" w:rsidP="00765AE8">
      <w:pPr>
        <w:widowControl w:val="0"/>
        <w:spacing w:line="480" w:lineRule="auto"/>
      </w:pPr>
      <w:r w:rsidRPr="00371DC5">
        <w:tab/>
      </w:r>
      <w:r w:rsidR="005C009A" w:rsidRPr="00371DC5">
        <w:t xml:space="preserve">A further 142 clinicians were approached via teaching workshops across the UK.  Of those clinicians, 82 started a paper version of the measure, and 77 were eligible for analysis.  Four additional responses were collected via snowball sampling methods.  All four completed the survey online and were included in analysis.  </w:t>
      </w:r>
      <w:r w:rsidR="0031110C" w:rsidRPr="00371DC5">
        <w:t>Thus,</w:t>
      </w:r>
      <w:r w:rsidR="005C009A" w:rsidRPr="00371DC5">
        <w:t xml:space="preserve"> a total of 3</w:t>
      </w:r>
      <w:r w:rsidR="007E5361" w:rsidRPr="00371DC5">
        <w:t>66</w:t>
      </w:r>
      <w:r w:rsidR="005C009A" w:rsidRPr="00371DC5">
        <w:t xml:space="preserve"> responses </w:t>
      </w:r>
      <w:r w:rsidRPr="00371DC5">
        <w:t xml:space="preserve">(from both online and workshops) </w:t>
      </w:r>
      <w:r w:rsidR="005C009A" w:rsidRPr="00371DC5">
        <w:t xml:space="preserve">were collected.  Of these, 204 were useable.  </w:t>
      </w:r>
    </w:p>
    <w:p w14:paraId="56867796" w14:textId="1F6B0279" w:rsidR="005C009A" w:rsidRPr="00371DC5" w:rsidRDefault="005C009A" w:rsidP="00765AE8">
      <w:pPr>
        <w:widowControl w:val="0"/>
        <w:spacing w:line="480" w:lineRule="auto"/>
        <w:ind w:firstLine="720"/>
      </w:pPr>
      <w:r w:rsidRPr="00371DC5">
        <w:t xml:space="preserve">The mean age of the </w:t>
      </w:r>
      <w:r w:rsidR="00D77F70" w:rsidRPr="00371DC5">
        <w:t xml:space="preserve">204 participants </w:t>
      </w:r>
      <w:r w:rsidRPr="00371DC5">
        <w:t>was 45.92 years (</w:t>
      </w:r>
      <w:r w:rsidRPr="00371DC5">
        <w:rPr>
          <w:i/>
        </w:rPr>
        <w:t xml:space="preserve">SD </w:t>
      </w:r>
      <w:r w:rsidRPr="00371DC5">
        <w:t>= 10.9)</w:t>
      </w:r>
      <w:r w:rsidR="00D77F70" w:rsidRPr="00371DC5">
        <w:t>, and 68.1% were female</w:t>
      </w:r>
      <w:r w:rsidRPr="00371DC5">
        <w:t>.  Sixty-four (31.4%) reported being clinical psychologists, 28 (13.7%) were counselling psychologists, two (1%) were psychiatrists, 30 (14.7%) were psychiatric nurses, four (2%) were clinical social workers, nine (4.4%) were licensed counsellors, 63 (30.9%) belonged to some other me</w:t>
      </w:r>
      <w:r w:rsidR="00872A57" w:rsidRPr="00371DC5">
        <w:t>ntal healthcare profession</w:t>
      </w:r>
      <w:r w:rsidRPr="00371DC5">
        <w:t>, and four (2%) did not report a core profession.  Regarding primary theoretical orientation, 161 clinicians (78.9%) reported using CBT, six (2.9%) reported using psychodynamic/psychoanalytic approaches, two (1%) reported using a humanistic approach, five (2.5%) reported using an existential approach, and 30 (14.7%) reported using other approaches.  The group’s mean time qualified was 11.94 years (</w:t>
      </w:r>
      <w:r w:rsidRPr="00371DC5">
        <w:rPr>
          <w:i/>
        </w:rPr>
        <w:t>SD</w:t>
      </w:r>
      <w:r w:rsidRPr="00371DC5">
        <w:t xml:space="preserve"> = 10.19).  Clinicians </w:t>
      </w:r>
      <w:r w:rsidR="00311A60" w:rsidRPr="00371DC5">
        <w:t>worked</w:t>
      </w:r>
      <w:r w:rsidRPr="00371DC5">
        <w:t xml:space="preserve"> on average 30.53 hours (</w:t>
      </w:r>
      <w:r w:rsidRPr="00371DC5">
        <w:rPr>
          <w:i/>
        </w:rPr>
        <w:t>SD</w:t>
      </w:r>
      <w:r w:rsidRPr="00371DC5">
        <w:t xml:space="preserve"> = 12.44) </w:t>
      </w:r>
      <w:r w:rsidR="00D939BC" w:rsidRPr="00371DC5">
        <w:t>a week</w:t>
      </w:r>
      <w:r w:rsidRPr="00371DC5">
        <w:t xml:space="preserve">.  Regarding clinical </w:t>
      </w:r>
      <w:r w:rsidR="00FC02F7" w:rsidRPr="00371DC5">
        <w:t>time spent with clients</w:t>
      </w:r>
      <w:r w:rsidRPr="00371DC5">
        <w:t>, clinicians reported an average of 12.47 hours (</w:t>
      </w:r>
      <w:r w:rsidRPr="00371DC5">
        <w:rPr>
          <w:i/>
        </w:rPr>
        <w:t xml:space="preserve">SD </w:t>
      </w:r>
      <w:r w:rsidRPr="00371DC5">
        <w:t>= 6.78) per week.  Clinici</w:t>
      </w:r>
      <w:r w:rsidR="00FC02F7" w:rsidRPr="00371DC5">
        <w:t>ans reported a</w:t>
      </w:r>
      <w:r w:rsidR="009641BC" w:rsidRPr="00371DC5">
        <w:t xml:space="preserve"> mean</w:t>
      </w:r>
      <w:r w:rsidR="00FC02F7" w:rsidRPr="00371DC5">
        <w:t xml:space="preserve"> of 13</w:t>
      </w:r>
      <w:r w:rsidRPr="00371DC5">
        <w:t xml:space="preserve"> sessions (</w:t>
      </w:r>
      <w:r w:rsidRPr="00371DC5">
        <w:rPr>
          <w:i/>
        </w:rPr>
        <w:t xml:space="preserve">SD </w:t>
      </w:r>
      <w:r w:rsidRPr="00371DC5">
        <w:t>= 10.91</w:t>
      </w:r>
      <w:r w:rsidR="009641BC" w:rsidRPr="00371DC5">
        <w:t>; range = 1-100</w:t>
      </w:r>
      <w:r w:rsidRPr="00371DC5">
        <w:t>) with</w:t>
      </w:r>
      <w:r w:rsidR="009641BC" w:rsidRPr="00371DC5">
        <w:t xml:space="preserve"> each</w:t>
      </w:r>
      <w:r w:rsidRPr="00371DC5">
        <w:t xml:space="preserve"> anxious client before treatment was complete</w:t>
      </w:r>
      <w:r w:rsidR="00684BB1" w:rsidRPr="00371DC5">
        <w:t>.</w:t>
      </w:r>
      <w:r w:rsidRPr="00371DC5">
        <w:t xml:space="preserve">  Regarding supervision, clinicians reported receiving 2.61 hours (</w:t>
      </w:r>
      <w:r w:rsidRPr="00371DC5">
        <w:rPr>
          <w:i/>
        </w:rPr>
        <w:t>SD</w:t>
      </w:r>
      <w:r w:rsidRPr="00371DC5">
        <w:t xml:space="preserve"> = 1.92) of supervision per month, and reported supervising others </w:t>
      </w:r>
      <w:r w:rsidR="00F234E4" w:rsidRPr="00371DC5">
        <w:t>for an</w:t>
      </w:r>
      <w:r w:rsidRPr="00371DC5">
        <w:t xml:space="preserve"> average </w:t>
      </w:r>
      <w:r w:rsidR="00870744" w:rsidRPr="00371DC5">
        <w:t xml:space="preserve">of </w:t>
      </w:r>
      <w:r w:rsidRPr="00371DC5">
        <w:t>5.03 hours (</w:t>
      </w:r>
      <w:r w:rsidRPr="00371DC5">
        <w:rPr>
          <w:i/>
        </w:rPr>
        <w:t>SD</w:t>
      </w:r>
      <w:r w:rsidRPr="00371DC5">
        <w:t xml:space="preserve"> = 9.80) per month.  Regarding session length, the most common response (</w:t>
      </w:r>
      <w:r w:rsidRPr="00371DC5">
        <w:rPr>
          <w:i/>
        </w:rPr>
        <w:t>n</w:t>
      </w:r>
      <w:r w:rsidRPr="00371DC5">
        <w:t xml:space="preserve"> = 195) was that sessions were between 45 and 90 minutes long.  Nine clinicians reported session lengths under 45 minutes, and none reported sessions of over 90 minutes.  </w:t>
      </w:r>
    </w:p>
    <w:p w14:paraId="7FA6A8E1" w14:textId="77777777" w:rsidR="005C009A" w:rsidRPr="00371DC5" w:rsidRDefault="005C009A" w:rsidP="00765AE8">
      <w:pPr>
        <w:widowControl w:val="0"/>
        <w:spacing w:line="480" w:lineRule="auto"/>
      </w:pPr>
      <w:r w:rsidRPr="00371DC5">
        <w:rPr>
          <w:b/>
        </w:rPr>
        <w:t>Measures and Procedure</w:t>
      </w:r>
    </w:p>
    <w:p w14:paraId="37A9B574" w14:textId="77777777" w:rsidR="005C009A" w:rsidRPr="00371DC5" w:rsidRDefault="005C009A" w:rsidP="00765AE8">
      <w:pPr>
        <w:widowControl w:val="0"/>
        <w:spacing w:line="480" w:lineRule="auto"/>
      </w:pPr>
      <w:r w:rsidRPr="00371DC5">
        <w:lastRenderedPageBreak/>
        <w:tab/>
        <w:t xml:space="preserve">Each participant completed self-report measures of demographic details, attitudes to CBT, therapy methods used, </w:t>
      </w:r>
      <w:r w:rsidR="00684BB1" w:rsidRPr="00371DC5">
        <w:t>anxiety,</w:t>
      </w:r>
      <w:r w:rsidRPr="00371DC5">
        <w:t xml:space="preserve"> and self-esteem.  Responses were included for analysis if participants completed the Negative Attitudes towards CBT Scale (NACS). </w:t>
      </w:r>
      <w:r w:rsidR="009F3140" w:rsidRPr="00371DC5">
        <w:t xml:space="preserve"> Considering the unusable responses, most were excluded because the participant did not complete any part of the survey </w:t>
      </w:r>
      <w:r w:rsidR="00EE1465" w:rsidRPr="00371DC5">
        <w:t>after</w:t>
      </w:r>
      <w:r w:rsidR="009F3140" w:rsidRPr="00371DC5">
        <w:t xml:space="preserve"> of the demographics section.  A few participants skipped the therapy methods questionnaire (TMQ; see below) but still completed the NACS. </w:t>
      </w:r>
      <w:r w:rsidRPr="00371DC5">
        <w:t xml:space="preserve"> Any answers given as a range were averaged (e.g., ‘2-3’ was treated as ‘2.5’).  If a written response was unreadable, the item was treated as a missing value.</w:t>
      </w:r>
      <w:r w:rsidR="008B75E4" w:rsidRPr="00371DC5">
        <w:t xml:space="preserve">  No substitution for missing data points was carried out.</w:t>
      </w:r>
    </w:p>
    <w:p w14:paraId="04A2E468" w14:textId="77777777" w:rsidR="005C009A" w:rsidRPr="00371DC5" w:rsidRDefault="005C009A" w:rsidP="00765AE8">
      <w:pPr>
        <w:widowControl w:val="0"/>
        <w:spacing w:line="480" w:lineRule="auto"/>
        <w:rPr>
          <w:b/>
        </w:rPr>
      </w:pPr>
      <w:r w:rsidRPr="00371DC5">
        <w:rPr>
          <w:b/>
        </w:rPr>
        <w:tab/>
        <w:t xml:space="preserve">Demographics.  </w:t>
      </w:r>
      <w:r w:rsidRPr="00371DC5">
        <w:t xml:space="preserve">All participants were asked to report demographic information.  This included details of age, gender, ethnicity, core profession, theoretical orientation, professional accreditation, hours worked per week, </w:t>
      </w:r>
      <w:r w:rsidR="00FC02F7" w:rsidRPr="00371DC5">
        <w:t>hours spent with clients per week</w:t>
      </w:r>
      <w:r w:rsidRPr="00371DC5">
        <w:t xml:space="preserve">, hours spent in supervision (given or receiving), and average session length (i.e., ‘under 45 minutes’, </w:t>
      </w:r>
      <w:r w:rsidR="006F0A3A" w:rsidRPr="00371DC5">
        <w:t>‘</w:t>
      </w:r>
      <w:r w:rsidRPr="00371DC5">
        <w:t xml:space="preserve">45-90 minutes’, or </w:t>
      </w:r>
      <w:r w:rsidR="006F0A3A" w:rsidRPr="00371DC5">
        <w:t>‘</w:t>
      </w:r>
      <w:r w:rsidRPr="00371DC5">
        <w:t>90 minutes or longer’).</w:t>
      </w:r>
    </w:p>
    <w:p w14:paraId="78212545" w14:textId="674A93C7" w:rsidR="00BE7343" w:rsidRPr="00371DC5" w:rsidRDefault="005C009A">
      <w:pPr>
        <w:widowControl w:val="0"/>
        <w:spacing w:line="480" w:lineRule="auto"/>
      </w:pPr>
      <w:r w:rsidRPr="00371DC5">
        <w:rPr>
          <w:b/>
        </w:rPr>
        <w:tab/>
        <w:t xml:space="preserve">Negative Attitudes towards CBT Scale (NACS).  </w:t>
      </w:r>
      <w:r w:rsidRPr="00371DC5">
        <w:t>The NACS was developed for this study.  The participants completed 20 items that reflect attitu</w:t>
      </w:r>
      <w:r w:rsidR="00CA28EE" w:rsidRPr="00371DC5">
        <w:t>des to CBT (see items in T</w:t>
      </w:r>
      <w:r w:rsidR="00E33D83" w:rsidRPr="00371DC5">
        <w:t>able 1</w:t>
      </w:r>
      <w:r w:rsidRPr="00371DC5">
        <w:t>).  Those items were identified from the literature and from clinician and patient online discussion forums</w:t>
      </w:r>
      <w:r w:rsidR="0031110C" w:rsidRPr="00371DC5">
        <w:t xml:space="preserve"> (e.g., patient.info, socialanxietysupport.com, anxietyuk.org.uk, etc.).  Items were generated based on the theme of </w:t>
      </w:r>
      <w:r w:rsidR="00F234E4" w:rsidRPr="00371DC5">
        <w:t xml:space="preserve">concerns and </w:t>
      </w:r>
      <w:r w:rsidR="0031110C" w:rsidRPr="00371DC5">
        <w:t xml:space="preserve">complaints, to avoid </w:t>
      </w:r>
      <w:r w:rsidR="009E71C7" w:rsidRPr="00371DC5">
        <w:t>excessive</w:t>
      </w:r>
      <w:r w:rsidR="0031110C" w:rsidRPr="00371DC5">
        <w:t xml:space="preserve"> overlap</w:t>
      </w:r>
      <w:r w:rsidR="00856E89" w:rsidRPr="00371DC5">
        <w:t xml:space="preserve"> between the items</w:t>
      </w:r>
      <w:r w:rsidR="0031110C" w:rsidRPr="00371DC5">
        <w:t xml:space="preserve">.  </w:t>
      </w:r>
      <w:r w:rsidR="00856E89" w:rsidRPr="00371DC5">
        <w:t>For this reason, some of the items</w:t>
      </w:r>
      <w:r w:rsidR="0031110C" w:rsidRPr="00371DC5">
        <w:t xml:space="preserve"> generated</w:t>
      </w:r>
      <w:r w:rsidR="00856E89" w:rsidRPr="00371DC5">
        <w:t xml:space="preserve"> originated from complaints that did</w:t>
      </w:r>
      <w:r w:rsidR="0031110C" w:rsidRPr="00371DC5">
        <w:t xml:space="preserve"> not coincide with other complaints or other general beliefs about CBT (e.g., 'CBT does not </w:t>
      </w:r>
      <w:r w:rsidR="0031110C" w:rsidRPr="00371DC5">
        <w:rPr>
          <w:rFonts w:eastAsia="Calibri"/>
        </w:rPr>
        <w:t>focus on specific disorders').</w:t>
      </w:r>
      <w:r w:rsidRPr="00371DC5">
        <w:t xml:space="preserve">  Each item is rated on a 1-7 scale, with higher scores reflecting more negative attitudes to CBT</w:t>
      </w:r>
      <w:r w:rsidR="00AF4E55" w:rsidRPr="00371DC5">
        <w:t xml:space="preserve"> (1 = strongly disagree; 4 = neither agree or disagree; 7 = strongly agree)</w:t>
      </w:r>
      <w:r w:rsidRPr="00371DC5">
        <w:t xml:space="preserve">.  The NACS’s </w:t>
      </w:r>
      <w:r w:rsidR="006F0A3A" w:rsidRPr="00371DC5">
        <w:t xml:space="preserve">preliminary </w:t>
      </w:r>
      <w:r w:rsidRPr="00371DC5">
        <w:t>psychometric properties are addressed in this paper.</w:t>
      </w:r>
    </w:p>
    <w:p w14:paraId="2A9FD0D0" w14:textId="77777777" w:rsidR="00CA28EE" w:rsidRPr="00371DC5" w:rsidRDefault="00CA28EE" w:rsidP="00CA28EE">
      <w:pPr>
        <w:widowControl w:val="0"/>
        <w:spacing w:line="480" w:lineRule="auto"/>
        <w:jc w:val="center"/>
      </w:pPr>
      <w:r w:rsidRPr="00371DC5">
        <w:lastRenderedPageBreak/>
        <w:t>________________________________</w:t>
      </w:r>
    </w:p>
    <w:p w14:paraId="501A8212" w14:textId="77777777" w:rsidR="00CA28EE" w:rsidRPr="00371DC5" w:rsidRDefault="00CA28EE" w:rsidP="00CA28EE">
      <w:pPr>
        <w:widowControl w:val="0"/>
        <w:spacing w:line="480" w:lineRule="auto"/>
        <w:jc w:val="center"/>
      </w:pPr>
      <w:r w:rsidRPr="00371DC5">
        <w:t xml:space="preserve">Insert Table </w:t>
      </w:r>
      <w:r w:rsidR="00E33D83" w:rsidRPr="00371DC5">
        <w:t>1</w:t>
      </w:r>
      <w:r w:rsidRPr="00371DC5">
        <w:t xml:space="preserve"> about here</w:t>
      </w:r>
    </w:p>
    <w:p w14:paraId="23FCC375" w14:textId="77777777" w:rsidR="00CA28EE" w:rsidRPr="00371DC5" w:rsidRDefault="00CA28EE" w:rsidP="00CA28EE">
      <w:pPr>
        <w:widowControl w:val="0"/>
        <w:spacing w:line="480" w:lineRule="auto"/>
        <w:jc w:val="center"/>
      </w:pPr>
      <w:r w:rsidRPr="00371DC5">
        <w:t>________________________________</w:t>
      </w:r>
    </w:p>
    <w:p w14:paraId="32E32DF4" w14:textId="77777777" w:rsidR="00CA28EE" w:rsidRPr="00371DC5" w:rsidRDefault="00CA28EE" w:rsidP="00765AE8">
      <w:pPr>
        <w:widowControl w:val="0"/>
        <w:spacing w:line="480" w:lineRule="auto"/>
      </w:pPr>
    </w:p>
    <w:p w14:paraId="5066CA4C" w14:textId="3E13EE14" w:rsidR="00CE4BE7" w:rsidRPr="00371DC5" w:rsidRDefault="005C009A" w:rsidP="00765AE8">
      <w:pPr>
        <w:widowControl w:val="0"/>
        <w:spacing w:line="480" w:lineRule="auto"/>
        <w:ind w:firstLine="720"/>
      </w:pPr>
      <w:r w:rsidRPr="00371DC5">
        <w:rPr>
          <w:b/>
        </w:rPr>
        <w:t>Therapy Methods Questionnaire</w:t>
      </w:r>
      <w:r w:rsidR="00A3577D" w:rsidRPr="00371DC5">
        <w:rPr>
          <w:b/>
        </w:rPr>
        <w:t xml:space="preserve"> (TMQ)</w:t>
      </w:r>
      <w:r w:rsidRPr="00371DC5">
        <w:rPr>
          <w:b/>
        </w:rPr>
        <w:t xml:space="preserve">.  </w:t>
      </w:r>
      <w:r w:rsidR="00F234E4" w:rsidRPr="00371DC5">
        <w:t xml:space="preserve">This scale was designed for a series of studies on clinicians’ behaviours in the treatment of anxiety disorders.  </w:t>
      </w:r>
      <w:r w:rsidRPr="00371DC5">
        <w:t>Th</w:t>
      </w:r>
      <w:r w:rsidR="00A3577D" w:rsidRPr="00371DC5">
        <w:t xml:space="preserve">e TMQ addressed </w:t>
      </w:r>
      <w:r w:rsidRPr="00371DC5">
        <w:t>26 therapy techniques, which clinicians rated (on a 0-100% scale) for how often they used them in clinical work with anxiety disorders (0% = never used, 50% = used in half of such sessions, 100% = used in every session)</w:t>
      </w:r>
      <w:r w:rsidR="00870744" w:rsidRPr="00371DC5">
        <w:t xml:space="preserve">. </w:t>
      </w:r>
      <w:r w:rsidRPr="00371DC5">
        <w:t xml:space="preserve"> They were then asked to report (on a 0-100% scale) </w:t>
      </w:r>
      <w:r w:rsidR="00870744" w:rsidRPr="00371DC5">
        <w:t>o</w:t>
      </w:r>
      <w:r w:rsidR="009E71C7" w:rsidRPr="00371DC5">
        <w:t>n</w:t>
      </w:r>
      <w:r w:rsidR="00870744" w:rsidRPr="00371DC5">
        <w:t xml:space="preserve"> </w:t>
      </w:r>
      <w:r w:rsidRPr="00371DC5">
        <w:t xml:space="preserve">how confident they were in using that skill with </w:t>
      </w:r>
      <w:r w:rsidR="00E33D83" w:rsidRPr="00371DC5">
        <w:t xml:space="preserve">this group of patients.  </w:t>
      </w:r>
      <w:r w:rsidR="00AA3822" w:rsidRPr="00371DC5">
        <w:t xml:space="preserve">The </w:t>
      </w:r>
      <w:r w:rsidR="00A3577D" w:rsidRPr="00371DC5">
        <w:t xml:space="preserve">26 </w:t>
      </w:r>
      <w:r w:rsidR="00AA3822" w:rsidRPr="00371DC5">
        <w:t xml:space="preserve">items were selected from the current literature and from treatment manuals (Abramowitz, Taylor, McKay, 2012; Clark 2007; Clark &amp; Beck, 2010; </w:t>
      </w:r>
      <w:r w:rsidR="00AA3822" w:rsidRPr="00371DC5">
        <w:rPr>
          <w:rFonts w:eastAsia="Times"/>
          <w:szCs w:val="28"/>
        </w:rPr>
        <w:t>Craske &amp; Barlow, 2008; Franklin &amp; Foa, 2008; Kearney 2005; Martin, 2013; Resick, Monson, &amp; Rizvi, 2008; Turk, Heimberg, &amp; Magee 2008; Whittal &amp; Robichaud, 2012</w:t>
      </w:r>
      <w:r w:rsidR="00AA3822" w:rsidRPr="00371DC5">
        <w:t xml:space="preserve">).  </w:t>
      </w:r>
      <w:r w:rsidR="00E33D83" w:rsidRPr="00371DC5">
        <w:t>Table 2</w:t>
      </w:r>
      <w:r w:rsidRPr="00371DC5">
        <w:t xml:space="preserve"> shows how the techniques were grouped </w:t>
      </w:r>
      <w:r w:rsidR="00311A60" w:rsidRPr="00371DC5">
        <w:t xml:space="preserve">into scales </w:t>
      </w:r>
      <w:r w:rsidRPr="00371DC5">
        <w:t>(e.g.</w:t>
      </w:r>
      <w:r w:rsidR="00870744" w:rsidRPr="00371DC5">
        <w:t>,</w:t>
      </w:r>
      <w:r w:rsidR="00966AE3" w:rsidRPr="00371DC5">
        <w:t xml:space="preserve"> </w:t>
      </w:r>
      <w:r w:rsidR="008A34B3" w:rsidRPr="00371DC5">
        <w:t>behavioural</w:t>
      </w:r>
      <w:r w:rsidRPr="00371DC5">
        <w:t xml:space="preserve"> techniques, cognitive techniques, etc.)</w:t>
      </w:r>
      <w:r w:rsidR="009E71C7" w:rsidRPr="00371DC5">
        <w:t xml:space="preserve">, </w:t>
      </w:r>
      <w:r w:rsidRPr="00371DC5">
        <w:t>and the means and standard deviation</w:t>
      </w:r>
      <w:r w:rsidR="009E71C7" w:rsidRPr="00371DC5">
        <w:t>s</w:t>
      </w:r>
      <w:r w:rsidRPr="00371DC5">
        <w:t xml:space="preserve"> for the frequency of use and confidence using those techniques</w:t>
      </w:r>
      <w:r w:rsidR="00870744" w:rsidRPr="00371DC5">
        <w:t>.</w:t>
      </w:r>
      <w:r w:rsidRPr="00371DC5">
        <w:t xml:space="preserve">  Each scale had an internal consistency that was in the acceptable range (Cronbach’s </w:t>
      </w:r>
      <w:r w:rsidRPr="00371DC5">
        <w:rPr>
          <w:i/>
        </w:rPr>
        <w:t>alpha</w:t>
      </w:r>
      <w:r w:rsidRPr="00371DC5">
        <w:t xml:space="preserve"> = .71 - .87) with the exception of the ‘confidence in using psychoeducation and general CBT techniques’ scale (</w:t>
      </w:r>
      <w:r w:rsidRPr="00371DC5">
        <w:rPr>
          <w:i/>
        </w:rPr>
        <w:t>alpha</w:t>
      </w:r>
      <w:r w:rsidRPr="00371DC5">
        <w:t xml:space="preserve"> = .59), suggesting that any results related to this scale should be interpreted with caution. </w:t>
      </w:r>
    </w:p>
    <w:p w14:paraId="126BAB97" w14:textId="77777777" w:rsidR="00BE7343" w:rsidRPr="00371DC5" w:rsidRDefault="009E71C7">
      <w:pPr>
        <w:widowControl w:val="0"/>
        <w:spacing w:line="480" w:lineRule="auto"/>
        <w:ind w:firstLine="720"/>
        <w:rPr>
          <w:u w:val="single"/>
        </w:rPr>
      </w:pPr>
      <w:r w:rsidRPr="00371DC5">
        <w:t xml:space="preserve">This measure was included to assess how often techniques were used and the confidence clinicians had using those techniques, and to test the predictive validity of the NACS.  </w:t>
      </w:r>
      <w:r w:rsidR="00CE4BE7" w:rsidRPr="00371DC5">
        <w:t xml:space="preserve">The scope of this paper was not to validate this measure, </w:t>
      </w:r>
      <w:r w:rsidRPr="00371DC5">
        <w:t>and the</w:t>
      </w:r>
      <w:r w:rsidR="00CE4BE7" w:rsidRPr="00371DC5">
        <w:t xml:space="preserve"> study had too few participants to run a valid factor analysis on a measure with this many items.  </w:t>
      </w:r>
      <w:r w:rsidR="003D1465" w:rsidRPr="00371DC5">
        <w:t xml:space="preserve">Nor would it be appropriate to </w:t>
      </w:r>
      <w:r w:rsidR="00CE4BE7" w:rsidRPr="00371DC5">
        <w:t>validate t</w:t>
      </w:r>
      <w:r w:rsidR="003D1465" w:rsidRPr="00371DC5">
        <w:t>w</w:t>
      </w:r>
      <w:r w:rsidR="00CE4BE7" w:rsidRPr="00371DC5">
        <w:t>o measures at once</w:t>
      </w:r>
      <w:r w:rsidR="003D1465" w:rsidRPr="00371DC5">
        <w:t xml:space="preserve">, as the validity of each would be dependent on </w:t>
      </w:r>
      <w:r w:rsidR="003D1465" w:rsidRPr="00371DC5">
        <w:lastRenderedPageBreak/>
        <w:t>the other</w:t>
      </w:r>
      <w:r w:rsidR="00CE4BE7" w:rsidRPr="00371DC5">
        <w:t>.</w:t>
      </w:r>
      <w:r w:rsidR="00BE7343" w:rsidRPr="00371DC5">
        <w:t xml:space="preserve"> </w:t>
      </w:r>
      <w:r w:rsidR="003D1465" w:rsidRPr="00371DC5">
        <w:t xml:space="preserve"> </w:t>
      </w:r>
      <w:r w:rsidR="00856E89" w:rsidRPr="00371DC5">
        <w:t>T</w:t>
      </w:r>
      <w:r w:rsidR="00CE4BE7" w:rsidRPr="00371DC5">
        <w:t>his measure was not used to measure competency with individual techniques.  In addition to this, the TMQ is retrospective in nature</w:t>
      </w:r>
      <w:r w:rsidR="003D1465" w:rsidRPr="00371DC5">
        <w:t>. T</w:t>
      </w:r>
      <w:r w:rsidR="00CE4BE7" w:rsidRPr="00371DC5">
        <w:t>herefore</w:t>
      </w:r>
      <w:r w:rsidR="003D1465" w:rsidRPr="00371DC5">
        <w:t xml:space="preserve">, the clinicians’ ratings might </w:t>
      </w:r>
      <w:r w:rsidR="00CE4BE7" w:rsidRPr="00371DC5">
        <w:t>not reflect what actually occurs in therapy.</w:t>
      </w:r>
    </w:p>
    <w:p w14:paraId="47A27B80" w14:textId="77777777" w:rsidR="005C009A" w:rsidRPr="00371DC5" w:rsidRDefault="005C009A" w:rsidP="00765AE8">
      <w:pPr>
        <w:widowControl w:val="0"/>
        <w:spacing w:line="480" w:lineRule="auto"/>
        <w:jc w:val="center"/>
      </w:pPr>
      <w:r w:rsidRPr="00371DC5">
        <w:t>________________________________</w:t>
      </w:r>
    </w:p>
    <w:p w14:paraId="3F68A774" w14:textId="77777777" w:rsidR="005C009A" w:rsidRPr="00371DC5" w:rsidRDefault="00E33D83" w:rsidP="00765AE8">
      <w:pPr>
        <w:widowControl w:val="0"/>
        <w:spacing w:line="480" w:lineRule="auto"/>
        <w:jc w:val="center"/>
      </w:pPr>
      <w:r w:rsidRPr="00371DC5">
        <w:t>Insert Table 2</w:t>
      </w:r>
      <w:r w:rsidR="005C009A" w:rsidRPr="00371DC5">
        <w:t xml:space="preserve"> about here</w:t>
      </w:r>
    </w:p>
    <w:p w14:paraId="2CECF1B2" w14:textId="77777777" w:rsidR="005C009A" w:rsidRPr="00371DC5" w:rsidRDefault="005C009A" w:rsidP="00765AE8">
      <w:pPr>
        <w:widowControl w:val="0"/>
        <w:spacing w:line="480" w:lineRule="auto"/>
        <w:jc w:val="center"/>
      </w:pPr>
      <w:r w:rsidRPr="00371DC5">
        <w:t>________________________________</w:t>
      </w:r>
    </w:p>
    <w:p w14:paraId="19010A5D" w14:textId="77777777" w:rsidR="006F0A3A" w:rsidRPr="00371DC5" w:rsidRDefault="006F0A3A" w:rsidP="00765AE8">
      <w:pPr>
        <w:widowControl w:val="0"/>
        <w:spacing w:line="480" w:lineRule="auto"/>
        <w:jc w:val="center"/>
      </w:pPr>
    </w:p>
    <w:p w14:paraId="57F75D50" w14:textId="77777777" w:rsidR="005C009A" w:rsidRPr="00371DC5" w:rsidRDefault="005C009A" w:rsidP="00765AE8">
      <w:pPr>
        <w:widowControl w:val="0"/>
        <w:spacing w:line="480" w:lineRule="auto"/>
      </w:pPr>
      <w:r w:rsidRPr="00371DC5">
        <w:rPr>
          <w:b/>
        </w:rPr>
        <w:tab/>
        <w:t xml:space="preserve">Intolerance of Uncertainty Scale – Short form (IUS-12).  </w:t>
      </w:r>
      <w:r w:rsidRPr="00371DC5">
        <w:t>The IUS-12 (Carleton, Norton, &amp; Asmundson, 2007) is a 12-item self-report measure of intolerance of uncertainty – a core cognitive component of anxiety.  It uses five-point Likert scales</w:t>
      </w:r>
      <w:r w:rsidR="00870744" w:rsidRPr="00371DC5">
        <w:t xml:space="preserve">. </w:t>
      </w:r>
      <w:r w:rsidRPr="00371DC5">
        <w:t xml:space="preserve"> It has strong psychometric properties (Carleton et al.  2007; </w:t>
      </w:r>
      <w:r w:rsidRPr="00371DC5">
        <w:rPr>
          <w:color w:val="000000"/>
          <w:lang w:eastAsia="zh-CN"/>
        </w:rPr>
        <w:t>Khawaja &amp; Lai, 2010</w:t>
      </w:r>
      <w:r w:rsidRPr="00371DC5">
        <w:t xml:space="preserve">), and higher scores on the two subscales indicate greater levels of prospective and inhibitory anxiety.  </w:t>
      </w:r>
      <w:r w:rsidR="003E1ED5" w:rsidRPr="00371DC5">
        <w:t xml:space="preserve">Prospective anxiety </w:t>
      </w:r>
      <w:r w:rsidR="00953CA3" w:rsidRPr="00371DC5">
        <w:t xml:space="preserve">is </w:t>
      </w:r>
      <w:r w:rsidR="00B27798" w:rsidRPr="00371DC5">
        <w:t xml:space="preserve">uncertainty about </w:t>
      </w:r>
      <w:r w:rsidR="00953CA3" w:rsidRPr="00371DC5">
        <w:t xml:space="preserve">future </w:t>
      </w:r>
      <w:r w:rsidR="00B27798" w:rsidRPr="00371DC5">
        <w:t>outcomes</w:t>
      </w:r>
      <w:r w:rsidR="00953CA3" w:rsidRPr="00371DC5">
        <w:t xml:space="preserve">, while inhibitory anxiety </w:t>
      </w:r>
      <w:r w:rsidR="00B27798" w:rsidRPr="00371DC5">
        <w:t xml:space="preserve">reflects </w:t>
      </w:r>
      <w:r w:rsidR="00953CA3" w:rsidRPr="00371DC5">
        <w:t>inaction when faced with uncertainty.</w:t>
      </w:r>
    </w:p>
    <w:p w14:paraId="47C3A37F" w14:textId="77777777" w:rsidR="005C009A" w:rsidRPr="00371DC5" w:rsidRDefault="005C009A" w:rsidP="00765AE8">
      <w:pPr>
        <w:widowControl w:val="0"/>
        <w:spacing w:line="480" w:lineRule="auto"/>
        <w:rPr>
          <w:b/>
        </w:rPr>
      </w:pPr>
      <w:r w:rsidRPr="00371DC5">
        <w:rPr>
          <w:b/>
        </w:rPr>
        <w:tab/>
        <w:t xml:space="preserve">Rosenberg Self-Esteem Scale (RSES).  </w:t>
      </w:r>
      <w:r w:rsidRPr="00371DC5">
        <w:t>The RSES (Rosenberg, 1965) is a 10-item self-report measure of global self-worth</w:t>
      </w:r>
      <w:r w:rsidR="00982911" w:rsidRPr="00371DC5">
        <w:t>.</w:t>
      </w:r>
      <w:r w:rsidRPr="00371DC5">
        <w:t xml:space="preserve">  It uses four-point Likert scales, and higher scores indicate greater self-esteem.  The RSES is widely used and has strong psychometric properties (Schmitt &amp; Allik, 2005; Sinclair, Blais, Gansler, Sandberg, Bistis, &amp; LocCicero, 2010).</w:t>
      </w:r>
    </w:p>
    <w:p w14:paraId="37642C62" w14:textId="77777777" w:rsidR="005C009A" w:rsidRPr="00371DC5" w:rsidRDefault="005C009A" w:rsidP="00765AE8">
      <w:pPr>
        <w:widowControl w:val="0"/>
        <w:spacing w:line="480" w:lineRule="auto"/>
        <w:rPr>
          <w:b/>
        </w:rPr>
      </w:pPr>
      <w:r w:rsidRPr="00371DC5">
        <w:rPr>
          <w:b/>
        </w:rPr>
        <w:t>Data Analysis</w:t>
      </w:r>
    </w:p>
    <w:p w14:paraId="19077F00" w14:textId="1BBC3B08" w:rsidR="00D504D0" w:rsidRPr="00371DC5" w:rsidRDefault="005C009A" w:rsidP="00765AE8">
      <w:pPr>
        <w:widowControl w:val="0"/>
        <w:spacing w:line="480" w:lineRule="auto"/>
      </w:pPr>
      <w:r w:rsidRPr="00371DC5">
        <w:tab/>
        <w:t xml:space="preserve">SPSS version 22 was used for all analyses.  Cronbach’s </w:t>
      </w:r>
      <w:r w:rsidRPr="00371DC5">
        <w:rPr>
          <w:i/>
        </w:rPr>
        <w:t>alpha</w:t>
      </w:r>
      <w:r w:rsidRPr="00371DC5">
        <w:t xml:space="preserve"> was used to determine the internal consistency of the </w:t>
      </w:r>
      <w:r w:rsidRPr="00371DC5">
        <w:rPr>
          <w:i/>
        </w:rPr>
        <w:t>a</w:t>
      </w:r>
      <w:r w:rsidRPr="00371DC5">
        <w:t xml:space="preserve"> </w:t>
      </w:r>
      <w:r w:rsidRPr="00371DC5">
        <w:rPr>
          <w:i/>
        </w:rPr>
        <w:t>priori</w:t>
      </w:r>
      <w:r w:rsidRPr="00371DC5">
        <w:t xml:space="preserve"> subsets of items that were extracted from the Therapy Methods Questionnaire (see above).  Exploratory factor analysis was used to determine the factor structure of the NACS.  Principal </w:t>
      </w:r>
      <w:r w:rsidR="00114F87" w:rsidRPr="00371DC5">
        <w:t>Axis Factor</w:t>
      </w:r>
      <w:r w:rsidR="000D5544" w:rsidRPr="00371DC5">
        <w:t>ing was used as</w:t>
      </w:r>
      <w:r w:rsidR="00856E89" w:rsidRPr="00371DC5">
        <w:t xml:space="preserve"> the extraction method</w:t>
      </w:r>
      <w:r w:rsidR="00114F87" w:rsidRPr="00371DC5">
        <w:t>.</w:t>
      </w:r>
      <w:r w:rsidR="000D5544" w:rsidRPr="00371DC5">
        <w:t xml:space="preserve"> </w:t>
      </w:r>
      <w:r w:rsidR="00114F87" w:rsidRPr="00371DC5">
        <w:t xml:space="preserve"> </w:t>
      </w:r>
      <w:r w:rsidR="00856E89" w:rsidRPr="00371DC5">
        <w:t xml:space="preserve">No Rotation, </w:t>
      </w:r>
      <w:r w:rsidRPr="00371DC5">
        <w:t>Direct Oblimin and Varimax rotations were also carried out to determine</w:t>
      </w:r>
      <w:r w:rsidR="00A42E43" w:rsidRPr="00371DC5">
        <w:t xml:space="preserve"> </w:t>
      </w:r>
      <w:r w:rsidR="00D77F70" w:rsidRPr="00371DC5">
        <w:lastRenderedPageBreak/>
        <w:t xml:space="preserve">whether </w:t>
      </w:r>
      <w:r w:rsidR="00A42E43" w:rsidRPr="00371DC5">
        <w:t>more</w:t>
      </w:r>
      <w:r w:rsidRPr="00371DC5">
        <w:t xml:space="preserve"> meaningful factors</w:t>
      </w:r>
      <w:r w:rsidR="00A42E43" w:rsidRPr="00371DC5">
        <w:t xml:space="preserve"> </w:t>
      </w:r>
      <w:r w:rsidR="00D77F70" w:rsidRPr="00371DC5">
        <w:t>emerg</w:t>
      </w:r>
      <w:r w:rsidR="00A42E43" w:rsidRPr="00371DC5">
        <w:t>ed</w:t>
      </w:r>
      <w:r w:rsidR="00A42E43" w:rsidRPr="00371DC5">
        <w:rPr>
          <w:rStyle w:val="FootnoteReference"/>
        </w:rPr>
        <w:footnoteReference w:id="1"/>
      </w:r>
      <w:r w:rsidRPr="00371DC5">
        <w:t xml:space="preserve">.  </w:t>
      </w:r>
      <w:r w:rsidR="00311A60" w:rsidRPr="00371DC5">
        <w:t xml:space="preserve">Items were accepted as part of a scale if they had an item loading of </w:t>
      </w:r>
      <w:r w:rsidR="00311A60" w:rsidRPr="00371DC5">
        <w:rPr>
          <w:u w:val="single"/>
        </w:rPr>
        <w:t>&gt;</w:t>
      </w:r>
      <w:r w:rsidR="001C12FE" w:rsidRPr="00371DC5">
        <w:t xml:space="preserve"> </w:t>
      </w:r>
      <w:r w:rsidR="00311A60" w:rsidRPr="00371DC5">
        <w:t xml:space="preserve">.5 and if the item loading was at least .2 above the loading on </w:t>
      </w:r>
      <w:r w:rsidR="00296E24" w:rsidRPr="00371DC5">
        <w:t xml:space="preserve">any </w:t>
      </w:r>
      <w:r w:rsidR="00311A60" w:rsidRPr="00371DC5">
        <w:t>other scale</w:t>
      </w:r>
      <w:r w:rsidR="00DE70C6" w:rsidRPr="00371DC5">
        <w:t xml:space="preserve"> (Comrey </w:t>
      </w:r>
      <w:r w:rsidR="00D77F70" w:rsidRPr="00371DC5">
        <w:t xml:space="preserve">&amp; </w:t>
      </w:r>
      <w:r w:rsidR="00DE70C6" w:rsidRPr="00371DC5">
        <w:t xml:space="preserve">Lee, 1992; Tabaschnick </w:t>
      </w:r>
      <w:r w:rsidR="00D77F70" w:rsidRPr="00371DC5">
        <w:t>&amp;</w:t>
      </w:r>
      <w:r w:rsidR="00DE70C6" w:rsidRPr="00371DC5">
        <w:t xml:space="preserve"> Fidell, 2007)</w:t>
      </w:r>
      <w:r w:rsidR="00311A60" w:rsidRPr="00371DC5">
        <w:t>.</w:t>
      </w:r>
      <w:r w:rsidR="00F03BA7" w:rsidRPr="00371DC5">
        <w:t xml:space="preserve"> </w:t>
      </w:r>
      <w:r w:rsidR="00921680" w:rsidRPr="00371DC5">
        <w:t xml:space="preserve"> </w:t>
      </w:r>
      <w:r w:rsidR="00A3577D" w:rsidRPr="00371DC5">
        <w:t xml:space="preserve">In order to determine whether any rotation improved </w:t>
      </w:r>
      <w:r w:rsidR="00853FCB" w:rsidRPr="00371DC5">
        <w:t xml:space="preserve"> factor structure, </w:t>
      </w:r>
      <w:r w:rsidR="00A3577D" w:rsidRPr="00371DC5">
        <w:t>that rotation would have to result in a more meaningful loading if items onto the resulting factors. However, as none of the above rotations changed which items loaded onto the scales</w:t>
      </w:r>
      <w:r w:rsidR="00D504D0" w:rsidRPr="00371DC5">
        <w:t xml:space="preserve"> (see below)</w:t>
      </w:r>
      <w:r w:rsidR="00A3577D" w:rsidRPr="00371DC5">
        <w:t>, the original unrotated solution was used.</w:t>
      </w:r>
      <w:r w:rsidR="00853FCB" w:rsidRPr="00371DC5">
        <w:t xml:space="preserve">  </w:t>
      </w:r>
      <w:r w:rsidRPr="00371DC5">
        <w:t xml:space="preserve">The resulting scales were tested for internal consistency, using Cronbach’s </w:t>
      </w:r>
      <w:r w:rsidRPr="00371DC5">
        <w:rPr>
          <w:i/>
        </w:rPr>
        <w:t>alpha</w:t>
      </w:r>
      <w:r w:rsidRPr="00371DC5">
        <w:t>.</w:t>
      </w:r>
      <w:r w:rsidR="00F03BA7" w:rsidRPr="00371DC5">
        <w:t xml:space="preserve">  </w:t>
      </w:r>
    </w:p>
    <w:p w14:paraId="4F9FDCD8" w14:textId="1F31706F" w:rsidR="005C009A" w:rsidRPr="00371DC5" w:rsidRDefault="00D504D0" w:rsidP="00765AE8">
      <w:pPr>
        <w:widowControl w:val="0"/>
        <w:spacing w:line="480" w:lineRule="auto"/>
      </w:pPr>
      <w:r w:rsidRPr="00371DC5">
        <w:tab/>
      </w:r>
      <w:r w:rsidR="005C009A" w:rsidRPr="00371DC5">
        <w:t>Pearson’s correlations (</w:t>
      </w:r>
      <w:r w:rsidR="005C009A" w:rsidRPr="00371DC5">
        <w:rPr>
          <w:i/>
        </w:rPr>
        <w:t>r</w:t>
      </w:r>
      <w:r w:rsidR="005C009A" w:rsidRPr="00371DC5">
        <w:t xml:space="preserve">) and </w:t>
      </w:r>
      <w:r w:rsidR="005C009A" w:rsidRPr="00371DC5">
        <w:rPr>
          <w:i/>
        </w:rPr>
        <w:t>t-</w:t>
      </w:r>
      <w:r w:rsidR="005C009A" w:rsidRPr="00371DC5">
        <w:t>tests were used to determine whether clinicians’ dimensional and categori</w:t>
      </w:r>
      <w:r w:rsidR="00982911" w:rsidRPr="00371DC5">
        <w:t>cal characteristics (e.g., age</w:t>
      </w:r>
      <w:r w:rsidR="005C009A" w:rsidRPr="00371DC5">
        <w:t>, gender) were associated with NACS scores</w:t>
      </w:r>
      <w:r w:rsidR="00982911" w:rsidRPr="00371DC5">
        <w:t>.</w:t>
      </w:r>
      <w:r w:rsidR="005C009A" w:rsidRPr="00371DC5">
        <w:t xml:space="preserve">  </w:t>
      </w:r>
      <w:r w:rsidR="00982911" w:rsidRPr="00371DC5">
        <w:t xml:space="preserve">Pearson's </w:t>
      </w:r>
      <w:r w:rsidR="00982911" w:rsidRPr="00371DC5">
        <w:rPr>
          <w:i/>
        </w:rPr>
        <w:t xml:space="preserve">r </w:t>
      </w:r>
      <w:r w:rsidR="00A339D8" w:rsidRPr="00371DC5">
        <w:t xml:space="preserve">correlations </w:t>
      </w:r>
      <w:r w:rsidR="00982911" w:rsidRPr="00371DC5">
        <w:t>(</w:t>
      </w:r>
      <w:r w:rsidR="006F0A3A" w:rsidRPr="00371DC5">
        <w:t>one</w:t>
      </w:r>
      <w:r w:rsidR="00982911" w:rsidRPr="00371DC5">
        <w:t>-tail</w:t>
      </w:r>
      <w:r w:rsidR="006F0A3A" w:rsidRPr="00371DC5">
        <w:t>ed</w:t>
      </w:r>
      <w:r w:rsidR="00982911" w:rsidRPr="00371DC5">
        <w:t xml:space="preserve">, where applicable) were used to determine the association between clinicians' internal factors (e.g., self-esteem and anxiety) and the NACS.  </w:t>
      </w:r>
      <w:r w:rsidR="009778A6" w:rsidRPr="00371DC5">
        <w:t>M</w:t>
      </w:r>
      <w:r w:rsidR="005C009A" w:rsidRPr="00371DC5">
        <w:t>ultiple linear regre</w:t>
      </w:r>
      <w:r w:rsidR="00982911" w:rsidRPr="00371DC5">
        <w:t>ssion</w:t>
      </w:r>
      <w:r w:rsidR="00311A60" w:rsidRPr="00371DC5">
        <w:t>s</w:t>
      </w:r>
      <w:r w:rsidR="00982911" w:rsidRPr="00371DC5">
        <w:t xml:space="preserve"> </w:t>
      </w:r>
      <w:r w:rsidR="005C009A" w:rsidRPr="00371DC5">
        <w:t>were used to determine which internal state</w:t>
      </w:r>
      <w:r w:rsidR="006F0A3A" w:rsidRPr="00371DC5">
        <w:t>s</w:t>
      </w:r>
      <w:r w:rsidR="005C009A" w:rsidRPr="00371DC5">
        <w:t xml:space="preserve"> (anxiety, attitudes, self-esteem) w</w:t>
      </w:r>
      <w:r w:rsidR="00A32F5B" w:rsidRPr="00371DC5">
        <w:t>ere</w:t>
      </w:r>
      <w:r w:rsidR="005C009A" w:rsidRPr="00371DC5">
        <w:t xml:space="preserve"> better predictor</w:t>
      </w:r>
      <w:r w:rsidR="006F0A3A" w:rsidRPr="00371DC5">
        <w:t>s</w:t>
      </w:r>
      <w:r w:rsidR="005C009A" w:rsidRPr="00371DC5">
        <w:t xml:space="preserve"> of technique use and confidence.</w:t>
      </w:r>
      <w:r w:rsidR="009778A6" w:rsidRPr="00371DC5">
        <w:t xml:space="preserve"> Finally, multiple linear regressions were used to determine the associations </w:t>
      </w:r>
      <w:r w:rsidR="00B27798" w:rsidRPr="00371DC5">
        <w:t xml:space="preserve">of </w:t>
      </w:r>
      <w:r w:rsidR="009778A6" w:rsidRPr="00371DC5">
        <w:t>internal states and theoretical orientation with technique use and confidence.</w:t>
      </w:r>
    </w:p>
    <w:p w14:paraId="5AC05D37" w14:textId="77777777" w:rsidR="005C009A" w:rsidRPr="00371DC5" w:rsidRDefault="005C009A" w:rsidP="00E10A39">
      <w:pPr>
        <w:spacing w:line="480" w:lineRule="auto"/>
        <w:jc w:val="center"/>
        <w:rPr>
          <w:b/>
        </w:rPr>
      </w:pPr>
      <w:r w:rsidRPr="00371DC5">
        <w:rPr>
          <w:b/>
        </w:rPr>
        <w:t>Results</w:t>
      </w:r>
    </w:p>
    <w:p w14:paraId="20C500AB" w14:textId="77777777" w:rsidR="005C009A" w:rsidRPr="00371DC5" w:rsidRDefault="005C009A" w:rsidP="00E10A39">
      <w:pPr>
        <w:spacing w:line="480" w:lineRule="auto"/>
      </w:pPr>
      <w:r w:rsidRPr="00371DC5">
        <w:rPr>
          <w:b/>
        </w:rPr>
        <w:t>Factor Structure of the Negative Attitudes to</w:t>
      </w:r>
      <w:r w:rsidR="00982911" w:rsidRPr="00371DC5">
        <w:rPr>
          <w:b/>
        </w:rPr>
        <w:t>wards</w:t>
      </w:r>
      <w:r w:rsidRPr="00371DC5">
        <w:rPr>
          <w:b/>
        </w:rPr>
        <w:t xml:space="preserve"> C</w:t>
      </w:r>
      <w:r w:rsidR="00982911" w:rsidRPr="00371DC5">
        <w:rPr>
          <w:b/>
        </w:rPr>
        <w:t>BT</w:t>
      </w:r>
      <w:r w:rsidRPr="00371DC5">
        <w:rPr>
          <w:b/>
        </w:rPr>
        <w:t xml:space="preserve"> Scale</w:t>
      </w:r>
    </w:p>
    <w:p w14:paraId="40B752FF" w14:textId="46B31396" w:rsidR="00114F87" w:rsidRPr="00371DC5" w:rsidRDefault="005C009A" w:rsidP="00765AE8">
      <w:pPr>
        <w:widowControl w:val="0"/>
        <w:spacing w:line="480" w:lineRule="auto"/>
      </w:pPr>
      <w:r w:rsidRPr="00371DC5">
        <w:tab/>
      </w:r>
      <w:r w:rsidR="000D5544" w:rsidRPr="00371DC5">
        <w:rPr>
          <w:b/>
        </w:rPr>
        <w:t xml:space="preserve">Extraction. </w:t>
      </w:r>
      <w:r w:rsidR="00CA28EE" w:rsidRPr="00371DC5">
        <w:t>Table 3</w:t>
      </w:r>
      <w:r w:rsidRPr="00371DC5">
        <w:t xml:space="preserve"> shows results of the factor analysis of the NACS items among the 204 clinicians who completed the measure.  Principal </w:t>
      </w:r>
      <w:r w:rsidR="000D5544" w:rsidRPr="00371DC5">
        <w:t>Axis Factor</w:t>
      </w:r>
      <w:r w:rsidRPr="00371DC5">
        <w:t xml:space="preserve"> </w:t>
      </w:r>
      <w:r w:rsidR="00776566" w:rsidRPr="00371DC5">
        <w:t>A</w:t>
      </w:r>
      <w:r w:rsidRPr="00371DC5">
        <w:t xml:space="preserve">nalysis is reported, </w:t>
      </w:r>
      <w:r w:rsidR="000D5544" w:rsidRPr="00371DC5">
        <w:t xml:space="preserve">though it should be noted there was no </w:t>
      </w:r>
      <w:r w:rsidR="00B27798" w:rsidRPr="00371DC5">
        <w:t xml:space="preserve">substantive </w:t>
      </w:r>
      <w:r w:rsidR="000D5544" w:rsidRPr="00371DC5">
        <w:t>difference in eigenvalues between extraction methods.  Based on recommendations from the literature (eigenvalue &gt; 1 and scree analysis - Kaiser, 1960; Tabaschnick et al. 2007; Yong et al.</w:t>
      </w:r>
      <w:r w:rsidR="00B27798" w:rsidRPr="00371DC5">
        <w:t>,</w:t>
      </w:r>
      <w:r w:rsidR="000D5544" w:rsidRPr="00371DC5">
        <w:t xml:space="preserve"> 2013), two factors emerged.  </w:t>
      </w:r>
      <w:r w:rsidR="001920A1" w:rsidRPr="00371DC5">
        <w:t xml:space="preserve">The </w:t>
      </w:r>
      <w:r w:rsidR="00CA67B0" w:rsidRPr="00371DC5">
        <w:t>Kaiser-Meyer-Olkin measure of sampling adequacy was conduct</w:t>
      </w:r>
      <w:r w:rsidR="00856E89" w:rsidRPr="00371DC5">
        <w:t xml:space="preserve">ed and yielded a result </w:t>
      </w:r>
      <w:r w:rsidR="00856E89" w:rsidRPr="00371DC5">
        <w:lastRenderedPageBreak/>
        <w:t>of .934</w:t>
      </w:r>
      <w:r w:rsidR="00CA67B0" w:rsidRPr="00371DC5">
        <w:t>, indicating that the sampling was more than adequate for this testing.  Additionally a Bartlett's test of sphericity was conducted</w:t>
      </w:r>
      <w:r w:rsidR="00A339D8" w:rsidRPr="00371DC5">
        <w:t xml:space="preserve"> (</w:t>
      </w:r>
      <w:r w:rsidR="00CA67B0" w:rsidRPr="00371DC5">
        <w:rPr>
          <w:rFonts w:eastAsia="Calibri"/>
        </w:rPr>
        <w:sym w:font="Symbol" w:char="F063"/>
      </w:r>
      <w:r w:rsidR="00CA67B0" w:rsidRPr="00371DC5">
        <w:rPr>
          <w:rFonts w:eastAsia="Calibri"/>
          <w:vertAlign w:val="superscript"/>
        </w:rPr>
        <w:t xml:space="preserve">2 </w:t>
      </w:r>
      <w:r w:rsidR="00CA67B0" w:rsidRPr="00371DC5">
        <w:rPr>
          <w:rFonts w:eastAsia="Calibri"/>
        </w:rPr>
        <w:t>(</w:t>
      </w:r>
      <w:r w:rsidR="00CA67B0" w:rsidRPr="00371DC5">
        <w:t xml:space="preserve">190) = 2376.06, </w:t>
      </w:r>
      <w:r w:rsidR="00CA67B0" w:rsidRPr="00371DC5">
        <w:rPr>
          <w:i/>
        </w:rPr>
        <w:t>P</w:t>
      </w:r>
      <w:r w:rsidR="00CA67B0" w:rsidRPr="00371DC5">
        <w:t xml:space="preserve"> &lt; .001</w:t>
      </w:r>
      <w:r w:rsidR="00A339D8" w:rsidRPr="00371DC5">
        <w:t>)</w:t>
      </w:r>
      <w:r w:rsidR="00BA797F" w:rsidRPr="00371DC5">
        <w:t xml:space="preserve">, </w:t>
      </w:r>
      <w:r w:rsidR="001920A1" w:rsidRPr="00371DC5">
        <w:t>indicating</w:t>
      </w:r>
      <w:r w:rsidR="00BA797F" w:rsidRPr="00371DC5">
        <w:t xml:space="preserve"> that this sample was adequate for factor analysis. </w:t>
      </w:r>
    </w:p>
    <w:p w14:paraId="2E0EE2BC" w14:textId="77777777" w:rsidR="001920A1" w:rsidRPr="00371DC5" w:rsidRDefault="001920A1" w:rsidP="001920A1">
      <w:pPr>
        <w:widowControl w:val="0"/>
        <w:spacing w:line="480" w:lineRule="auto"/>
        <w:jc w:val="center"/>
      </w:pPr>
      <w:r w:rsidRPr="00371DC5">
        <w:t>________________________________</w:t>
      </w:r>
    </w:p>
    <w:p w14:paraId="0C1CFF78" w14:textId="77777777" w:rsidR="001920A1" w:rsidRPr="00371DC5" w:rsidRDefault="001920A1" w:rsidP="001920A1">
      <w:pPr>
        <w:widowControl w:val="0"/>
        <w:spacing w:line="480" w:lineRule="auto"/>
        <w:jc w:val="center"/>
      </w:pPr>
      <w:r w:rsidRPr="00371DC5">
        <w:t>Insert Table 3 about here</w:t>
      </w:r>
    </w:p>
    <w:p w14:paraId="4F8168C6" w14:textId="77777777" w:rsidR="001920A1" w:rsidRPr="00371DC5" w:rsidRDefault="001920A1" w:rsidP="001920A1">
      <w:pPr>
        <w:widowControl w:val="0"/>
        <w:spacing w:line="480" w:lineRule="auto"/>
        <w:jc w:val="center"/>
      </w:pPr>
      <w:r w:rsidRPr="00371DC5">
        <w:t>________________________________</w:t>
      </w:r>
    </w:p>
    <w:p w14:paraId="752881F7" w14:textId="77777777" w:rsidR="001920A1" w:rsidRPr="00371DC5" w:rsidRDefault="001920A1" w:rsidP="00765AE8">
      <w:pPr>
        <w:widowControl w:val="0"/>
        <w:spacing w:line="480" w:lineRule="auto"/>
      </w:pPr>
    </w:p>
    <w:p w14:paraId="53F7E74A" w14:textId="77777777" w:rsidR="00E003BF" w:rsidRPr="00371DC5" w:rsidRDefault="00E003BF" w:rsidP="00765AE8">
      <w:pPr>
        <w:widowControl w:val="0"/>
        <w:spacing w:line="480" w:lineRule="auto"/>
      </w:pPr>
      <w:r w:rsidRPr="00371DC5">
        <w:tab/>
      </w:r>
      <w:r w:rsidRPr="00371DC5">
        <w:rPr>
          <w:b/>
        </w:rPr>
        <w:t>Rotation.</w:t>
      </w:r>
      <w:r w:rsidRPr="00371DC5">
        <w:t xml:space="preserve"> In addition to no rotation, Varimax and Direct Oblimin rotations were used</w:t>
      </w:r>
      <w:r w:rsidR="00EF3958" w:rsidRPr="00371DC5">
        <w:t xml:space="preserve"> to determine the best possible factorial structure</w:t>
      </w:r>
      <w:r w:rsidRPr="00371DC5">
        <w:t>.  Neither rotation improved upon the factor structure found with no rotation</w:t>
      </w:r>
      <w:r w:rsidR="00633A72" w:rsidRPr="00371DC5">
        <w:t>, in terms of factors and eigenvalues</w:t>
      </w:r>
      <w:r w:rsidRPr="00371DC5">
        <w:t xml:space="preserve">.  </w:t>
      </w:r>
      <w:r w:rsidR="00853FCB" w:rsidRPr="00371DC5">
        <w:t xml:space="preserve">Nor did any rotation change the loadings of </w:t>
      </w:r>
      <w:r w:rsidR="00AA3822" w:rsidRPr="00371DC5">
        <w:t xml:space="preserve">individual </w:t>
      </w:r>
      <w:r w:rsidR="00853FCB" w:rsidRPr="00371DC5">
        <w:t xml:space="preserve">items onto the factors.  </w:t>
      </w:r>
      <w:r w:rsidRPr="00371DC5">
        <w:t>G</w:t>
      </w:r>
      <w:r w:rsidR="000D0B88" w:rsidRPr="00371DC5">
        <w:t>iven that there is a single</w:t>
      </w:r>
      <w:r w:rsidRPr="00371DC5">
        <w:t xml:space="preserve"> </w:t>
      </w:r>
      <w:r w:rsidR="00CA28EE" w:rsidRPr="00371DC5">
        <w:t xml:space="preserve">valid </w:t>
      </w:r>
      <w:r w:rsidRPr="00371DC5">
        <w:t>unitary factor</w:t>
      </w:r>
      <w:r w:rsidR="00A339D8" w:rsidRPr="00371DC5">
        <w:t xml:space="preserve"> (see below)</w:t>
      </w:r>
      <w:r w:rsidR="00CA28EE" w:rsidRPr="00371DC5">
        <w:t xml:space="preserve">, remaining </w:t>
      </w:r>
      <w:r w:rsidR="00893AE6" w:rsidRPr="00371DC5">
        <w:t>rotations did not improve upon the factor structur</w:t>
      </w:r>
      <w:r w:rsidR="007A24BC" w:rsidRPr="00371DC5">
        <w:t xml:space="preserve">e.  </w:t>
      </w:r>
    </w:p>
    <w:p w14:paraId="6870D5E0" w14:textId="77777777" w:rsidR="00982911" w:rsidRPr="00371DC5" w:rsidRDefault="00893AE6" w:rsidP="00765AE8">
      <w:pPr>
        <w:widowControl w:val="0"/>
        <w:spacing w:line="480" w:lineRule="auto"/>
      </w:pPr>
      <w:r w:rsidRPr="00371DC5">
        <w:rPr>
          <w:b/>
        </w:rPr>
        <w:tab/>
        <w:t xml:space="preserve">Completed scale. </w:t>
      </w:r>
      <w:r w:rsidRPr="00371DC5">
        <w:t xml:space="preserve"> While two factors emerged, </w:t>
      </w:r>
      <w:r w:rsidR="005C009A" w:rsidRPr="00371DC5">
        <w:t xml:space="preserve">the second factor consisted of only two items, </w:t>
      </w:r>
      <w:r w:rsidR="006F0A3A" w:rsidRPr="00371DC5">
        <w:t>and</w:t>
      </w:r>
      <w:r w:rsidR="005C009A" w:rsidRPr="00371DC5">
        <w:t xml:space="preserve"> was </w:t>
      </w:r>
      <w:r w:rsidR="006F0A3A" w:rsidRPr="00371DC5">
        <w:t xml:space="preserve">therefore </w:t>
      </w:r>
      <w:r w:rsidR="005C009A" w:rsidRPr="00371DC5">
        <w:t>judged to be too small to be meaningful</w:t>
      </w:r>
      <w:r w:rsidR="008A34B3" w:rsidRPr="00371DC5">
        <w:t xml:space="preserve"> (Tabaschnick et al., 2007; Yong et al., 2013)</w:t>
      </w:r>
      <w:r w:rsidR="005C009A" w:rsidRPr="00371DC5">
        <w:t xml:space="preserve">.  </w:t>
      </w:r>
      <w:r w:rsidR="006F0A3A" w:rsidRPr="00371DC5">
        <w:t>Consequently</w:t>
      </w:r>
      <w:r w:rsidR="005C009A" w:rsidRPr="00371DC5">
        <w:t>, those two items were omitted.</w:t>
      </w:r>
      <w:r w:rsidR="00921680" w:rsidRPr="00371DC5">
        <w:t xml:space="preserve">  </w:t>
      </w:r>
      <w:r w:rsidR="005C009A" w:rsidRPr="00371DC5">
        <w:t>In addition, two other items were omitted due to not fitting either factor</w:t>
      </w:r>
      <w:r w:rsidR="00296E24" w:rsidRPr="00371DC5">
        <w:t xml:space="preserve"> adequately (item loading</w:t>
      </w:r>
      <w:r w:rsidR="00633A72" w:rsidRPr="00371DC5">
        <w:t>s</w:t>
      </w:r>
      <w:r w:rsidR="00296E24" w:rsidRPr="00371DC5">
        <w:t xml:space="preserve"> &lt; .5)</w:t>
      </w:r>
      <w:r w:rsidR="005C009A" w:rsidRPr="00371DC5">
        <w:t xml:space="preserve">.  The remaining 16 items were used to form a single scale, which had a high level of internal consistency (Cronbach’s </w:t>
      </w:r>
      <w:r w:rsidR="005C009A" w:rsidRPr="00371DC5">
        <w:rPr>
          <w:i/>
        </w:rPr>
        <w:t>alpha</w:t>
      </w:r>
      <w:r w:rsidR="005C009A" w:rsidRPr="00371DC5">
        <w:t xml:space="preserve"> = .95).  The NACS score was the mean score on those 16 items (range = 1-7), where higher scores indicated more negative attitudes to CBT.  The final measure and scoring system are given in Appendix A.  </w:t>
      </w:r>
    </w:p>
    <w:p w14:paraId="4BC9E3F7" w14:textId="77777777" w:rsidR="00505B94" w:rsidRPr="00371DC5" w:rsidRDefault="00982911" w:rsidP="00765AE8">
      <w:pPr>
        <w:widowControl w:val="0"/>
        <w:spacing w:line="480" w:lineRule="auto"/>
      </w:pPr>
      <w:r w:rsidRPr="00371DC5">
        <w:tab/>
      </w:r>
      <w:r w:rsidR="005C009A" w:rsidRPr="00371DC5">
        <w:t xml:space="preserve">For the purpose of establishing whether the scale would still be valid if items were missed by respondents, multiple reliability tests were run with items missing.  These analyses established that </w:t>
      </w:r>
      <w:r w:rsidR="00A32F5B" w:rsidRPr="00371DC5">
        <w:t xml:space="preserve">any one or </w:t>
      </w:r>
      <w:r w:rsidR="005C009A" w:rsidRPr="00371DC5">
        <w:t xml:space="preserve">two items can be omitted without impacting the internal consistency of the resulting scales (Cronbach’s </w:t>
      </w:r>
      <w:r w:rsidR="005C009A" w:rsidRPr="00371DC5">
        <w:rPr>
          <w:i/>
        </w:rPr>
        <w:t xml:space="preserve">alpha </w:t>
      </w:r>
      <w:r w:rsidR="005C009A" w:rsidRPr="00371DC5">
        <w:t>&gt; .90 in all cases).  Therefor</w:t>
      </w:r>
      <w:r w:rsidR="00380EE8" w:rsidRPr="00371DC5">
        <w:t>e, the sco</w:t>
      </w:r>
      <w:r w:rsidR="005C009A" w:rsidRPr="00371DC5">
        <w:t>ring system (see appendix A) allows up to two items to be omitted by the respondent</w:t>
      </w:r>
      <w:r w:rsidR="00505B94" w:rsidRPr="00371DC5">
        <w:t>,</w:t>
      </w:r>
      <w:r w:rsidR="005C009A" w:rsidRPr="00371DC5">
        <w:t xml:space="preserve"> if </w:t>
      </w:r>
      <w:r w:rsidR="005C009A" w:rsidRPr="00371DC5">
        <w:lastRenderedPageBreak/>
        <w:t>the item mean is adjusted accordingly</w:t>
      </w:r>
      <w:r w:rsidR="00505B94" w:rsidRPr="00371DC5">
        <w:t xml:space="preserve"> (total score/number of items completed)</w:t>
      </w:r>
      <w:r w:rsidR="005C009A" w:rsidRPr="00371DC5">
        <w:t>.</w:t>
      </w:r>
    </w:p>
    <w:p w14:paraId="24294144" w14:textId="77777777" w:rsidR="005C009A" w:rsidRPr="00371DC5" w:rsidRDefault="005C009A" w:rsidP="00765AE8">
      <w:pPr>
        <w:widowControl w:val="0"/>
        <w:spacing w:line="480" w:lineRule="auto"/>
        <w:rPr>
          <w:b/>
        </w:rPr>
      </w:pPr>
      <w:r w:rsidRPr="00371DC5">
        <w:rPr>
          <w:b/>
        </w:rPr>
        <w:t xml:space="preserve">Association of Negative Attitudes to CBT with Clinician Characteristics </w:t>
      </w:r>
    </w:p>
    <w:p w14:paraId="5DB99A94" w14:textId="77777777" w:rsidR="005C009A" w:rsidRPr="00371DC5" w:rsidRDefault="005C009A" w:rsidP="00765AE8">
      <w:pPr>
        <w:widowControl w:val="0"/>
        <w:spacing w:line="480" w:lineRule="auto"/>
        <w:rPr>
          <w:rFonts w:eastAsia="Times"/>
          <w:szCs w:val="22"/>
        </w:rPr>
      </w:pPr>
      <w:r w:rsidRPr="00371DC5">
        <w:rPr>
          <w:rFonts w:eastAsia="Times"/>
          <w:b/>
          <w:szCs w:val="22"/>
        </w:rPr>
        <w:tab/>
        <w:t xml:space="preserve">Demographics.  </w:t>
      </w:r>
      <w:r w:rsidRPr="00371DC5">
        <w:rPr>
          <w:rFonts w:eastAsia="Times"/>
          <w:szCs w:val="22"/>
        </w:rPr>
        <w:t xml:space="preserve">Pearson’s correlations and </w:t>
      </w:r>
      <w:r w:rsidRPr="00371DC5">
        <w:rPr>
          <w:rFonts w:eastAsia="Times"/>
          <w:i/>
          <w:szCs w:val="22"/>
        </w:rPr>
        <w:t>t</w:t>
      </w:r>
      <w:r w:rsidRPr="00371DC5">
        <w:rPr>
          <w:rFonts w:eastAsia="Times"/>
          <w:szCs w:val="22"/>
        </w:rPr>
        <w:t>-tests were used to</w:t>
      </w:r>
      <w:r w:rsidRPr="00371DC5">
        <w:rPr>
          <w:rFonts w:eastAsia="Times"/>
          <w:b/>
          <w:szCs w:val="22"/>
        </w:rPr>
        <w:t xml:space="preserve"> </w:t>
      </w:r>
      <w:r w:rsidRPr="00371DC5">
        <w:rPr>
          <w:rFonts w:eastAsia="Times"/>
          <w:szCs w:val="22"/>
        </w:rPr>
        <w:t xml:space="preserve">determine whether negative attitudes to CBT (NACS scores) were associated with demographic characteristics (age, years qualified, hours worked, clinical contact hours, average number of sessions with a client, and hours spent giving or receiving supervision).  </w:t>
      </w:r>
      <w:r w:rsidR="00505B94" w:rsidRPr="00371DC5">
        <w:rPr>
          <w:rFonts w:eastAsia="Times"/>
          <w:szCs w:val="22"/>
        </w:rPr>
        <w:t>Whatever the therapy offered by the individual clinician, n</w:t>
      </w:r>
      <w:r w:rsidRPr="00371DC5">
        <w:rPr>
          <w:rFonts w:eastAsia="Times"/>
          <w:szCs w:val="22"/>
        </w:rPr>
        <w:t xml:space="preserve">egative attitudes to CBT were associated with the clinician </w:t>
      </w:r>
      <w:r w:rsidR="00FC02F7" w:rsidRPr="00371DC5">
        <w:rPr>
          <w:rFonts w:eastAsia="Times"/>
          <w:szCs w:val="22"/>
        </w:rPr>
        <w:t>spending</w:t>
      </w:r>
      <w:r w:rsidRPr="00371DC5">
        <w:rPr>
          <w:rFonts w:eastAsia="Times"/>
          <w:szCs w:val="22"/>
        </w:rPr>
        <w:t xml:space="preserve"> fewer hours </w:t>
      </w:r>
      <w:r w:rsidR="00FC02F7" w:rsidRPr="00371DC5">
        <w:rPr>
          <w:rFonts w:eastAsia="Times"/>
          <w:szCs w:val="22"/>
        </w:rPr>
        <w:t>per week with clients</w:t>
      </w:r>
      <w:r w:rsidRPr="00371DC5">
        <w:rPr>
          <w:rFonts w:eastAsia="Times"/>
          <w:szCs w:val="22"/>
        </w:rPr>
        <w:t xml:space="preserve"> (</w:t>
      </w:r>
      <w:r w:rsidRPr="00371DC5">
        <w:rPr>
          <w:rFonts w:eastAsia="Times"/>
          <w:i/>
          <w:szCs w:val="22"/>
        </w:rPr>
        <w:t>r</w:t>
      </w:r>
      <w:r w:rsidRPr="00371DC5">
        <w:rPr>
          <w:rFonts w:eastAsia="Times"/>
          <w:szCs w:val="22"/>
        </w:rPr>
        <w:t xml:space="preserve">[204] = -.218, </w:t>
      </w:r>
      <w:r w:rsidRPr="00371DC5">
        <w:rPr>
          <w:rFonts w:eastAsia="Times"/>
          <w:i/>
          <w:szCs w:val="22"/>
        </w:rPr>
        <w:t>P</w:t>
      </w:r>
      <w:r w:rsidRPr="00371DC5">
        <w:rPr>
          <w:rFonts w:eastAsia="Times"/>
          <w:szCs w:val="22"/>
        </w:rPr>
        <w:t xml:space="preserve"> = .002) and with the clinician </w:t>
      </w:r>
      <w:r w:rsidR="00A32F5B" w:rsidRPr="00371DC5">
        <w:rPr>
          <w:rFonts w:eastAsia="Times"/>
          <w:szCs w:val="22"/>
        </w:rPr>
        <w:t>spending</w:t>
      </w:r>
      <w:r w:rsidRPr="00371DC5">
        <w:rPr>
          <w:rFonts w:eastAsia="Times"/>
          <w:szCs w:val="22"/>
        </w:rPr>
        <w:t xml:space="preserve"> more sessions with each client before treatment was completed (</w:t>
      </w:r>
      <w:r w:rsidRPr="00371DC5">
        <w:rPr>
          <w:rFonts w:eastAsia="Times"/>
          <w:i/>
          <w:szCs w:val="22"/>
        </w:rPr>
        <w:t>r</w:t>
      </w:r>
      <w:r w:rsidRPr="00371DC5">
        <w:rPr>
          <w:rFonts w:eastAsia="Times"/>
          <w:szCs w:val="22"/>
        </w:rPr>
        <w:t>[191] =</w:t>
      </w:r>
      <w:r w:rsidR="00EA5E32" w:rsidRPr="00371DC5">
        <w:rPr>
          <w:rFonts w:eastAsia="Times"/>
          <w:szCs w:val="22"/>
        </w:rPr>
        <w:t xml:space="preserve"> </w:t>
      </w:r>
      <w:r w:rsidRPr="00371DC5">
        <w:rPr>
          <w:rFonts w:eastAsia="Times"/>
          <w:szCs w:val="22"/>
        </w:rPr>
        <w:t xml:space="preserve">.153, </w:t>
      </w:r>
      <w:r w:rsidRPr="00371DC5">
        <w:rPr>
          <w:rFonts w:eastAsia="Times"/>
          <w:i/>
          <w:szCs w:val="22"/>
        </w:rPr>
        <w:t>P</w:t>
      </w:r>
      <w:r w:rsidRPr="00371DC5">
        <w:rPr>
          <w:rFonts w:eastAsia="Times"/>
          <w:szCs w:val="22"/>
        </w:rPr>
        <w:t xml:space="preserve"> = .035).  There were no significant correlations with any other demographic characteristic (</w:t>
      </w:r>
      <w:r w:rsidRPr="00371DC5">
        <w:rPr>
          <w:rFonts w:eastAsia="Times"/>
          <w:i/>
          <w:szCs w:val="22"/>
        </w:rPr>
        <w:t>P</w:t>
      </w:r>
      <w:r w:rsidRPr="00371DC5">
        <w:rPr>
          <w:rFonts w:eastAsia="Times"/>
          <w:szCs w:val="22"/>
        </w:rPr>
        <w:t xml:space="preserve"> &gt; .15 in all cases).  Nor was there any association of therapist gender with negative attitudes to CBT (</w:t>
      </w:r>
      <w:r w:rsidRPr="00371DC5">
        <w:rPr>
          <w:rFonts w:eastAsia="Times"/>
          <w:i/>
          <w:szCs w:val="22"/>
        </w:rPr>
        <w:t>t</w:t>
      </w:r>
      <w:r w:rsidRPr="00371DC5">
        <w:rPr>
          <w:rFonts w:eastAsia="Times"/>
          <w:szCs w:val="22"/>
        </w:rPr>
        <w:t xml:space="preserve">-test; </w:t>
      </w:r>
      <w:r w:rsidRPr="00371DC5">
        <w:rPr>
          <w:rFonts w:eastAsia="Times"/>
          <w:i/>
          <w:szCs w:val="22"/>
        </w:rPr>
        <w:t>t</w:t>
      </w:r>
      <w:r w:rsidRPr="00371DC5">
        <w:rPr>
          <w:rFonts w:eastAsia="Times"/>
          <w:szCs w:val="22"/>
        </w:rPr>
        <w:t xml:space="preserve"> = 1.06, </w:t>
      </w:r>
      <w:r w:rsidRPr="00371DC5">
        <w:rPr>
          <w:rFonts w:eastAsia="Times"/>
          <w:i/>
          <w:szCs w:val="22"/>
        </w:rPr>
        <w:t>P</w:t>
      </w:r>
      <w:r w:rsidRPr="00371DC5">
        <w:rPr>
          <w:rFonts w:eastAsia="Times"/>
          <w:szCs w:val="22"/>
        </w:rPr>
        <w:t xml:space="preserve"> = .786).  </w:t>
      </w:r>
    </w:p>
    <w:p w14:paraId="346C078B" w14:textId="77777777" w:rsidR="00505B94" w:rsidRPr="00371DC5" w:rsidRDefault="00505B94" w:rsidP="00765AE8">
      <w:pPr>
        <w:widowControl w:val="0"/>
        <w:spacing w:line="480" w:lineRule="auto"/>
        <w:ind w:firstLine="720"/>
        <w:rPr>
          <w:rFonts w:eastAsia="Times"/>
          <w:szCs w:val="22"/>
        </w:rPr>
      </w:pPr>
      <w:r w:rsidRPr="00371DC5">
        <w:rPr>
          <w:rFonts w:eastAsia="Times"/>
          <w:b/>
          <w:szCs w:val="22"/>
        </w:rPr>
        <w:t xml:space="preserve">Theoretical orientation.  </w:t>
      </w:r>
      <w:r w:rsidRPr="00371DC5">
        <w:rPr>
          <w:rFonts w:eastAsia="Times"/>
          <w:szCs w:val="22"/>
        </w:rPr>
        <w:t>The therapists were divided into those who described their work as CBT-based (</w:t>
      </w:r>
      <w:r w:rsidRPr="00371DC5">
        <w:rPr>
          <w:rFonts w:eastAsia="Times"/>
          <w:i/>
          <w:szCs w:val="22"/>
        </w:rPr>
        <w:t>n</w:t>
      </w:r>
      <w:r w:rsidRPr="00371DC5">
        <w:rPr>
          <w:rFonts w:eastAsia="Times"/>
          <w:szCs w:val="22"/>
        </w:rPr>
        <w:t xml:space="preserve"> = 161) and all others (</w:t>
      </w:r>
      <w:r w:rsidRPr="00371DC5">
        <w:rPr>
          <w:rFonts w:eastAsia="Times"/>
          <w:i/>
          <w:szCs w:val="22"/>
        </w:rPr>
        <w:t>n</w:t>
      </w:r>
      <w:r w:rsidRPr="00371DC5">
        <w:rPr>
          <w:rFonts w:eastAsia="Times"/>
          <w:szCs w:val="22"/>
        </w:rPr>
        <w:t xml:space="preserve"> = 43).  The CBT therapists had a mean NACS score of 1.97 (</w:t>
      </w:r>
      <w:r w:rsidRPr="00371DC5">
        <w:rPr>
          <w:rFonts w:eastAsia="Times"/>
          <w:i/>
          <w:szCs w:val="22"/>
        </w:rPr>
        <w:t xml:space="preserve">SD </w:t>
      </w:r>
      <w:r w:rsidRPr="00371DC5">
        <w:rPr>
          <w:rFonts w:eastAsia="Times"/>
          <w:szCs w:val="22"/>
        </w:rPr>
        <w:t>= .87), while the non-CBT therapists had a mean score of 3.90 (</w:t>
      </w:r>
      <w:r w:rsidRPr="00371DC5">
        <w:rPr>
          <w:rFonts w:eastAsia="Times"/>
          <w:i/>
          <w:szCs w:val="22"/>
        </w:rPr>
        <w:t xml:space="preserve">SD </w:t>
      </w:r>
      <w:r w:rsidRPr="00371DC5">
        <w:rPr>
          <w:rFonts w:eastAsia="Times"/>
          <w:szCs w:val="22"/>
        </w:rPr>
        <w:t xml:space="preserve">= 1.1).  An independent-samples </w:t>
      </w:r>
      <w:r w:rsidRPr="00371DC5">
        <w:rPr>
          <w:rFonts w:eastAsia="Times"/>
          <w:i/>
          <w:szCs w:val="22"/>
        </w:rPr>
        <w:t>t</w:t>
      </w:r>
      <w:r w:rsidRPr="00371DC5">
        <w:rPr>
          <w:rFonts w:eastAsia="Times"/>
          <w:szCs w:val="22"/>
        </w:rPr>
        <w:t>-test showed that the non-CBT clinicians held more negative attitudes towards CBT than the CBT clinicians (</w:t>
      </w:r>
      <w:r w:rsidRPr="00371DC5">
        <w:rPr>
          <w:rFonts w:eastAsia="Times"/>
          <w:i/>
          <w:szCs w:val="22"/>
        </w:rPr>
        <w:t>t</w:t>
      </w:r>
      <w:r w:rsidRPr="00371DC5">
        <w:rPr>
          <w:rFonts w:eastAsia="Times"/>
          <w:szCs w:val="22"/>
        </w:rPr>
        <w:t xml:space="preserve">[202] = 11.6, </w:t>
      </w:r>
      <w:r w:rsidRPr="00371DC5">
        <w:rPr>
          <w:rFonts w:eastAsia="Times"/>
          <w:i/>
          <w:szCs w:val="22"/>
        </w:rPr>
        <w:t>P</w:t>
      </w:r>
      <w:r w:rsidRPr="00371DC5">
        <w:rPr>
          <w:rFonts w:eastAsia="Times"/>
          <w:szCs w:val="22"/>
        </w:rPr>
        <w:t xml:space="preserve"> &lt; .001).</w:t>
      </w:r>
    </w:p>
    <w:p w14:paraId="2F6A28ED" w14:textId="77777777" w:rsidR="005C009A" w:rsidRPr="00371DC5" w:rsidRDefault="005C009A" w:rsidP="00765AE8">
      <w:pPr>
        <w:widowControl w:val="0"/>
        <w:spacing w:line="480" w:lineRule="auto"/>
        <w:ind w:firstLine="720"/>
        <w:rPr>
          <w:rFonts w:eastAsia="Times"/>
          <w:szCs w:val="22"/>
        </w:rPr>
      </w:pPr>
      <w:r w:rsidRPr="00371DC5">
        <w:rPr>
          <w:rFonts w:eastAsia="Times"/>
          <w:b/>
          <w:szCs w:val="22"/>
        </w:rPr>
        <w:t>Clinician</w:t>
      </w:r>
      <w:r w:rsidR="00380EE8" w:rsidRPr="00371DC5">
        <w:rPr>
          <w:rFonts w:eastAsia="Times"/>
          <w:b/>
          <w:szCs w:val="22"/>
        </w:rPr>
        <w:t>s'</w:t>
      </w:r>
      <w:r w:rsidRPr="00371DC5">
        <w:rPr>
          <w:rFonts w:eastAsia="Times"/>
          <w:b/>
          <w:szCs w:val="22"/>
        </w:rPr>
        <w:t xml:space="preserve"> internal states.  </w:t>
      </w:r>
      <w:r w:rsidRPr="00371DC5">
        <w:rPr>
          <w:rFonts w:eastAsia="Times"/>
          <w:szCs w:val="22"/>
        </w:rPr>
        <w:t xml:space="preserve">Pearson’s correlations were used to determine whether negative attitudes to CBT (NACS scores) were associated with the clinicians’ levels of anxiety (IUS scores; prospective anxiety </w:t>
      </w:r>
      <w:r w:rsidRPr="00371DC5">
        <w:rPr>
          <w:rFonts w:eastAsia="Times"/>
          <w:i/>
          <w:szCs w:val="22"/>
        </w:rPr>
        <w:t xml:space="preserve">M </w:t>
      </w:r>
      <w:r w:rsidRPr="00371DC5">
        <w:rPr>
          <w:rFonts w:eastAsia="Times"/>
          <w:szCs w:val="22"/>
        </w:rPr>
        <w:t xml:space="preserve">= 12.83, </w:t>
      </w:r>
      <w:r w:rsidRPr="00371DC5">
        <w:rPr>
          <w:rFonts w:eastAsia="Times"/>
          <w:i/>
          <w:szCs w:val="22"/>
        </w:rPr>
        <w:t>SD</w:t>
      </w:r>
      <w:r w:rsidRPr="00371DC5">
        <w:t xml:space="preserve"> = 4.11; inhibitory anxiety </w:t>
      </w:r>
      <w:r w:rsidRPr="00371DC5">
        <w:rPr>
          <w:i/>
        </w:rPr>
        <w:t xml:space="preserve">M </w:t>
      </w:r>
      <w:r w:rsidRPr="00371DC5">
        <w:t>=</w:t>
      </w:r>
      <w:r w:rsidRPr="00371DC5">
        <w:rPr>
          <w:i/>
        </w:rPr>
        <w:t xml:space="preserve"> </w:t>
      </w:r>
      <w:r w:rsidRPr="00371DC5">
        <w:t xml:space="preserve">8.18, </w:t>
      </w:r>
      <w:r w:rsidRPr="00371DC5">
        <w:rPr>
          <w:i/>
        </w:rPr>
        <w:t>SD</w:t>
      </w:r>
      <w:r w:rsidRPr="00371DC5">
        <w:t xml:space="preserve"> = 3.01</w:t>
      </w:r>
      <w:r w:rsidRPr="00371DC5">
        <w:rPr>
          <w:rFonts w:eastAsia="Times"/>
          <w:szCs w:val="22"/>
        </w:rPr>
        <w:t xml:space="preserve">) and self-esteem (RSES scores; </w:t>
      </w:r>
      <w:r w:rsidRPr="00371DC5">
        <w:rPr>
          <w:rFonts w:eastAsia="Times"/>
          <w:i/>
          <w:szCs w:val="22"/>
        </w:rPr>
        <w:t>M</w:t>
      </w:r>
      <w:r w:rsidRPr="00371DC5">
        <w:rPr>
          <w:rFonts w:eastAsia="Times"/>
          <w:szCs w:val="22"/>
        </w:rPr>
        <w:t xml:space="preserve"> = 32.55, </w:t>
      </w:r>
      <w:r w:rsidRPr="00371DC5">
        <w:rPr>
          <w:rFonts w:eastAsia="Times"/>
          <w:i/>
          <w:szCs w:val="22"/>
        </w:rPr>
        <w:t>SD</w:t>
      </w:r>
      <w:r w:rsidRPr="00371DC5">
        <w:t xml:space="preserve"> = 4.90</w:t>
      </w:r>
      <w:r w:rsidRPr="00371DC5">
        <w:rPr>
          <w:rFonts w:eastAsia="Times"/>
          <w:szCs w:val="22"/>
        </w:rPr>
        <w:t xml:space="preserve">).  </w:t>
      </w:r>
      <w:r w:rsidR="00B54BB3" w:rsidRPr="00371DC5">
        <w:rPr>
          <w:rFonts w:eastAsia="Times"/>
          <w:szCs w:val="22"/>
        </w:rPr>
        <w:t>Prospective anxiety</w:t>
      </w:r>
      <w:r w:rsidR="00505B94" w:rsidRPr="00371DC5">
        <w:rPr>
          <w:rFonts w:eastAsia="Times"/>
          <w:szCs w:val="22"/>
        </w:rPr>
        <w:t xml:space="preserve"> </w:t>
      </w:r>
      <w:r w:rsidR="00B54BB3" w:rsidRPr="00371DC5">
        <w:rPr>
          <w:rFonts w:eastAsia="Times"/>
          <w:szCs w:val="22"/>
        </w:rPr>
        <w:t xml:space="preserve">was positively associated with NACS scores </w:t>
      </w:r>
      <w:r w:rsidR="00FC02F7" w:rsidRPr="00371DC5">
        <w:rPr>
          <w:rFonts w:eastAsia="Times"/>
          <w:szCs w:val="22"/>
        </w:rPr>
        <w:t>(</w:t>
      </w:r>
      <w:r w:rsidR="00B54BB3" w:rsidRPr="00371DC5">
        <w:rPr>
          <w:rFonts w:eastAsia="Times"/>
          <w:i/>
          <w:szCs w:val="22"/>
        </w:rPr>
        <w:t xml:space="preserve">r </w:t>
      </w:r>
      <w:r w:rsidR="00B54BB3" w:rsidRPr="00371DC5">
        <w:rPr>
          <w:rFonts w:eastAsia="Times"/>
          <w:szCs w:val="22"/>
        </w:rPr>
        <w:t xml:space="preserve">= .128, </w:t>
      </w:r>
      <w:r w:rsidR="00B54BB3" w:rsidRPr="00371DC5">
        <w:rPr>
          <w:rFonts w:eastAsia="Times"/>
          <w:i/>
          <w:szCs w:val="22"/>
        </w:rPr>
        <w:t>n</w:t>
      </w:r>
      <w:r w:rsidR="00B54BB3" w:rsidRPr="00371DC5">
        <w:rPr>
          <w:rFonts w:eastAsia="Times"/>
          <w:szCs w:val="22"/>
        </w:rPr>
        <w:t xml:space="preserve"> = 202,</w:t>
      </w:r>
      <w:r w:rsidR="00505B94" w:rsidRPr="00371DC5">
        <w:rPr>
          <w:rFonts w:eastAsia="Times"/>
          <w:szCs w:val="22"/>
        </w:rPr>
        <w:t xml:space="preserve"> one-tailed</w:t>
      </w:r>
      <w:r w:rsidR="00B54BB3" w:rsidRPr="00371DC5">
        <w:rPr>
          <w:rFonts w:eastAsia="Times"/>
          <w:szCs w:val="22"/>
        </w:rPr>
        <w:t xml:space="preserve"> </w:t>
      </w:r>
      <w:r w:rsidR="00B54BB3" w:rsidRPr="00371DC5">
        <w:rPr>
          <w:rFonts w:eastAsia="Times"/>
          <w:i/>
          <w:szCs w:val="22"/>
        </w:rPr>
        <w:t>P</w:t>
      </w:r>
      <w:r w:rsidR="00B54BB3" w:rsidRPr="00371DC5">
        <w:rPr>
          <w:rFonts w:eastAsia="Times"/>
          <w:szCs w:val="22"/>
        </w:rPr>
        <w:t xml:space="preserve"> = .034</w:t>
      </w:r>
      <w:r w:rsidR="00FC02F7" w:rsidRPr="00371DC5">
        <w:rPr>
          <w:rFonts w:eastAsia="Times"/>
          <w:szCs w:val="22"/>
        </w:rPr>
        <w:t>)</w:t>
      </w:r>
      <w:r w:rsidR="00B54BB3" w:rsidRPr="00371DC5">
        <w:rPr>
          <w:rFonts w:eastAsia="Times"/>
          <w:szCs w:val="22"/>
        </w:rPr>
        <w:t xml:space="preserve">. </w:t>
      </w:r>
      <w:r w:rsidR="007007A7" w:rsidRPr="00371DC5">
        <w:rPr>
          <w:rFonts w:eastAsia="Times"/>
          <w:szCs w:val="22"/>
        </w:rPr>
        <w:t xml:space="preserve"> </w:t>
      </w:r>
      <w:r w:rsidR="00A32F5B" w:rsidRPr="00371DC5">
        <w:rPr>
          <w:rFonts w:eastAsia="Times"/>
          <w:szCs w:val="22"/>
        </w:rPr>
        <w:t>However, n</w:t>
      </w:r>
      <w:r w:rsidR="00B54BB3" w:rsidRPr="00371DC5">
        <w:rPr>
          <w:rFonts w:eastAsia="Times"/>
          <w:szCs w:val="22"/>
        </w:rPr>
        <w:t>either inhibitory anxiety or RSES scores correlated significantly with NACS scores (</w:t>
      </w:r>
      <w:r w:rsidRPr="00371DC5">
        <w:rPr>
          <w:rFonts w:eastAsia="Times"/>
          <w:szCs w:val="22"/>
        </w:rPr>
        <w:t xml:space="preserve">IUS Inhibitory anxiety: </w:t>
      </w:r>
      <w:r w:rsidRPr="00371DC5">
        <w:rPr>
          <w:rFonts w:eastAsia="Times"/>
          <w:i/>
          <w:szCs w:val="22"/>
        </w:rPr>
        <w:t>r</w:t>
      </w:r>
      <w:r w:rsidRPr="00371DC5">
        <w:rPr>
          <w:rFonts w:eastAsia="Times"/>
          <w:szCs w:val="22"/>
        </w:rPr>
        <w:t xml:space="preserve"> = .045, </w:t>
      </w:r>
      <w:r w:rsidRPr="00371DC5">
        <w:rPr>
          <w:rFonts w:eastAsia="Times"/>
          <w:i/>
          <w:szCs w:val="22"/>
        </w:rPr>
        <w:t>P</w:t>
      </w:r>
      <w:r w:rsidRPr="00371DC5">
        <w:rPr>
          <w:rFonts w:eastAsia="Times"/>
          <w:szCs w:val="22"/>
        </w:rPr>
        <w:t xml:space="preserve"> = .52; RSES: </w:t>
      </w:r>
      <w:r w:rsidRPr="00371DC5">
        <w:rPr>
          <w:rFonts w:eastAsia="Times"/>
          <w:i/>
          <w:szCs w:val="22"/>
        </w:rPr>
        <w:t>r</w:t>
      </w:r>
      <w:r w:rsidRPr="00371DC5">
        <w:rPr>
          <w:rFonts w:eastAsia="Times"/>
          <w:szCs w:val="22"/>
        </w:rPr>
        <w:t xml:space="preserve"> = -.081, </w:t>
      </w:r>
      <w:r w:rsidRPr="00371DC5">
        <w:rPr>
          <w:rFonts w:eastAsia="Times"/>
          <w:i/>
          <w:szCs w:val="22"/>
        </w:rPr>
        <w:t>P</w:t>
      </w:r>
      <w:r w:rsidRPr="00371DC5">
        <w:rPr>
          <w:rFonts w:eastAsia="Times"/>
          <w:szCs w:val="22"/>
        </w:rPr>
        <w:t xml:space="preserve"> = .25).</w:t>
      </w:r>
    </w:p>
    <w:p w14:paraId="16B0E63D" w14:textId="77777777" w:rsidR="005C009A" w:rsidRPr="00371DC5" w:rsidRDefault="005C009A" w:rsidP="00765AE8">
      <w:pPr>
        <w:widowControl w:val="0"/>
        <w:spacing w:line="480" w:lineRule="auto"/>
        <w:rPr>
          <w:b/>
        </w:rPr>
      </w:pPr>
      <w:r w:rsidRPr="00371DC5">
        <w:rPr>
          <w:b/>
        </w:rPr>
        <w:t>Associations between internal states and techniques</w:t>
      </w:r>
    </w:p>
    <w:p w14:paraId="1B7D7958" w14:textId="77777777" w:rsidR="005C009A" w:rsidRPr="00371DC5" w:rsidRDefault="005C009A" w:rsidP="00765AE8">
      <w:pPr>
        <w:widowControl w:val="0"/>
        <w:spacing w:line="480" w:lineRule="auto"/>
        <w:ind w:firstLine="720"/>
      </w:pPr>
      <w:r w:rsidRPr="00371DC5">
        <w:rPr>
          <w:rFonts w:eastAsia="Times"/>
          <w:szCs w:val="28"/>
        </w:rPr>
        <w:lastRenderedPageBreak/>
        <w:t xml:space="preserve">Multiple linear regressions were </w:t>
      </w:r>
      <w:r w:rsidR="00505B94" w:rsidRPr="00371DC5">
        <w:rPr>
          <w:rFonts w:eastAsia="Times"/>
          <w:szCs w:val="28"/>
        </w:rPr>
        <w:t>used</w:t>
      </w:r>
      <w:r w:rsidRPr="00371DC5">
        <w:rPr>
          <w:rFonts w:eastAsia="Times"/>
          <w:szCs w:val="28"/>
        </w:rPr>
        <w:t xml:space="preserve"> to determine </w:t>
      </w:r>
      <w:r w:rsidR="00505B94" w:rsidRPr="00371DC5">
        <w:rPr>
          <w:rFonts w:eastAsia="Times"/>
          <w:szCs w:val="28"/>
        </w:rPr>
        <w:t xml:space="preserve">whether </w:t>
      </w:r>
      <w:r w:rsidR="00B24700" w:rsidRPr="00371DC5">
        <w:rPr>
          <w:rFonts w:eastAsia="Times"/>
          <w:szCs w:val="28"/>
        </w:rPr>
        <w:t>attitudes</w:t>
      </w:r>
      <w:r w:rsidRPr="00371DC5">
        <w:rPr>
          <w:rFonts w:eastAsia="Times"/>
          <w:szCs w:val="28"/>
        </w:rPr>
        <w:t xml:space="preserve"> </w:t>
      </w:r>
      <w:r w:rsidR="00505B94" w:rsidRPr="00371DC5">
        <w:rPr>
          <w:rFonts w:eastAsia="Times"/>
          <w:szCs w:val="28"/>
        </w:rPr>
        <w:t xml:space="preserve">(NACS scores) </w:t>
      </w:r>
      <w:r w:rsidRPr="00371DC5">
        <w:rPr>
          <w:rFonts w:eastAsia="Times"/>
          <w:szCs w:val="28"/>
        </w:rPr>
        <w:t>or</w:t>
      </w:r>
      <w:r w:rsidR="00B24700" w:rsidRPr="00371DC5">
        <w:rPr>
          <w:rFonts w:eastAsia="Times"/>
          <w:szCs w:val="28"/>
        </w:rPr>
        <w:t xml:space="preserve"> other</w:t>
      </w:r>
      <w:r w:rsidRPr="00371DC5">
        <w:rPr>
          <w:rFonts w:eastAsia="Times"/>
          <w:szCs w:val="28"/>
        </w:rPr>
        <w:t xml:space="preserve"> internal traits (</w:t>
      </w:r>
      <w:r w:rsidR="00B24700" w:rsidRPr="00371DC5">
        <w:t>i.e., anxiety and</w:t>
      </w:r>
      <w:r w:rsidRPr="00371DC5">
        <w:t xml:space="preserve"> self-esteem) predicted technique use.  Table 3 shows the </w:t>
      </w:r>
      <w:r w:rsidR="00A32F5B" w:rsidRPr="00371DC5">
        <w:t xml:space="preserve">associations </w:t>
      </w:r>
      <w:r w:rsidRPr="00371DC5">
        <w:t xml:space="preserve">between clinician internal traits and each cluster of technique types. </w:t>
      </w:r>
    </w:p>
    <w:p w14:paraId="37A4EDE0" w14:textId="77777777" w:rsidR="005C009A" w:rsidRPr="00371DC5" w:rsidRDefault="005C009A" w:rsidP="00765AE8">
      <w:pPr>
        <w:widowControl w:val="0"/>
        <w:spacing w:line="480" w:lineRule="auto"/>
        <w:jc w:val="center"/>
      </w:pPr>
      <w:r w:rsidRPr="00371DC5">
        <w:t>________________________________</w:t>
      </w:r>
    </w:p>
    <w:p w14:paraId="4D467A19" w14:textId="77777777" w:rsidR="005C009A" w:rsidRPr="00371DC5" w:rsidRDefault="005C009A" w:rsidP="00765AE8">
      <w:pPr>
        <w:widowControl w:val="0"/>
        <w:spacing w:line="480" w:lineRule="auto"/>
        <w:jc w:val="center"/>
      </w:pPr>
      <w:r w:rsidRPr="00371DC5">
        <w:t>Insert Table 3 about here</w:t>
      </w:r>
    </w:p>
    <w:p w14:paraId="23C6F51D" w14:textId="77777777" w:rsidR="005C009A" w:rsidRPr="00371DC5" w:rsidRDefault="005C009A" w:rsidP="00765AE8">
      <w:pPr>
        <w:widowControl w:val="0"/>
        <w:spacing w:line="480" w:lineRule="auto"/>
        <w:jc w:val="center"/>
      </w:pPr>
      <w:r w:rsidRPr="00371DC5">
        <w:t>________________________________</w:t>
      </w:r>
    </w:p>
    <w:p w14:paraId="22B61FD2" w14:textId="77777777" w:rsidR="00505B94" w:rsidRPr="00371DC5" w:rsidRDefault="00505B94" w:rsidP="00765AE8">
      <w:pPr>
        <w:widowControl w:val="0"/>
        <w:spacing w:line="480" w:lineRule="auto"/>
      </w:pPr>
    </w:p>
    <w:p w14:paraId="3FEF7D4D" w14:textId="77777777" w:rsidR="00505B94" w:rsidRPr="00371DC5" w:rsidRDefault="00505B94" w:rsidP="00765AE8">
      <w:pPr>
        <w:widowControl w:val="0"/>
        <w:spacing w:line="480" w:lineRule="auto"/>
        <w:ind w:firstLine="720"/>
      </w:pPr>
      <w:r w:rsidRPr="00371DC5">
        <w:t>Considering the clinicians’ reported use of the different types of technique, there were two patterns of association</w:t>
      </w:r>
      <w:r w:rsidR="00E11688" w:rsidRPr="00371DC5">
        <w:t xml:space="preserve">.  </w:t>
      </w:r>
      <w:r w:rsidRPr="00371DC5">
        <w:t xml:space="preserve">First, more negative attitudes towards CBT (i.e., higher scores on the NACS) predicted less frequent use of psychoeducation and cognitive techniques.  In contrast, </w:t>
      </w:r>
      <w:r w:rsidR="009E5F5A" w:rsidRPr="00371DC5">
        <w:t xml:space="preserve">higher levels of </w:t>
      </w:r>
      <w:r w:rsidRPr="00371DC5">
        <w:t xml:space="preserve">clinician anxiety predicted </w:t>
      </w:r>
      <w:r w:rsidR="009E5F5A" w:rsidRPr="00371DC5">
        <w:t>lower</w:t>
      </w:r>
      <w:r w:rsidRPr="00371DC5">
        <w:t xml:space="preserve"> use of </w:t>
      </w:r>
      <w:r w:rsidR="008A34B3" w:rsidRPr="00371DC5">
        <w:t>behavioural</w:t>
      </w:r>
      <w:r w:rsidRPr="00371DC5">
        <w:t xml:space="preserve"> techniques.  </w:t>
      </w:r>
    </w:p>
    <w:p w14:paraId="61A6CDC9" w14:textId="370F05A8" w:rsidR="00CE4BE7" w:rsidRPr="00371DC5" w:rsidRDefault="005C009A" w:rsidP="00765AE8">
      <w:pPr>
        <w:widowControl w:val="0"/>
        <w:spacing w:line="480" w:lineRule="auto"/>
      </w:pPr>
      <w:r w:rsidRPr="00371DC5">
        <w:tab/>
        <w:t xml:space="preserve">The pattern of findings relating to confidence in using CBT methods was different.  Table 3 shows that both high self-esteem and low anxiety were </w:t>
      </w:r>
      <w:r w:rsidR="00A32F5B" w:rsidRPr="00371DC5">
        <w:t xml:space="preserve">associated with </w:t>
      </w:r>
      <w:r w:rsidRPr="00371DC5">
        <w:t xml:space="preserve">clinicians having greater confidence in using all techniques (CBT or non-CBT).  Negative attitudes towards CBT (NACS score) were predictive </w:t>
      </w:r>
      <w:r w:rsidR="00FA3592" w:rsidRPr="00371DC5">
        <w:t xml:space="preserve">only </w:t>
      </w:r>
      <w:r w:rsidRPr="00371DC5">
        <w:t xml:space="preserve">of greater confidence </w:t>
      </w:r>
      <w:r w:rsidR="00A32F5B" w:rsidRPr="00371DC5">
        <w:t xml:space="preserve">in </w:t>
      </w:r>
      <w:r w:rsidRPr="00371DC5">
        <w:t>using non-CBT techniques.</w:t>
      </w:r>
    </w:p>
    <w:p w14:paraId="5731778D" w14:textId="77777777" w:rsidR="00430BF8" w:rsidRPr="00371DC5" w:rsidRDefault="00430BF8" w:rsidP="00765AE8">
      <w:pPr>
        <w:widowControl w:val="0"/>
        <w:spacing w:line="480" w:lineRule="auto"/>
        <w:rPr>
          <w:b/>
        </w:rPr>
      </w:pPr>
      <w:r w:rsidRPr="00371DC5">
        <w:rPr>
          <w:b/>
        </w:rPr>
        <w:t xml:space="preserve">Associations between clinician characteristics and techniques used </w:t>
      </w:r>
    </w:p>
    <w:p w14:paraId="1FC44CC4" w14:textId="77777777" w:rsidR="00FB1B80" w:rsidRPr="00371DC5" w:rsidRDefault="007B4B18" w:rsidP="00765AE8">
      <w:pPr>
        <w:widowControl w:val="0"/>
        <w:spacing w:line="480" w:lineRule="auto"/>
      </w:pPr>
      <w:r w:rsidRPr="00371DC5">
        <w:tab/>
      </w:r>
      <w:r w:rsidR="00633A72" w:rsidRPr="00371DC5">
        <w:t xml:space="preserve">In order to determine whether clinicians’ theoretical orientation added to these effects of emotions and attitudes, further </w:t>
      </w:r>
      <w:r w:rsidR="00430BF8" w:rsidRPr="00371DC5">
        <w:t>multiple linear regressions were conducted</w:t>
      </w:r>
      <w:r w:rsidR="006F7553" w:rsidRPr="00371DC5">
        <w:t>, as shown in Table 4 (‘CBT’ as an orientation was omitted, to reduce the risk of multicollinearity)</w:t>
      </w:r>
      <w:r w:rsidR="00BA797F" w:rsidRPr="00371DC5">
        <w:t xml:space="preserve">.  </w:t>
      </w:r>
      <w:r w:rsidR="006F7553" w:rsidRPr="00371DC5">
        <w:t xml:space="preserve">The existing effects of NACS scores and mood were essentially unchanged. However it is noteworthy that clinicians who described their orientation as ‘psychodynamic’ were less likely to use a range of CBT techniques, though there was no impact of this orientation on confidence in use of the different techniques. </w:t>
      </w:r>
    </w:p>
    <w:p w14:paraId="48C1CE4C" w14:textId="77777777" w:rsidR="00FB1B80" w:rsidRPr="00371DC5" w:rsidRDefault="00FB1B80" w:rsidP="00FB1B80">
      <w:pPr>
        <w:widowControl w:val="0"/>
        <w:spacing w:line="480" w:lineRule="auto"/>
        <w:jc w:val="center"/>
      </w:pPr>
      <w:r w:rsidRPr="00371DC5">
        <w:t>________________________________</w:t>
      </w:r>
    </w:p>
    <w:p w14:paraId="4E14244F" w14:textId="77777777" w:rsidR="00FB1B80" w:rsidRPr="00371DC5" w:rsidRDefault="00FB1B80" w:rsidP="00FB1B80">
      <w:pPr>
        <w:widowControl w:val="0"/>
        <w:spacing w:line="480" w:lineRule="auto"/>
        <w:jc w:val="center"/>
      </w:pPr>
      <w:r w:rsidRPr="00371DC5">
        <w:lastRenderedPageBreak/>
        <w:t>Insert Table 4 about here</w:t>
      </w:r>
    </w:p>
    <w:p w14:paraId="75C1B759" w14:textId="77777777" w:rsidR="00FB1B80" w:rsidRPr="00371DC5" w:rsidRDefault="00FB1B80" w:rsidP="00FB1B80">
      <w:pPr>
        <w:widowControl w:val="0"/>
        <w:spacing w:line="480" w:lineRule="auto"/>
        <w:jc w:val="center"/>
      </w:pPr>
      <w:r w:rsidRPr="00371DC5">
        <w:t>________________________________</w:t>
      </w:r>
    </w:p>
    <w:p w14:paraId="23A3CA91" w14:textId="77777777" w:rsidR="00FB1B80" w:rsidRPr="00371DC5" w:rsidRDefault="00FB1B80" w:rsidP="00FB1B80">
      <w:pPr>
        <w:widowControl w:val="0"/>
        <w:spacing w:line="480" w:lineRule="auto"/>
        <w:jc w:val="center"/>
      </w:pPr>
    </w:p>
    <w:p w14:paraId="5D9EF29E" w14:textId="77777777" w:rsidR="005C009A" w:rsidRPr="00371DC5" w:rsidRDefault="005C009A" w:rsidP="00765AE8">
      <w:pPr>
        <w:widowControl w:val="0"/>
        <w:spacing w:line="480" w:lineRule="auto"/>
        <w:jc w:val="center"/>
        <w:rPr>
          <w:rFonts w:eastAsia="Times"/>
          <w:b/>
          <w:szCs w:val="28"/>
        </w:rPr>
      </w:pPr>
      <w:r w:rsidRPr="00371DC5">
        <w:rPr>
          <w:rFonts w:eastAsia="Times"/>
          <w:b/>
          <w:szCs w:val="28"/>
        </w:rPr>
        <w:t>Discussion</w:t>
      </w:r>
    </w:p>
    <w:p w14:paraId="35CE7E5A" w14:textId="0B25E44D" w:rsidR="00773743" w:rsidRPr="00371DC5" w:rsidRDefault="00174DD1" w:rsidP="00765AE8">
      <w:pPr>
        <w:widowControl w:val="0"/>
        <w:spacing w:line="480" w:lineRule="auto"/>
        <w:rPr>
          <w:rFonts w:eastAsia="Times"/>
          <w:szCs w:val="28"/>
        </w:rPr>
      </w:pPr>
      <w:r w:rsidRPr="00371DC5">
        <w:rPr>
          <w:rFonts w:eastAsia="Times"/>
          <w:szCs w:val="28"/>
        </w:rPr>
        <w:tab/>
        <w:t>Th</w:t>
      </w:r>
      <w:r w:rsidR="00EF284F" w:rsidRPr="00371DC5">
        <w:rPr>
          <w:rFonts w:eastAsia="Times"/>
          <w:szCs w:val="28"/>
        </w:rPr>
        <w:t xml:space="preserve">is study has developed </w:t>
      </w:r>
      <w:r w:rsidRPr="00371DC5">
        <w:rPr>
          <w:rFonts w:eastAsia="Times"/>
          <w:szCs w:val="28"/>
        </w:rPr>
        <w:t>a measure to assess cli</w:t>
      </w:r>
      <w:r w:rsidR="002B0649" w:rsidRPr="00371DC5">
        <w:rPr>
          <w:rFonts w:eastAsia="Times"/>
          <w:szCs w:val="28"/>
        </w:rPr>
        <w:t>nicians' attitudes towards CBT</w:t>
      </w:r>
      <w:r w:rsidR="00032144" w:rsidRPr="00371DC5">
        <w:rPr>
          <w:rFonts w:eastAsia="Times"/>
          <w:szCs w:val="28"/>
        </w:rPr>
        <w:t xml:space="preserve"> – the </w:t>
      </w:r>
      <w:r w:rsidR="00FA3592" w:rsidRPr="00371DC5">
        <w:rPr>
          <w:rFonts w:eastAsia="Times"/>
          <w:szCs w:val="28"/>
        </w:rPr>
        <w:t>Negative Attitudes toward CBT Scale (</w:t>
      </w:r>
      <w:r w:rsidR="00032144" w:rsidRPr="00371DC5">
        <w:rPr>
          <w:rFonts w:eastAsia="Times"/>
          <w:szCs w:val="28"/>
        </w:rPr>
        <w:t>NACS</w:t>
      </w:r>
      <w:r w:rsidR="00FA3592" w:rsidRPr="00371DC5">
        <w:rPr>
          <w:rFonts w:eastAsia="Times"/>
          <w:szCs w:val="28"/>
        </w:rPr>
        <w:t>)</w:t>
      </w:r>
      <w:r w:rsidR="002B0649" w:rsidRPr="00371DC5">
        <w:rPr>
          <w:rFonts w:eastAsia="Times"/>
          <w:szCs w:val="28"/>
        </w:rPr>
        <w:t xml:space="preserve">.  Clinicians treating anxiety disorders were asked to complete the NACS and </w:t>
      </w:r>
      <w:r w:rsidR="00C159DB" w:rsidRPr="00371DC5">
        <w:rPr>
          <w:rFonts w:eastAsia="Times"/>
          <w:szCs w:val="28"/>
        </w:rPr>
        <w:t xml:space="preserve">to </w:t>
      </w:r>
      <w:r w:rsidR="002B0649" w:rsidRPr="00371DC5">
        <w:rPr>
          <w:rFonts w:eastAsia="Times"/>
          <w:szCs w:val="28"/>
        </w:rPr>
        <w:t xml:space="preserve">report on the therapy techniques </w:t>
      </w:r>
      <w:r w:rsidR="00EF284F" w:rsidRPr="00371DC5">
        <w:rPr>
          <w:rFonts w:eastAsia="Times"/>
          <w:szCs w:val="28"/>
        </w:rPr>
        <w:t xml:space="preserve">that </w:t>
      </w:r>
      <w:r w:rsidR="002B0649" w:rsidRPr="00371DC5">
        <w:rPr>
          <w:rFonts w:eastAsia="Times"/>
          <w:szCs w:val="28"/>
        </w:rPr>
        <w:t>the</w:t>
      </w:r>
      <w:r w:rsidR="00EF284F" w:rsidRPr="00371DC5">
        <w:rPr>
          <w:rFonts w:eastAsia="Times"/>
          <w:szCs w:val="28"/>
        </w:rPr>
        <w:t>y</w:t>
      </w:r>
      <w:r w:rsidR="002B0649" w:rsidRPr="00371DC5">
        <w:rPr>
          <w:rFonts w:eastAsia="Times"/>
          <w:szCs w:val="28"/>
        </w:rPr>
        <w:t xml:space="preserve"> used.  The NACS </w:t>
      </w:r>
      <w:r w:rsidR="00EF284F" w:rsidRPr="00371DC5">
        <w:rPr>
          <w:rFonts w:eastAsia="Times"/>
          <w:szCs w:val="28"/>
        </w:rPr>
        <w:t xml:space="preserve">had </w:t>
      </w:r>
      <w:r w:rsidR="009E5F5A" w:rsidRPr="00371DC5">
        <w:rPr>
          <w:rFonts w:eastAsia="Times"/>
          <w:szCs w:val="28"/>
        </w:rPr>
        <w:t xml:space="preserve">a single </w:t>
      </w:r>
      <w:r w:rsidR="00D949D3" w:rsidRPr="00371DC5">
        <w:rPr>
          <w:rFonts w:eastAsia="Times"/>
          <w:szCs w:val="28"/>
        </w:rPr>
        <w:t>factor</w:t>
      </w:r>
      <w:r w:rsidR="009E5F5A" w:rsidRPr="00371DC5">
        <w:rPr>
          <w:rFonts w:eastAsia="Times"/>
          <w:szCs w:val="28"/>
        </w:rPr>
        <w:t>,</w:t>
      </w:r>
      <w:r w:rsidR="00D949D3" w:rsidRPr="00371DC5">
        <w:rPr>
          <w:rFonts w:eastAsia="Times"/>
          <w:szCs w:val="28"/>
        </w:rPr>
        <w:t xml:space="preserve"> wi</w:t>
      </w:r>
      <w:r w:rsidR="00776566" w:rsidRPr="00371DC5">
        <w:rPr>
          <w:rFonts w:eastAsia="Times"/>
          <w:szCs w:val="28"/>
        </w:rPr>
        <w:t>t</w:t>
      </w:r>
      <w:r w:rsidR="002B0649" w:rsidRPr="00371DC5">
        <w:rPr>
          <w:rFonts w:eastAsia="Times"/>
          <w:szCs w:val="28"/>
        </w:rPr>
        <w:t>h strong internal consistency</w:t>
      </w:r>
      <w:r w:rsidR="000E135E" w:rsidRPr="00371DC5">
        <w:rPr>
          <w:rFonts w:eastAsia="Times"/>
          <w:szCs w:val="28"/>
        </w:rPr>
        <w:t xml:space="preserve">.  </w:t>
      </w:r>
      <w:r w:rsidR="00EF284F" w:rsidRPr="00371DC5">
        <w:rPr>
          <w:rFonts w:eastAsia="Times"/>
          <w:szCs w:val="28"/>
        </w:rPr>
        <w:t>Validation included testing associations with clinicians’ characteristics and with their reported use of CBT and non-CBT techniques</w:t>
      </w:r>
      <w:r w:rsidR="00C15368" w:rsidRPr="00371DC5">
        <w:rPr>
          <w:rFonts w:eastAsia="Times"/>
          <w:szCs w:val="28"/>
        </w:rPr>
        <w:t xml:space="preserve">.  </w:t>
      </w:r>
      <w:r w:rsidR="00776566" w:rsidRPr="00371DC5">
        <w:rPr>
          <w:rFonts w:eastAsia="Times"/>
          <w:szCs w:val="28"/>
        </w:rPr>
        <w:t>Clinicians who reported CBT as their primary theoretical orientation reported less negative attitudes towards CBT than clinicians who reported using other approaches</w:t>
      </w:r>
      <w:r w:rsidR="00EF284F" w:rsidRPr="00371DC5">
        <w:rPr>
          <w:rFonts w:eastAsia="Times"/>
          <w:szCs w:val="28"/>
        </w:rPr>
        <w:t>, while clinicians</w:t>
      </w:r>
      <w:r w:rsidR="00773743" w:rsidRPr="00371DC5">
        <w:rPr>
          <w:rFonts w:eastAsia="Times"/>
          <w:szCs w:val="28"/>
        </w:rPr>
        <w:t>’</w:t>
      </w:r>
      <w:r w:rsidR="00EF284F" w:rsidRPr="00371DC5">
        <w:rPr>
          <w:rFonts w:eastAsia="Times"/>
          <w:szCs w:val="28"/>
        </w:rPr>
        <w:t xml:space="preserve"> prospective anxiety was associated with negative attitudes to CBT</w:t>
      </w:r>
      <w:r w:rsidR="00776566" w:rsidRPr="00371DC5">
        <w:rPr>
          <w:rFonts w:eastAsia="Times"/>
          <w:szCs w:val="28"/>
        </w:rPr>
        <w:t>.</w:t>
      </w:r>
      <w:r w:rsidR="009975F5" w:rsidRPr="00371DC5">
        <w:rPr>
          <w:rFonts w:eastAsia="Times"/>
          <w:szCs w:val="28"/>
        </w:rPr>
        <w:t xml:space="preserve"> </w:t>
      </w:r>
      <w:r w:rsidR="00776566" w:rsidRPr="00371DC5">
        <w:rPr>
          <w:rFonts w:eastAsia="Times"/>
          <w:szCs w:val="28"/>
        </w:rPr>
        <w:t xml:space="preserve"> </w:t>
      </w:r>
      <w:r w:rsidR="00773743" w:rsidRPr="00371DC5">
        <w:rPr>
          <w:rFonts w:eastAsia="Times"/>
          <w:szCs w:val="28"/>
        </w:rPr>
        <w:t>More time spent with patients overall and fewer sessions offered to patients were also correlated with less negative attitudes to CBT.</w:t>
      </w:r>
    </w:p>
    <w:p w14:paraId="4DD20C33" w14:textId="77777777" w:rsidR="00EF284F" w:rsidRPr="00371DC5" w:rsidRDefault="00773743" w:rsidP="00765AE8">
      <w:pPr>
        <w:widowControl w:val="0"/>
        <w:spacing w:line="480" w:lineRule="auto"/>
        <w:rPr>
          <w:rFonts w:eastAsia="Times"/>
          <w:szCs w:val="28"/>
        </w:rPr>
      </w:pPr>
      <w:r w:rsidRPr="00371DC5">
        <w:rPr>
          <w:rFonts w:eastAsia="Times"/>
          <w:szCs w:val="28"/>
        </w:rPr>
        <w:tab/>
        <w:t>Attitudes to CBT and emotional factors appeared to play different roles in clinicians’ implementation of CBT and non-CBT techniques.</w:t>
      </w:r>
      <w:r w:rsidR="00776566" w:rsidRPr="00371DC5">
        <w:rPr>
          <w:rFonts w:eastAsia="Times"/>
          <w:szCs w:val="28"/>
        </w:rPr>
        <w:t xml:space="preserve"> </w:t>
      </w:r>
      <w:r w:rsidR="009975F5" w:rsidRPr="00371DC5">
        <w:rPr>
          <w:rFonts w:eastAsia="Times"/>
          <w:szCs w:val="28"/>
        </w:rPr>
        <w:t xml:space="preserve"> </w:t>
      </w:r>
      <w:r w:rsidRPr="00371DC5">
        <w:rPr>
          <w:rFonts w:eastAsia="Times"/>
          <w:szCs w:val="28"/>
        </w:rPr>
        <w:t xml:space="preserve">Negative attitudes to CBT were associated with less frequent use of general/psychoeducational and cognitive methods, while anxiety (intolerance of </w:t>
      </w:r>
      <w:r w:rsidR="0096259A" w:rsidRPr="00371DC5">
        <w:rPr>
          <w:rFonts w:eastAsia="Times"/>
          <w:szCs w:val="28"/>
        </w:rPr>
        <w:t xml:space="preserve">uncertainty) was associated with lower use of </w:t>
      </w:r>
      <w:r w:rsidR="008A34B3" w:rsidRPr="00371DC5">
        <w:rPr>
          <w:rFonts w:eastAsia="Times"/>
          <w:szCs w:val="28"/>
        </w:rPr>
        <w:t>behavioural</w:t>
      </w:r>
      <w:r w:rsidR="0096259A" w:rsidRPr="00371DC5">
        <w:rPr>
          <w:rFonts w:eastAsia="Times"/>
          <w:szCs w:val="28"/>
        </w:rPr>
        <w:t xml:space="preserve"> methods.</w:t>
      </w:r>
      <w:r w:rsidR="008A34B3" w:rsidRPr="00371DC5">
        <w:rPr>
          <w:rFonts w:eastAsia="Times"/>
          <w:szCs w:val="28"/>
        </w:rPr>
        <w:t xml:space="preserve"> </w:t>
      </w:r>
      <w:r w:rsidR="0096259A" w:rsidRPr="00371DC5">
        <w:rPr>
          <w:rFonts w:eastAsia="Times"/>
          <w:szCs w:val="28"/>
        </w:rPr>
        <w:t xml:space="preserve"> In contrast, confidence in using CBT methods was more consistently associated with low anxiety and positive self-esteem.</w:t>
      </w:r>
      <w:r w:rsidR="00CB599B" w:rsidRPr="00371DC5">
        <w:rPr>
          <w:rFonts w:eastAsia="Times"/>
          <w:szCs w:val="28"/>
        </w:rPr>
        <w:t xml:space="preserve"> </w:t>
      </w:r>
      <w:r w:rsidR="008A34B3" w:rsidRPr="00371DC5">
        <w:rPr>
          <w:rFonts w:eastAsia="Times"/>
          <w:szCs w:val="28"/>
        </w:rPr>
        <w:t xml:space="preserve"> </w:t>
      </w:r>
      <w:r w:rsidR="00CB599B" w:rsidRPr="00371DC5">
        <w:rPr>
          <w:rFonts w:eastAsia="Times"/>
          <w:szCs w:val="28"/>
        </w:rPr>
        <w:t>Confidence using non-CBT methods was associated with negative attitudes to CBT, low anxiety, and positive self-esteem.</w:t>
      </w:r>
    </w:p>
    <w:p w14:paraId="0E2AE1A3" w14:textId="77777777" w:rsidR="00612BDB" w:rsidRPr="00371DC5" w:rsidRDefault="00776566" w:rsidP="00765AE8">
      <w:pPr>
        <w:widowControl w:val="0"/>
        <w:spacing w:line="480" w:lineRule="auto"/>
        <w:rPr>
          <w:rFonts w:eastAsia="Times"/>
          <w:szCs w:val="28"/>
        </w:rPr>
      </w:pPr>
      <w:r w:rsidRPr="00371DC5">
        <w:rPr>
          <w:rFonts w:eastAsia="Times"/>
          <w:szCs w:val="28"/>
        </w:rPr>
        <w:tab/>
        <w:t xml:space="preserve">Overall, these findings support </w:t>
      </w:r>
      <w:r w:rsidR="00CC72B8" w:rsidRPr="00371DC5">
        <w:rPr>
          <w:rFonts w:eastAsia="Times"/>
          <w:szCs w:val="28"/>
        </w:rPr>
        <w:t xml:space="preserve">and extend </w:t>
      </w:r>
      <w:r w:rsidR="0096259A" w:rsidRPr="00371DC5">
        <w:rPr>
          <w:rFonts w:eastAsia="Times"/>
          <w:szCs w:val="28"/>
        </w:rPr>
        <w:t xml:space="preserve">the conclusion </w:t>
      </w:r>
      <w:r w:rsidRPr="00371DC5">
        <w:rPr>
          <w:rFonts w:eastAsia="Times"/>
          <w:szCs w:val="28"/>
        </w:rPr>
        <w:t>(</w:t>
      </w:r>
      <w:r w:rsidR="0096259A" w:rsidRPr="00371DC5">
        <w:rPr>
          <w:rFonts w:eastAsia="Times"/>
          <w:szCs w:val="28"/>
        </w:rPr>
        <w:t xml:space="preserve">e.g., </w:t>
      </w:r>
      <w:r w:rsidRPr="00371DC5">
        <w:rPr>
          <w:rFonts w:eastAsia="Times"/>
          <w:szCs w:val="28"/>
        </w:rPr>
        <w:t>Deacon et al.</w:t>
      </w:r>
      <w:r w:rsidR="0096259A" w:rsidRPr="00371DC5">
        <w:rPr>
          <w:rFonts w:eastAsia="Times"/>
          <w:szCs w:val="28"/>
        </w:rPr>
        <w:t>,</w:t>
      </w:r>
      <w:r w:rsidRPr="00371DC5">
        <w:rPr>
          <w:rFonts w:eastAsia="Times"/>
          <w:szCs w:val="28"/>
        </w:rPr>
        <w:t xml:space="preserve"> 2013) that negative attitudes </w:t>
      </w:r>
      <w:r w:rsidR="0096259A" w:rsidRPr="00371DC5">
        <w:rPr>
          <w:rFonts w:eastAsia="Times"/>
          <w:szCs w:val="28"/>
        </w:rPr>
        <w:t xml:space="preserve">to CBT </w:t>
      </w:r>
      <w:r w:rsidR="00C159DB" w:rsidRPr="00371DC5">
        <w:rPr>
          <w:rFonts w:eastAsia="Times"/>
          <w:szCs w:val="28"/>
        </w:rPr>
        <w:t>a</w:t>
      </w:r>
      <w:r w:rsidRPr="00371DC5">
        <w:rPr>
          <w:rFonts w:eastAsia="Times"/>
          <w:szCs w:val="28"/>
        </w:rPr>
        <w:t xml:space="preserve">ffect </w:t>
      </w:r>
      <w:r w:rsidR="0096259A" w:rsidRPr="00371DC5">
        <w:rPr>
          <w:rFonts w:eastAsia="Times"/>
          <w:szCs w:val="28"/>
        </w:rPr>
        <w:t xml:space="preserve">how clinicians deliver this </w:t>
      </w:r>
      <w:r w:rsidR="000C395E" w:rsidRPr="00371DC5">
        <w:rPr>
          <w:rFonts w:eastAsia="Times"/>
          <w:szCs w:val="28"/>
        </w:rPr>
        <w:t>empirically-supported</w:t>
      </w:r>
      <w:r w:rsidR="0096259A" w:rsidRPr="00371DC5">
        <w:rPr>
          <w:rFonts w:eastAsia="Times"/>
          <w:szCs w:val="28"/>
        </w:rPr>
        <w:t xml:space="preserve"> therapy, taking it away from protocol.</w:t>
      </w:r>
      <w:r w:rsidRPr="00371DC5">
        <w:rPr>
          <w:rFonts w:eastAsia="Times"/>
          <w:szCs w:val="28"/>
        </w:rPr>
        <w:t xml:space="preserve">  </w:t>
      </w:r>
      <w:r w:rsidR="00415001" w:rsidRPr="00371DC5">
        <w:rPr>
          <w:rFonts w:eastAsia="Times"/>
          <w:szCs w:val="28"/>
        </w:rPr>
        <w:t xml:space="preserve">This relationship could be </w:t>
      </w:r>
      <w:r w:rsidR="0074723E" w:rsidRPr="00371DC5">
        <w:rPr>
          <w:rFonts w:eastAsia="Times"/>
          <w:szCs w:val="28"/>
        </w:rPr>
        <w:t>bidirectional</w:t>
      </w:r>
      <w:r w:rsidR="00415001" w:rsidRPr="00371DC5">
        <w:rPr>
          <w:rFonts w:eastAsia="Times"/>
          <w:szCs w:val="28"/>
        </w:rPr>
        <w:t xml:space="preserve"> in nature</w:t>
      </w:r>
      <w:r w:rsidR="00C159DB" w:rsidRPr="00371DC5">
        <w:rPr>
          <w:rFonts w:eastAsia="Times"/>
          <w:szCs w:val="28"/>
        </w:rPr>
        <w:t>. For example</w:t>
      </w:r>
      <w:r w:rsidR="00415001" w:rsidRPr="00371DC5">
        <w:rPr>
          <w:rFonts w:eastAsia="Times"/>
          <w:szCs w:val="28"/>
        </w:rPr>
        <w:t xml:space="preserve">, negative attitudes could cause a decreased use of CBT techniques, </w:t>
      </w:r>
      <w:r w:rsidR="00C159DB" w:rsidRPr="00371DC5">
        <w:rPr>
          <w:rFonts w:eastAsia="Times"/>
          <w:szCs w:val="28"/>
        </w:rPr>
        <w:t xml:space="preserve">while </w:t>
      </w:r>
      <w:r w:rsidR="00415001" w:rsidRPr="00371DC5">
        <w:rPr>
          <w:rFonts w:eastAsia="Times"/>
          <w:szCs w:val="28"/>
        </w:rPr>
        <w:t xml:space="preserve">an </w:t>
      </w:r>
      <w:r w:rsidR="00415001" w:rsidRPr="00371DC5">
        <w:rPr>
          <w:rFonts w:eastAsia="Times"/>
          <w:szCs w:val="28"/>
        </w:rPr>
        <w:lastRenderedPageBreak/>
        <w:t xml:space="preserve">increased use of techniques could cause a decrease in negative attitudes.  </w:t>
      </w:r>
      <w:r w:rsidRPr="00371DC5">
        <w:rPr>
          <w:rFonts w:eastAsia="Times"/>
          <w:szCs w:val="28"/>
        </w:rPr>
        <w:t xml:space="preserve">However, </w:t>
      </w:r>
      <w:r w:rsidR="0096259A" w:rsidRPr="00371DC5">
        <w:rPr>
          <w:rFonts w:eastAsia="Times"/>
          <w:szCs w:val="28"/>
        </w:rPr>
        <w:t xml:space="preserve">such </w:t>
      </w:r>
      <w:r w:rsidRPr="00371DC5">
        <w:rPr>
          <w:rFonts w:eastAsia="Times"/>
          <w:szCs w:val="28"/>
        </w:rPr>
        <w:t xml:space="preserve">attitudes need to be considered alongside other factors.  </w:t>
      </w:r>
      <w:r w:rsidR="0096259A" w:rsidRPr="00371DC5">
        <w:rPr>
          <w:rFonts w:eastAsia="Times"/>
          <w:szCs w:val="28"/>
        </w:rPr>
        <w:t xml:space="preserve">A </w:t>
      </w:r>
      <w:r w:rsidRPr="00371DC5">
        <w:rPr>
          <w:rFonts w:eastAsia="Times"/>
          <w:szCs w:val="28"/>
        </w:rPr>
        <w:t>particular</w:t>
      </w:r>
      <w:r w:rsidR="0096259A" w:rsidRPr="00371DC5">
        <w:rPr>
          <w:rFonts w:eastAsia="Times"/>
          <w:szCs w:val="28"/>
        </w:rPr>
        <w:t xml:space="preserve"> concern is the association of a </w:t>
      </w:r>
      <w:r w:rsidRPr="00371DC5">
        <w:rPr>
          <w:rFonts w:eastAsia="Times"/>
          <w:szCs w:val="28"/>
        </w:rPr>
        <w:t xml:space="preserve">higher level </w:t>
      </w:r>
      <w:r w:rsidR="0096259A" w:rsidRPr="00371DC5">
        <w:rPr>
          <w:rFonts w:eastAsia="Times"/>
          <w:szCs w:val="28"/>
        </w:rPr>
        <w:t xml:space="preserve">of </w:t>
      </w:r>
      <w:r w:rsidRPr="00371DC5">
        <w:rPr>
          <w:rFonts w:eastAsia="Times"/>
          <w:szCs w:val="28"/>
        </w:rPr>
        <w:t xml:space="preserve">clinician anxiety </w:t>
      </w:r>
      <w:r w:rsidR="0096259A" w:rsidRPr="00371DC5">
        <w:rPr>
          <w:rFonts w:eastAsia="Times"/>
          <w:szCs w:val="28"/>
        </w:rPr>
        <w:t xml:space="preserve">with </w:t>
      </w:r>
      <w:r w:rsidRPr="00371DC5">
        <w:rPr>
          <w:rFonts w:eastAsia="Times"/>
          <w:szCs w:val="28"/>
        </w:rPr>
        <w:t xml:space="preserve">a reduced use of </w:t>
      </w:r>
      <w:r w:rsidR="008A34B3" w:rsidRPr="00371DC5">
        <w:rPr>
          <w:rFonts w:eastAsia="Times"/>
          <w:szCs w:val="28"/>
        </w:rPr>
        <w:t>behavioural</w:t>
      </w:r>
      <w:r w:rsidRPr="00371DC5">
        <w:rPr>
          <w:rFonts w:eastAsia="Times"/>
          <w:szCs w:val="28"/>
        </w:rPr>
        <w:t xml:space="preserve"> CBT methods for the treatment of anxiety disorders</w:t>
      </w:r>
      <w:r w:rsidR="0096259A" w:rsidRPr="00371DC5">
        <w:rPr>
          <w:rFonts w:eastAsia="Times"/>
          <w:szCs w:val="28"/>
        </w:rPr>
        <w:t>, as has been shown elsewhere for anxiety and other disorders (e.g., Meyer</w:t>
      </w:r>
      <w:r w:rsidR="00AE6C3E" w:rsidRPr="00371DC5">
        <w:t>, Farrell, Kemp, Blakey, &amp; Deacon</w:t>
      </w:r>
      <w:r w:rsidR="00AE6C3E" w:rsidRPr="00371DC5">
        <w:rPr>
          <w:rFonts w:eastAsia="Times"/>
          <w:szCs w:val="28"/>
        </w:rPr>
        <w:t>,</w:t>
      </w:r>
      <w:r w:rsidR="0096259A" w:rsidRPr="00371DC5">
        <w:rPr>
          <w:rFonts w:eastAsia="Times"/>
          <w:szCs w:val="28"/>
        </w:rPr>
        <w:t xml:space="preserve"> 2014; T</w:t>
      </w:r>
      <w:r w:rsidR="00AE6C3E" w:rsidRPr="00371DC5">
        <w:rPr>
          <w:rFonts w:eastAsia="Times"/>
          <w:szCs w:val="28"/>
        </w:rPr>
        <w:t xml:space="preserve">urner, </w:t>
      </w:r>
      <w:r w:rsidR="00AE6C3E" w:rsidRPr="00371DC5">
        <w:rPr>
          <w:rFonts w:eastAsia="Times"/>
          <w:iCs/>
          <w:szCs w:val="28"/>
        </w:rPr>
        <w:t>Tatham, Lant, Mountford, &amp; Waller</w:t>
      </w:r>
      <w:r w:rsidR="00AE6C3E" w:rsidRPr="00371DC5">
        <w:rPr>
          <w:rFonts w:eastAsia="Times"/>
          <w:szCs w:val="28"/>
        </w:rPr>
        <w:t>, 2014; Waller, Stringer, &amp; Meyer</w:t>
      </w:r>
      <w:r w:rsidR="0096259A" w:rsidRPr="00371DC5">
        <w:rPr>
          <w:rFonts w:eastAsia="Times"/>
          <w:szCs w:val="28"/>
        </w:rPr>
        <w:t>, 2012)</w:t>
      </w:r>
      <w:r w:rsidR="00AE6C3E" w:rsidRPr="00371DC5">
        <w:rPr>
          <w:rFonts w:eastAsia="Times"/>
          <w:szCs w:val="28"/>
        </w:rPr>
        <w:t xml:space="preserve">.  </w:t>
      </w:r>
      <w:r w:rsidR="00D84087" w:rsidRPr="00371DC5">
        <w:rPr>
          <w:rFonts w:eastAsia="Times"/>
          <w:szCs w:val="28"/>
        </w:rPr>
        <w:t>Given research into the role anxiety plays in the use of exposure techniques</w:t>
      </w:r>
      <w:r w:rsidR="00C159DB" w:rsidRPr="00371DC5">
        <w:rPr>
          <w:rFonts w:eastAsia="Times"/>
          <w:szCs w:val="28"/>
        </w:rPr>
        <w:t xml:space="preserve"> (e.g., </w:t>
      </w:r>
      <w:r w:rsidR="00C159DB" w:rsidRPr="00371DC5">
        <w:t>Feeney et al., 2003; Koch et al., 2007; Levita, et al., 2016)</w:t>
      </w:r>
      <w:r w:rsidR="00D84087" w:rsidRPr="00371DC5">
        <w:rPr>
          <w:rFonts w:eastAsia="Times"/>
          <w:szCs w:val="28"/>
        </w:rPr>
        <w:t xml:space="preserve">, it is not surprising that clinician anxiety (and not negative attitudes) is strongly associated with the </w:t>
      </w:r>
      <w:r w:rsidR="000C395E" w:rsidRPr="00371DC5">
        <w:rPr>
          <w:rFonts w:eastAsia="Times"/>
          <w:szCs w:val="28"/>
        </w:rPr>
        <w:t xml:space="preserve">less frequent </w:t>
      </w:r>
      <w:r w:rsidR="00D84087" w:rsidRPr="00371DC5">
        <w:rPr>
          <w:rFonts w:eastAsia="Times"/>
          <w:szCs w:val="28"/>
        </w:rPr>
        <w:t xml:space="preserve">delivery of </w:t>
      </w:r>
      <w:r w:rsidR="008A34B3" w:rsidRPr="00371DC5">
        <w:rPr>
          <w:rFonts w:eastAsia="Times"/>
          <w:szCs w:val="28"/>
        </w:rPr>
        <w:t>behavioural</w:t>
      </w:r>
      <w:r w:rsidR="00D84087" w:rsidRPr="00371DC5">
        <w:rPr>
          <w:rFonts w:eastAsia="Times"/>
          <w:szCs w:val="28"/>
        </w:rPr>
        <w:t xml:space="preserve"> techniques. </w:t>
      </w:r>
      <w:r w:rsidR="009975F5" w:rsidRPr="00371DC5">
        <w:rPr>
          <w:rFonts w:eastAsia="Times"/>
          <w:szCs w:val="28"/>
        </w:rPr>
        <w:t xml:space="preserve"> </w:t>
      </w:r>
      <w:r w:rsidR="00612BDB" w:rsidRPr="00371DC5">
        <w:rPr>
          <w:rFonts w:eastAsia="Times"/>
          <w:szCs w:val="28"/>
        </w:rPr>
        <w:t xml:space="preserve">Therefore, the utility of the </w:t>
      </w:r>
      <w:r w:rsidR="00D84087" w:rsidRPr="00371DC5">
        <w:rPr>
          <w:rFonts w:eastAsia="Times"/>
          <w:szCs w:val="28"/>
        </w:rPr>
        <w:t xml:space="preserve">NACS </w:t>
      </w:r>
      <w:r w:rsidR="00612BDB" w:rsidRPr="00371DC5">
        <w:rPr>
          <w:rFonts w:eastAsia="Times"/>
          <w:szCs w:val="28"/>
        </w:rPr>
        <w:t xml:space="preserve">as a means of understanding the general attitudes that underpin clinicians’ delivery of therapy is likely to be enhanced by combining it with measures of their emotional status (e.g., anxiety). </w:t>
      </w:r>
      <w:r w:rsidR="009975F5" w:rsidRPr="00371DC5">
        <w:rPr>
          <w:rFonts w:eastAsia="Times"/>
          <w:szCs w:val="28"/>
        </w:rPr>
        <w:t xml:space="preserve"> </w:t>
      </w:r>
      <w:r w:rsidR="00612BDB" w:rsidRPr="00371DC5">
        <w:rPr>
          <w:rFonts w:eastAsia="Times"/>
          <w:szCs w:val="28"/>
        </w:rPr>
        <w:t>The NACS’s clinical utility might also be enhanced by combining it with measures of more technique-specific attitudes (e.g., Addis &amp; Krasnow, 2000; Deacon et al., 2013).</w:t>
      </w:r>
    </w:p>
    <w:p w14:paraId="1E1EED47" w14:textId="77777777" w:rsidR="001B6D79" w:rsidRPr="00371DC5" w:rsidRDefault="00D84087" w:rsidP="00765AE8">
      <w:pPr>
        <w:widowControl w:val="0"/>
        <w:spacing w:line="480" w:lineRule="auto"/>
        <w:rPr>
          <w:rFonts w:eastAsia="Times"/>
          <w:szCs w:val="28"/>
        </w:rPr>
      </w:pPr>
      <w:r w:rsidRPr="00371DC5">
        <w:rPr>
          <w:rFonts w:eastAsia="Times"/>
          <w:szCs w:val="28"/>
        </w:rPr>
        <w:tab/>
      </w:r>
      <w:r w:rsidR="00556EA4" w:rsidRPr="00371DC5">
        <w:rPr>
          <w:rFonts w:eastAsia="Times"/>
          <w:szCs w:val="28"/>
        </w:rPr>
        <w:t>Clinically, t</w:t>
      </w:r>
      <w:r w:rsidRPr="00371DC5">
        <w:rPr>
          <w:rFonts w:eastAsia="Times"/>
          <w:szCs w:val="28"/>
        </w:rPr>
        <w:t xml:space="preserve">he NACS </w:t>
      </w:r>
      <w:r w:rsidR="00BB5D6B" w:rsidRPr="00371DC5">
        <w:rPr>
          <w:rFonts w:eastAsia="Times"/>
          <w:szCs w:val="28"/>
        </w:rPr>
        <w:t xml:space="preserve">has the potential to be used </w:t>
      </w:r>
      <w:r w:rsidRPr="00371DC5">
        <w:rPr>
          <w:rFonts w:eastAsia="Times"/>
          <w:szCs w:val="28"/>
        </w:rPr>
        <w:t>in a number of ways</w:t>
      </w:r>
      <w:r w:rsidR="009975F5" w:rsidRPr="00371DC5">
        <w:rPr>
          <w:rFonts w:eastAsia="Times"/>
          <w:szCs w:val="28"/>
        </w:rPr>
        <w:t xml:space="preserve"> </w:t>
      </w:r>
      <w:r w:rsidR="00C159DB" w:rsidRPr="00371DC5">
        <w:rPr>
          <w:rFonts w:eastAsia="Times"/>
          <w:szCs w:val="28"/>
        </w:rPr>
        <w:t>to enhance the delivery of CBT</w:t>
      </w:r>
      <w:r w:rsidRPr="00371DC5">
        <w:rPr>
          <w:rFonts w:eastAsia="Times"/>
          <w:szCs w:val="28"/>
        </w:rPr>
        <w:t>.</w:t>
      </w:r>
      <w:r w:rsidR="009975F5" w:rsidRPr="00371DC5">
        <w:rPr>
          <w:rFonts w:eastAsia="Times"/>
          <w:szCs w:val="28"/>
        </w:rPr>
        <w:t xml:space="preserve"> </w:t>
      </w:r>
      <w:r w:rsidRPr="00371DC5">
        <w:rPr>
          <w:rFonts w:eastAsia="Times"/>
          <w:szCs w:val="28"/>
        </w:rPr>
        <w:t xml:space="preserve"> </w:t>
      </w:r>
      <w:r w:rsidR="00BB5D6B" w:rsidRPr="00371DC5">
        <w:rPr>
          <w:rFonts w:eastAsia="Times"/>
          <w:szCs w:val="28"/>
        </w:rPr>
        <w:t>In supervision and training</w:t>
      </w:r>
      <w:r w:rsidR="003D4DE6" w:rsidRPr="00371DC5">
        <w:rPr>
          <w:rFonts w:eastAsia="Times"/>
          <w:szCs w:val="28"/>
        </w:rPr>
        <w:t xml:space="preserve"> in the delivery of CBT</w:t>
      </w:r>
      <w:r w:rsidR="00BB5D6B" w:rsidRPr="00371DC5">
        <w:rPr>
          <w:rFonts w:eastAsia="Times"/>
          <w:szCs w:val="28"/>
        </w:rPr>
        <w:t xml:space="preserve">, the NACS and IUS in combination give clinicians and teachers a means of identifying likely issues with adherence to different elements of </w:t>
      </w:r>
      <w:r w:rsidR="000C395E" w:rsidRPr="00371DC5">
        <w:rPr>
          <w:rFonts w:eastAsia="Times"/>
          <w:szCs w:val="28"/>
        </w:rPr>
        <w:t>empirically-supported treatment</w:t>
      </w:r>
      <w:r w:rsidR="00BB5D6B" w:rsidRPr="00371DC5">
        <w:rPr>
          <w:rFonts w:eastAsia="Times"/>
          <w:szCs w:val="28"/>
        </w:rPr>
        <w:t xml:space="preserve">. </w:t>
      </w:r>
      <w:r w:rsidR="005B11D9" w:rsidRPr="00371DC5">
        <w:rPr>
          <w:rFonts w:eastAsia="Times"/>
          <w:szCs w:val="28"/>
        </w:rPr>
        <w:t xml:space="preserve"> </w:t>
      </w:r>
      <w:r w:rsidR="003D4DE6" w:rsidRPr="00371DC5">
        <w:rPr>
          <w:rFonts w:eastAsia="Times"/>
          <w:szCs w:val="28"/>
        </w:rPr>
        <w:t xml:space="preserve">Therefore, this </w:t>
      </w:r>
      <w:r w:rsidR="005B11D9" w:rsidRPr="00371DC5">
        <w:rPr>
          <w:rFonts w:eastAsia="Times"/>
          <w:szCs w:val="28"/>
        </w:rPr>
        <w:t xml:space="preserve">tool </w:t>
      </w:r>
      <w:r w:rsidR="003D4DE6" w:rsidRPr="00371DC5">
        <w:rPr>
          <w:rFonts w:eastAsia="Times"/>
          <w:szCs w:val="28"/>
        </w:rPr>
        <w:t>c</w:t>
      </w:r>
      <w:r w:rsidR="005B11D9" w:rsidRPr="00371DC5">
        <w:rPr>
          <w:rFonts w:eastAsia="Times"/>
          <w:szCs w:val="28"/>
        </w:rPr>
        <w:t xml:space="preserve">ould be used </w:t>
      </w:r>
      <w:r w:rsidR="003D4DE6" w:rsidRPr="00371DC5">
        <w:rPr>
          <w:rFonts w:eastAsia="Times"/>
          <w:szCs w:val="28"/>
        </w:rPr>
        <w:t>to enhance the learning and delivery of CBT</w:t>
      </w:r>
      <w:r w:rsidR="005B11D9" w:rsidRPr="00371DC5">
        <w:rPr>
          <w:rFonts w:eastAsia="Times"/>
          <w:szCs w:val="28"/>
        </w:rPr>
        <w:t xml:space="preserve">. </w:t>
      </w:r>
      <w:r w:rsidR="001D2F62" w:rsidRPr="00371DC5">
        <w:rPr>
          <w:rFonts w:eastAsia="Times"/>
          <w:szCs w:val="28"/>
        </w:rPr>
        <w:t xml:space="preserve"> </w:t>
      </w:r>
      <w:r w:rsidR="00BB5D6B" w:rsidRPr="00371DC5">
        <w:rPr>
          <w:rFonts w:eastAsia="Times"/>
          <w:szCs w:val="28"/>
        </w:rPr>
        <w:t>Such attitudes and emotional factors could be addressed through appropriate adjustments to training programmes, including didactic methods (e.g., Deacon et al., 2013)</w:t>
      </w:r>
      <w:r w:rsidR="00AE0BDD" w:rsidRPr="00371DC5">
        <w:rPr>
          <w:rFonts w:eastAsia="Times"/>
          <w:szCs w:val="28"/>
        </w:rPr>
        <w:t xml:space="preserve"> or more complex packages of educational and experiential methods (e.g., Farrell et al., 2013). </w:t>
      </w:r>
      <w:r w:rsidR="00A26ABE" w:rsidRPr="00371DC5">
        <w:rPr>
          <w:rFonts w:eastAsia="Times"/>
          <w:szCs w:val="28"/>
        </w:rPr>
        <w:t xml:space="preserve"> </w:t>
      </w:r>
      <w:r w:rsidR="00922B79" w:rsidRPr="00371DC5">
        <w:rPr>
          <w:rFonts w:eastAsia="Times"/>
          <w:szCs w:val="28"/>
        </w:rPr>
        <w:t>This tool can also be used as pre/post measure for</w:t>
      </w:r>
      <w:r w:rsidR="003D4DE6" w:rsidRPr="00371DC5">
        <w:rPr>
          <w:rFonts w:eastAsia="Times"/>
          <w:szCs w:val="28"/>
        </w:rPr>
        <w:t xml:space="preserve"> CBT educators and supervisors</w:t>
      </w:r>
      <w:r w:rsidR="00922B79" w:rsidRPr="00371DC5">
        <w:rPr>
          <w:rFonts w:eastAsia="Times"/>
          <w:szCs w:val="28"/>
        </w:rPr>
        <w:t xml:space="preserve"> </w:t>
      </w:r>
      <w:r w:rsidR="003D4DE6" w:rsidRPr="00371DC5">
        <w:rPr>
          <w:rFonts w:eastAsia="Times"/>
          <w:szCs w:val="28"/>
        </w:rPr>
        <w:t>to identify the impact of their teaching and supervision</w:t>
      </w:r>
      <w:r w:rsidR="00922B79" w:rsidRPr="00371DC5">
        <w:rPr>
          <w:rFonts w:eastAsia="Times"/>
          <w:szCs w:val="28"/>
        </w:rPr>
        <w:t xml:space="preserve">.  </w:t>
      </w:r>
      <w:r w:rsidR="00AE0BDD" w:rsidRPr="00371DC5">
        <w:rPr>
          <w:rFonts w:eastAsia="Times"/>
          <w:szCs w:val="28"/>
        </w:rPr>
        <w:t xml:space="preserve">Similarly, a focus on such attitudinal and emotional measures might help clinicians to terminate therapy at an appropriate point rather than continuing seeing patients for longer (e.g., Turner et al., </w:t>
      </w:r>
      <w:r w:rsidR="00AE0BDD" w:rsidRPr="00371DC5">
        <w:rPr>
          <w:rFonts w:eastAsia="Times"/>
          <w:szCs w:val="28"/>
        </w:rPr>
        <w:lastRenderedPageBreak/>
        <w:t xml:space="preserve">2014). </w:t>
      </w:r>
      <w:r w:rsidR="00A26ABE" w:rsidRPr="00371DC5">
        <w:rPr>
          <w:rFonts w:eastAsia="Times"/>
          <w:szCs w:val="28"/>
        </w:rPr>
        <w:t xml:space="preserve"> </w:t>
      </w:r>
      <w:r w:rsidR="00AE0BDD" w:rsidRPr="00371DC5">
        <w:rPr>
          <w:rFonts w:eastAsia="Times"/>
          <w:szCs w:val="28"/>
        </w:rPr>
        <w:t>Finally, t</w:t>
      </w:r>
      <w:r w:rsidR="00313B7D" w:rsidRPr="00371DC5">
        <w:rPr>
          <w:rFonts w:eastAsia="Times"/>
          <w:szCs w:val="28"/>
        </w:rPr>
        <w:t xml:space="preserve">he NACS </w:t>
      </w:r>
      <w:r w:rsidR="00AE0BDD" w:rsidRPr="00371DC5">
        <w:rPr>
          <w:rFonts w:eastAsia="Times"/>
          <w:szCs w:val="28"/>
        </w:rPr>
        <w:t xml:space="preserve">and IUS might be used as means of </w:t>
      </w:r>
      <w:r w:rsidR="00313B7D" w:rsidRPr="00371DC5">
        <w:rPr>
          <w:rFonts w:eastAsia="Times"/>
          <w:szCs w:val="28"/>
        </w:rPr>
        <w:t>determin</w:t>
      </w:r>
      <w:r w:rsidR="00AE0BDD" w:rsidRPr="00371DC5">
        <w:rPr>
          <w:rFonts w:eastAsia="Times"/>
          <w:szCs w:val="28"/>
        </w:rPr>
        <w:t>ing</w:t>
      </w:r>
      <w:r w:rsidR="00313B7D" w:rsidRPr="00371DC5">
        <w:rPr>
          <w:rFonts w:eastAsia="Times"/>
          <w:szCs w:val="28"/>
        </w:rPr>
        <w:t xml:space="preserve"> whether </w:t>
      </w:r>
      <w:r w:rsidR="00C22A10" w:rsidRPr="00371DC5">
        <w:rPr>
          <w:rFonts w:eastAsia="Times"/>
          <w:szCs w:val="28"/>
        </w:rPr>
        <w:t>particular individuals are a good or bad fit for CBT-</w:t>
      </w:r>
      <w:r w:rsidR="00313B7D" w:rsidRPr="00371DC5">
        <w:rPr>
          <w:rFonts w:eastAsia="Times"/>
          <w:szCs w:val="28"/>
        </w:rPr>
        <w:t>specific training programmes</w:t>
      </w:r>
      <w:r w:rsidR="00922B79" w:rsidRPr="00371DC5">
        <w:rPr>
          <w:rFonts w:eastAsia="Times"/>
          <w:szCs w:val="28"/>
        </w:rPr>
        <w:t>.</w:t>
      </w:r>
    </w:p>
    <w:p w14:paraId="23818613" w14:textId="689ECF19" w:rsidR="00B609BD" w:rsidRPr="00371DC5" w:rsidRDefault="00B609BD">
      <w:pPr>
        <w:widowControl w:val="0"/>
        <w:spacing w:line="480" w:lineRule="auto"/>
        <w:rPr>
          <w:rFonts w:eastAsia="Times"/>
          <w:szCs w:val="28"/>
        </w:rPr>
      </w:pPr>
      <w:r w:rsidRPr="00371DC5">
        <w:rPr>
          <w:rFonts w:eastAsia="Times"/>
          <w:szCs w:val="28"/>
        </w:rPr>
        <w:tab/>
        <w:t>Despite the NACS</w:t>
      </w:r>
      <w:r w:rsidR="00FA3592" w:rsidRPr="00371DC5">
        <w:rPr>
          <w:rFonts w:eastAsia="Times"/>
          <w:szCs w:val="28"/>
        </w:rPr>
        <w:t>’s</w:t>
      </w:r>
      <w:r w:rsidRPr="00371DC5">
        <w:rPr>
          <w:rFonts w:eastAsia="Times"/>
          <w:szCs w:val="28"/>
        </w:rPr>
        <w:t xml:space="preserve"> potential </w:t>
      </w:r>
      <w:r w:rsidR="00FA3592" w:rsidRPr="00371DC5">
        <w:rPr>
          <w:rFonts w:eastAsia="Times"/>
          <w:szCs w:val="28"/>
        </w:rPr>
        <w:t xml:space="preserve">for </w:t>
      </w:r>
      <w:r w:rsidRPr="00371DC5">
        <w:rPr>
          <w:rFonts w:eastAsia="Times"/>
          <w:szCs w:val="28"/>
        </w:rPr>
        <w:t>clinical use, as outline</w:t>
      </w:r>
      <w:r w:rsidR="00FA3592" w:rsidRPr="00371DC5">
        <w:rPr>
          <w:rFonts w:eastAsia="Times"/>
          <w:szCs w:val="28"/>
        </w:rPr>
        <w:t>d</w:t>
      </w:r>
      <w:r w:rsidRPr="00371DC5">
        <w:rPr>
          <w:rFonts w:eastAsia="Times"/>
          <w:szCs w:val="28"/>
        </w:rPr>
        <w:t xml:space="preserve"> above, it is important to</w:t>
      </w:r>
      <w:r w:rsidR="00FA3592" w:rsidRPr="00371DC5">
        <w:rPr>
          <w:rFonts w:eastAsia="Times"/>
          <w:szCs w:val="28"/>
        </w:rPr>
        <w:t xml:space="preserve"> consider</w:t>
      </w:r>
      <w:r w:rsidRPr="00371DC5">
        <w:rPr>
          <w:rFonts w:eastAsia="Times"/>
          <w:szCs w:val="28"/>
        </w:rPr>
        <w:t xml:space="preserve"> </w:t>
      </w:r>
      <w:r w:rsidR="00FA3592" w:rsidRPr="00371DC5">
        <w:rPr>
          <w:rFonts w:eastAsia="Times"/>
          <w:szCs w:val="28"/>
        </w:rPr>
        <w:t>the developing nature of CBT and the need to accept the case for change when it is justified. The NACS reflects best practice as it is currently understood in CBT for anxiety disorders, but should not be seen as prescriptive. Many clinical developments result from the work of clinicians who evaluate their own outcomes and demonstrate new approaches that can improve those outcomes more widely</w:t>
      </w:r>
      <w:r w:rsidR="003030B6" w:rsidRPr="00371DC5">
        <w:rPr>
          <w:rFonts w:eastAsia="Times"/>
          <w:szCs w:val="28"/>
        </w:rPr>
        <w:t>. Thus, negative attitudes to existing practice cannot be seen as wrong in themselves. However, if they result in therapist drift without such justification, then they are potentially problematic. Supervision and training should encourage clinicians to support their negative attitudes with empirical evidence, rather than simply accepting or rejecting those attitudes.</w:t>
      </w:r>
      <w:r w:rsidR="00FA3592" w:rsidRPr="00371DC5">
        <w:rPr>
          <w:rFonts w:eastAsia="Times"/>
          <w:szCs w:val="28"/>
        </w:rPr>
        <w:t xml:space="preserve"> </w:t>
      </w:r>
    </w:p>
    <w:p w14:paraId="3B01531B" w14:textId="77777777" w:rsidR="0033669B" w:rsidRPr="00371DC5" w:rsidRDefault="00AE0BDD" w:rsidP="00765AE8">
      <w:pPr>
        <w:widowControl w:val="0"/>
        <w:spacing w:line="480" w:lineRule="auto"/>
        <w:ind w:firstLine="720"/>
        <w:rPr>
          <w:rFonts w:eastAsia="Times"/>
          <w:szCs w:val="28"/>
        </w:rPr>
      </w:pPr>
      <w:r w:rsidRPr="00371DC5">
        <w:rPr>
          <w:rFonts w:eastAsia="Times"/>
          <w:szCs w:val="28"/>
        </w:rPr>
        <w:t>These findings need to be replicated and extended</w:t>
      </w:r>
      <w:r w:rsidR="005A6D24" w:rsidRPr="00371DC5">
        <w:rPr>
          <w:rFonts w:eastAsia="Times"/>
          <w:szCs w:val="28"/>
        </w:rPr>
        <w:t xml:space="preserve">.  </w:t>
      </w:r>
      <w:r w:rsidR="0033669B" w:rsidRPr="00371DC5">
        <w:rPr>
          <w:rFonts w:eastAsia="Times"/>
          <w:szCs w:val="28"/>
        </w:rPr>
        <w:t xml:space="preserve">It will be important to determine whether the NACS is useful when applied to </w:t>
      </w:r>
      <w:r w:rsidR="0050637A" w:rsidRPr="00371DC5">
        <w:rPr>
          <w:rFonts w:eastAsia="Times"/>
          <w:szCs w:val="28"/>
        </w:rPr>
        <w:t xml:space="preserve">understanding how clinicians work with </w:t>
      </w:r>
      <w:r w:rsidR="0033669B" w:rsidRPr="00371DC5">
        <w:rPr>
          <w:rFonts w:eastAsia="Times"/>
          <w:szCs w:val="28"/>
        </w:rPr>
        <w:t>other disorders</w:t>
      </w:r>
      <w:r w:rsidR="0050637A" w:rsidRPr="00371DC5">
        <w:rPr>
          <w:rFonts w:eastAsia="Times"/>
          <w:szCs w:val="28"/>
        </w:rPr>
        <w:t xml:space="preserve"> (e.g., </w:t>
      </w:r>
      <w:r w:rsidR="0033669B" w:rsidRPr="00371DC5">
        <w:rPr>
          <w:rFonts w:eastAsia="Times"/>
          <w:szCs w:val="28"/>
        </w:rPr>
        <w:t>depression</w:t>
      </w:r>
      <w:r w:rsidR="0050637A" w:rsidRPr="00371DC5">
        <w:rPr>
          <w:rFonts w:eastAsia="Times"/>
          <w:szCs w:val="28"/>
        </w:rPr>
        <w:t>; psychosis),</w:t>
      </w:r>
      <w:r w:rsidR="0033669B" w:rsidRPr="00371DC5">
        <w:rPr>
          <w:rFonts w:eastAsia="Times"/>
          <w:szCs w:val="28"/>
        </w:rPr>
        <w:t xml:space="preserve"> and </w:t>
      </w:r>
      <w:r w:rsidR="0050637A" w:rsidRPr="00371DC5">
        <w:rPr>
          <w:rFonts w:eastAsia="Times"/>
          <w:szCs w:val="28"/>
        </w:rPr>
        <w:t xml:space="preserve">to determine </w:t>
      </w:r>
      <w:r w:rsidR="0033669B" w:rsidRPr="00371DC5">
        <w:rPr>
          <w:rFonts w:eastAsia="Times"/>
          <w:szCs w:val="28"/>
        </w:rPr>
        <w:t xml:space="preserve">whether </w:t>
      </w:r>
      <w:r w:rsidR="0050637A" w:rsidRPr="00371DC5">
        <w:rPr>
          <w:rFonts w:eastAsia="Times"/>
          <w:szCs w:val="28"/>
        </w:rPr>
        <w:t xml:space="preserve">the </w:t>
      </w:r>
      <w:r w:rsidR="00D11F55" w:rsidRPr="00371DC5">
        <w:rPr>
          <w:rFonts w:eastAsia="Times"/>
          <w:szCs w:val="28"/>
        </w:rPr>
        <w:t>NACS’</w:t>
      </w:r>
      <w:r w:rsidR="0050637A" w:rsidRPr="00371DC5">
        <w:rPr>
          <w:rFonts w:eastAsia="Times"/>
          <w:szCs w:val="28"/>
        </w:rPr>
        <w:t>s</w:t>
      </w:r>
      <w:r w:rsidR="0033669B" w:rsidRPr="00371DC5">
        <w:rPr>
          <w:rFonts w:eastAsia="Times"/>
          <w:szCs w:val="28"/>
        </w:rPr>
        <w:t xml:space="preserve"> utility generalises across professional groups</w:t>
      </w:r>
      <w:r w:rsidR="00484539" w:rsidRPr="00371DC5">
        <w:rPr>
          <w:rFonts w:eastAsia="Times"/>
          <w:szCs w:val="28"/>
        </w:rPr>
        <w:t xml:space="preserve"> (and potentially even theoretical orientation</w:t>
      </w:r>
      <w:r w:rsidR="009838F6" w:rsidRPr="00371DC5">
        <w:rPr>
          <w:rFonts w:eastAsia="Times"/>
          <w:szCs w:val="28"/>
        </w:rPr>
        <w:t>s</w:t>
      </w:r>
      <w:r w:rsidR="00484539" w:rsidRPr="00371DC5">
        <w:rPr>
          <w:rFonts w:eastAsia="Times"/>
          <w:szCs w:val="28"/>
        </w:rPr>
        <w:t>)</w:t>
      </w:r>
      <w:r w:rsidR="005A6D24" w:rsidRPr="00371DC5">
        <w:rPr>
          <w:rFonts w:eastAsia="Times"/>
          <w:szCs w:val="28"/>
        </w:rPr>
        <w:t>.</w:t>
      </w:r>
      <w:r w:rsidR="00F31C6A" w:rsidRPr="00371DC5">
        <w:rPr>
          <w:rFonts w:eastAsia="Times"/>
          <w:szCs w:val="28"/>
        </w:rPr>
        <w:t xml:space="preserve"> </w:t>
      </w:r>
      <w:r w:rsidR="005A6D24" w:rsidRPr="00371DC5">
        <w:rPr>
          <w:rFonts w:eastAsia="Times"/>
          <w:szCs w:val="28"/>
        </w:rPr>
        <w:t xml:space="preserve"> </w:t>
      </w:r>
      <w:r w:rsidR="0033669B" w:rsidRPr="00371DC5">
        <w:rPr>
          <w:rFonts w:eastAsia="Times"/>
          <w:szCs w:val="28"/>
        </w:rPr>
        <w:t>Such studies would be augmented by the use of real-world longitudinal methods and experimental vignette designs, each of which would give clearer evidence of the</w:t>
      </w:r>
      <w:r w:rsidR="0050637A" w:rsidRPr="00371DC5">
        <w:rPr>
          <w:rFonts w:eastAsia="Times"/>
          <w:szCs w:val="28"/>
        </w:rPr>
        <w:t xml:space="preserve"> validity of the conclusion that </w:t>
      </w:r>
      <w:r w:rsidR="0033669B" w:rsidRPr="00371DC5">
        <w:rPr>
          <w:rFonts w:eastAsia="Times"/>
          <w:szCs w:val="28"/>
        </w:rPr>
        <w:t xml:space="preserve">clinicians’ attitudes and emotional states </w:t>
      </w:r>
      <w:r w:rsidR="0050637A" w:rsidRPr="00371DC5">
        <w:rPr>
          <w:rFonts w:eastAsia="Times"/>
          <w:szCs w:val="28"/>
        </w:rPr>
        <w:t xml:space="preserve">have a causal impact </w:t>
      </w:r>
      <w:r w:rsidR="0033669B" w:rsidRPr="00371DC5">
        <w:rPr>
          <w:rFonts w:eastAsia="Times"/>
          <w:szCs w:val="28"/>
        </w:rPr>
        <w:t>on their use of CBT techniques.</w:t>
      </w:r>
      <w:r w:rsidR="00F31C6A" w:rsidRPr="00371DC5">
        <w:rPr>
          <w:rFonts w:eastAsia="Times"/>
          <w:szCs w:val="28"/>
        </w:rPr>
        <w:t xml:space="preserve"> </w:t>
      </w:r>
      <w:r w:rsidR="0033669B" w:rsidRPr="00371DC5">
        <w:rPr>
          <w:rFonts w:eastAsia="Times"/>
          <w:szCs w:val="28"/>
        </w:rPr>
        <w:t xml:space="preserve"> </w:t>
      </w:r>
      <w:r w:rsidR="00484539" w:rsidRPr="00371DC5">
        <w:rPr>
          <w:rFonts w:eastAsia="Times"/>
          <w:szCs w:val="28"/>
        </w:rPr>
        <w:t>I</w:t>
      </w:r>
      <w:r w:rsidR="00F31C6A" w:rsidRPr="00371DC5">
        <w:rPr>
          <w:rFonts w:eastAsia="Times"/>
          <w:szCs w:val="28"/>
        </w:rPr>
        <w:t xml:space="preserve">t is also important to consider how well the NACS predicts the actual use of techniques before </w:t>
      </w:r>
      <w:r w:rsidR="009838F6" w:rsidRPr="00371DC5">
        <w:rPr>
          <w:rFonts w:eastAsia="Times"/>
          <w:szCs w:val="28"/>
        </w:rPr>
        <w:t xml:space="preserve">using it </w:t>
      </w:r>
      <w:r w:rsidR="00F31C6A" w:rsidRPr="00371DC5">
        <w:rPr>
          <w:rFonts w:eastAsia="Times"/>
          <w:szCs w:val="28"/>
        </w:rPr>
        <w:t xml:space="preserve">in training or supervision.  As this study only </w:t>
      </w:r>
      <w:r w:rsidR="009838F6" w:rsidRPr="00371DC5">
        <w:rPr>
          <w:rFonts w:eastAsia="Times"/>
          <w:szCs w:val="28"/>
        </w:rPr>
        <w:t xml:space="preserve">details </w:t>
      </w:r>
      <w:r w:rsidR="00F31C6A" w:rsidRPr="00371DC5">
        <w:rPr>
          <w:rFonts w:eastAsia="Times"/>
          <w:szCs w:val="28"/>
        </w:rPr>
        <w:t>what clinicians reported using, it</w:t>
      </w:r>
      <w:r w:rsidR="00C22A10" w:rsidRPr="00371DC5">
        <w:rPr>
          <w:rFonts w:eastAsia="Times"/>
          <w:szCs w:val="28"/>
        </w:rPr>
        <w:t xml:space="preserve"> will be necessary </w:t>
      </w:r>
      <w:r w:rsidR="00F31C6A" w:rsidRPr="00371DC5">
        <w:rPr>
          <w:rFonts w:eastAsia="Times"/>
          <w:szCs w:val="28"/>
        </w:rPr>
        <w:t>to validate the NACS in tandem with observation of actual practice</w:t>
      </w:r>
      <w:r w:rsidR="00484539" w:rsidRPr="00371DC5">
        <w:rPr>
          <w:rFonts w:eastAsia="Times"/>
          <w:szCs w:val="28"/>
        </w:rPr>
        <w:t xml:space="preserve">.  Given the relatively few non-CBT therapists involved in this study, future studies would need to address the </w:t>
      </w:r>
      <w:r w:rsidR="00386B88" w:rsidRPr="00371DC5">
        <w:rPr>
          <w:rFonts w:eastAsia="Times"/>
          <w:szCs w:val="28"/>
        </w:rPr>
        <w:t>generalizability</w:t>
      </w:r>
      <w:r w:rsidR="00484539" w:rsidRPr="00371DC5">
        <w:rPr>
          <w:rFonts w:eastAsia="Times"/>
          <w:szCs w:val="28"/>
        </w:rPr>
        <w:t xml:space="preserve"> of these findings by ensuring </w:t>
      </w:r>
      <w:r w:rsidR="00C22A10" w:rsidRPr="00371DC5">
        <w:rPr>
          <w:rFonts w:eastAsia="Times"/>
          <w:szCs w:val="28"/>
        </w:rPr>
        <w:t xml:space="preserve">the inclusion of </w:t>
      </w:r>
      <w:r w:rsidR="00484539" w:rsidRPr="00371DC5">
        <w:rPr>
          <w:rFonts w:eastAsia="Times"/>
          <w:szCs w:val="28"/>
        </w:rPr>
        <w:t>other orientations not represented here</w:t>
      </w:r>
      <w:r w:rsidR="00F31C6A" w:rsidRPr="00371DC5">
        <w:rPr>
          <w:rFonts w:eastAsia="Times"/>
          <w:szCs w:val="28"/>
        </w:rPr>
        <w:t xml:space="preserve">.  </w:t>
      </w:r>
      <w:r w:rsidR="0033669B" w:rsidRPr="00371DC5">
        <w:rPr>
          <w:rFonts w:eastAsia="Times"/>
          <w:szCs w:val="28"/>
        </w:rPr>
        <w:t xml:space="preserve">The impact of training of clinicians </w:t>
      </w:r>
      <w:r w:rsidR="0033669B" w:rsidRPr="00371DC5">
        <w:rPr>
          <w:rFonts w:eastAsia="Times"/>
          <w:szCs w:val="28"/>
        </w:rPr>
        <w:lastRenderedPageBreak/>
        <w:t xml:space="preserve">might be assessed using the NACS before and after teaching sessions, to determine whether changes in attitudes to CBT result in more effective delivery of evidence-based CBT methods. </w:t>
      </w:r>
    </w:p>
    <w:p w14:paraId="3CDE023C" w14:textId="77777777" w:rsidR="00161113" w:rsidRPr="00371DC5" w:rsidRDefault="00251BDD" w:rsidP="00765AE8">
      <w:pPr>
        <w:widowControl w:val="0"/>
        <w:spacing w:line="480" w:lineRule="auto"/>
        <w:jc w:val="center"/>
        <w:rPr>
          <w:rFonts w:eastAsia="Times"/>
          <w:szCs w:val="28"/>
        </w:rPr>
      </w:pPr>
      <w:r w:rsidRPr="00371DC5">
        <w:rPr>
          <w:rFonts w:eastAsia="Times"/>
          <w:szCs w:val="28"/>
        </w:rPr>
        <w:br w:type="page"/>
      </w:r>
      <w:r w:rsidR="00161113" w:rsidRPr="00371DC5">
        <w:rPr>
          <w:rFonts w:eastAsia="Times"/>
          <w:b/>
          <w:szCs w:val="28"/>
        </w:rPr>
        <w:lastRenderedPageBreak/>
        <w:t>References</w:t>
      </w:r>
    </w:p>
    <w:p w14:paraId="2C087FF4" w14:textId="77777777" w:rsidR="00AA3822" w:rsidRPr="00371DC5" w:rsidRDefault="00AA3822" w:rsidP="00AA3822">
      <w:pPr>
        <w:widowControl w:val="0"/>
        <w:spacing w:line="480" w:lineRule="auto"/>
        <w:ind w:left="709" w:hanging="709"/>
        <w:rPr>
          <w:rFonts w:eastAsia="Times"/>
          <w:szCs w:val="28"/>
        </w:rPr>
      </w:pPr>
      <w:r w:rsidRPr="00371DC5">
        <w:rPr>
          <w:rFonts w:eastAsia="Times"/>
          <w:b/>
          <w:szCs w:val="28"/>
          <w:lang w:val="pt-BR"/>
        </w:rPr>
        <w:t>Abramowitz, J. S., Taylor, S., &amp; McKay, D.</w:t>
      </w:r>
      <w:r w:rsidRPr="00371DC5">
        <w:rPr>
          <w:rFonts w:eastAsia="Times"/>
          <w:szCs w:val="28"/>
          <w:lang w:val="pt-BR"/>
        </w:rPr>
        <w:t xml:space="preserve"> (2012). </w:t>
      </w:r>
      <w:r w:rsidRPr="00371DC5">
        <w:rPr>
          <w:rFonts w:eastAsia="Times"/>
          <w:szCs w:val="28"/>
        </w:rPr>
        <w:t xml:space="preserve">Exposure-based treatment for obsessive compulsive disorder.  In G. Steketee (Ed.), </w:t>
      </w:r>
      <w:r w:rsidRPr="00371DC5">
        <w:rPr>
          <w:rFonts w:eastAsia="Times"/>
          <w:i/>
          <w:szCs w:val="28"/>
        </w:rPr>
        <w:t xml:space="preserve">The Oxford handbook of obsessive compulsive and spectrum disorders </w:t>
      </w:r>
      <w:r w:rsidRPr="00371DC5">
        <w:rPr>
          <w:rFonts w:eastAsia="Times"/>
          <w:szCs w:val="28"/>
        </w:rPr>
        <w:t>(pp. 322-344). New York, NY: Oxford University Press.</w:t>
      </w:r>
    </w:p>
    <w:p w14:paraId="5D218A68" w14:textId="77777777" w:rsidR="00335881" w:rsidRPr="00371DC5" w:rsidRDefault="00BD3127" w:rsidP="00765AE8">
      <w:pPr>
        <w:widowControl w:val="0"/>
        <w:spacing w:line="480" w:lineRule="auto"/>
        <w:ind w:left="709" w:hanging="709"/>
        <w:rPr>
          <w:rFonts w:eastAsia="Times"/>
        </w:rPr>
      </w:pPr>
      <w:r w:rsidRPr="00371DC5">
        <w:rPr>
          <w:rFonts w:eastAsia="Times"/>
          <w:b/>
        </w:rPr>
        <w:t xml:space="preserve">Addis, M. E., &amp; Krasnow, A. D. </w:t>
      </w:r>
      <w:r w:rsidRPr="00371DC5">
        <w:rPr>
          <w:rFonts w:eastAsia="Times"/>
        </w:rPr>
        <w:t xml:space="preserve">(2000). A national survey of practicing psychologists’ attitudes towards psychotherapy treatment manuals. </w:t>
      </w:r>
      <w:r w:rsidRPr="00371DC5">
        <w:rPr>
          <w:rFonts w:eastAsia="Times"/>
          <w:i/>
        </w:rPr>
        <w:t>Journal of Consulting and Clinical Psychology, 68,</w:t>
      </w:r>
      <w:r w:rsidRPr="00371DC5">
        <w:rPr>
          <w:rFonts w:eastAsia="Times"/>
        </w:rPr>
        <w:t xml:space="preserve"> 331-339. doi: 10.1036//0022-006x.68.2</w:t>
      </w:r>
    </w:p>
    <w:p w14:paraId="6AC79EA8" w14:textId="77777777" w:rsidR="00DE7B47" w:rsidRPr="00371DC5" w:rsidRDefault="00BD3127" w:rsidP="00765AE8">
      <w:pPr>
        <w:widowControl w:val="0"/>
        <w:spacing w:line="480" w:lineRule="auto"/>
        <w:ind w:left="709" w:hanging="709"/>
        <w:rPr>
          <w:rFonts w:eastAsia="Times"/>
        </w:rPr>
      </w:pPr>
      <w:r w:rsidRPr="00371DC5">
        <w:rPr>
          <w:rFonts w:eastAsia="Times"/>
          <w:b/>
        </w:rPr>
        <w:t xml:space="preserve">Addis, M. E., Wade, W. A., &amp; Hatgis, C. </w:t>
      </w:r>
      <w:r w:rsidRPr="00371DC5">
        <w:rPr>
          <w:rFonts w:eastAsia="Times"/>
        </w:rPr>
        <w:t xml:space="preserve">(1999). Barriers to dissemination of evidence-based practices: Addressing practitioners’ concerns about manual-based psychotherapies. </w:t>
      </w:r>
      <w:r w:rsidRPr="00371DC5">
        <w:rPr>
          <w:rFonts w:eastAsia="Times"/>
          <w:i/>
        </w:rPr>
        <w:t>Clinical Psychology, 6,</w:t>
      </w:r>
      <w:r w:rsidRPr="00371DC5">
        <w:rPr>
          <w:rFonts w:eastAsia="Times"/>
        </w:rPr>
        <w:t xml:space="preserve"> 430-441. doi: 10.1093/clipsy.6.4.430</w:t>
      </w:r>
    </w:p>
    <w:p w14:paraId="071E7BEF" w14:textId="77777777" w:rsidR="001C1B54" w:rsidRPr="00371DC5" w:rsidRDefault="00BD3127" w:rsidP="00765AE8">
      <w:pPr>
        <w:widowControl w:val="0"/>
        <w:spacing w:line="480" w:lineRule="auto"/>
        <w:ind w:left="709" w:hanging="709"/>
        <w:rPr>
          <w:rFonts w:eastAsia="Times"/>
        </w:rPr>
      </w:pPr>
      <w:r w:rsidRPr="00371DC5">
        <w:rPr>
          <w:rFonts w:eastAsia="Times"/>
          <w:b/>
        </w:rPr>
        <w:t xml:space="preserve">Becker, C. B., Zayfert, C., &amp; Anderson, E. </w:t>
      </w:r>
      <w:r w:rsidRPr="00371DC5">
        <w:rPr>
          <w:rFonts w:eastAsia="Times"/>
        </w:rPr>
        <w:t xml:space="preserve">(2004). A survey of psychologists’ attitudes towards and utilization of exposure for PTSD. </w:t>
      </w:r>
      <w:r w:rsidRPr="00371DC5">
        <w:rPr>
          <w:rFonts w:eastAsia="Times"/>
          <w:i/>
        </w:rPr>
        <w:t xml:space="preserve">Behavioural Research and Therapy, </w:t>
      </w:r>
      <w:r w:rsidRPr="00371DC5">
        <w:rPr>
          <w:rFonts w:eastAsia="Times"/>
        </w:rPr>
        <w:t>42, 277-292. doi: 10.1016/S0005-7967(03)00138-4</w:t>
      </w:r>
    </w:p>
    <w:p w14:paraId="37853EB1" w14:textId="77777777" w:rsidR="00161113" w:rsidRPr="00371DC5" w:rsidRDefault="00BD3127" w:rsidP="00765AE8">
      <w:pPr>
        <w:widowControl w:val="0"/>
        <w:spacing w:line="480" w:lineRule="auto"/>
        <w:ind w:left="709" w:hanging="709"/>
        <w:rPr>
          <w:rFonts w:eastAsia="Times"/>
        </w:rPr>
      </w:pPr>
      <w:r w:rsidRPr="00371DC5">
        <w:rPr>
          <w:rFonts w:eastAsia="Times"/>
          <w:b/>
        </w:rPr>
        <w:t xml:space="preserve">Carleton, R. N., Norton, M. A., &amp; Asmundson, G. J. G. </w:t>
      </w:r>
      <w:r w:rsidRPr="00371DC5">
        <w:rPr>
          <w:rFonts w:eastAsia="Times"/>
        </w:rPr>
        <w:t xml:space="preserve">(2007). Fearing the unknown: A short version of the Intolerance of Uncertainty Scale. </w:t>
      </w:r>
      <w:r w:rsidRPr="00371DC5">
        <w:rPr>
          <w:rFonts w:eastAsia="Times"/>
          <w:i/>
        </w:rPr>
        <w:t>Journal of Anxiety Disorders, 21,</w:t>
      </w:r>
      <w:r w:rsidRPr="00371DC5">
        <w:rPr>
          <w:rFonts w:eastAsia="Times"/>
        </w:rPr>
        <w:t xml:space="preserve"> 105-117. doi: 10.1016/j.janxdis.2006.03.014</w:t>
      </w:r>
    </w:p>
    <w:p w14:paraId="0DC2CEFE" w14:textId="77777777" w:rsidR="00AA3822" w:rsidRPr="00371DC5" w:rsidRDefault="00AA3822" w:rsidP="00AA3822">
      <w:pPr>
        <w:widowControl w:val="0"/>
        <w:spacing w:line="480" w:lineRule="auto"/>
        <w:ind w:left="709" w:hanging="709"/>
        <w:rPr>
          <w:rFonts w:eastAsia="Times"/>
          <w:szCs w:val="28"/>
        </w:rPr>
      </w:pPr>
      <w:r w:rsidRPr="00371DC5">
        <w:rPr>
          <w:rFonts w:eastAsia="Times"/>
          <w:b/>
          <w:szCs w:val="28"/>
        </w:rPr>
        <w:t>Clark, D. A., &amp; Beck A. T.</w:t>
      </w:r>
      <w:r w:rsidRPr="00371DC5">
        <w:rPr>
          <w:rFonts w:eastAsia="Times"/>
          <w:szCs w:val="28"/>
        </w:rPr>
        <w:t xml:space="preserve"> (2010). </w:t>
      </w:r>
      <w:r w:rsidRPr="00371DC5">
        <w:rPr>
          <w:rFonts w:eastAsia="Times"/>
          <w:i/>
          <w:szCs w:val="28"/>
        </w:rPr>
        <w:t>Cognitive therapy of anxiety disorders: Science and practice (</w:t>
      </w:r>
      <w:r w:rsidRPr="00371DC5">
        <w:rPr>
          <w:rFonts w:eastAsia="Times"/>
          <w:szCs w:val="28"/>
        </w:rPr>
        <w:t xml:space="preserve">paperback ed.). New York, NY: The Guilford Press. </w:t>
      </w:r>
    </w:p>
    <w:p w14:paraId="058B8CB7" w14:textId="77777777" w:rsidR="00091F32" w:rsidRPr="00371DC5" w:rsidRDefault="00BD3127" w:rsidP="00765AE8">
      <w:pPr>
        <w:widowControl w:val="0"/>
        <w:spacing w:line="480" w:lineRule="auto"/>
        <w:ind w:left="709" w:hanging="709"/>
        <w:rPr>
          <w:rFonts w:eastAsia="Times"/>
        </w:rPr>
      </w:pPr>
      <w:r w:rsidRPr="00371DC5">
        <w:rPr>
          <w:rFonts w:eastAsia="Times"/>
          <w:b/>
        </w:rPr>
        <w:t xml:space="preserve">Comrey, L. A., &amp; Lee, H. B. </w:t>
      </w:r>
      <w:r w:rsidRPr="00371DC5">
        <w:rPr>
          <w:rFonts w:eastAsia="Times"/>
        </w:rPr>
        <w:t xml:space="preserve">(1992). </w:t>
      </w:r>
      <w:r w:rsidRPr="00371DC5">
        <w:rPr>
          <w:rFonts w:eastAsia="Times"/>
          <w:i/>
        </w:rPr>
        <w:t>A first course in factor analysis</w:t>
      </w:r>
      <w:r w:rsidRPr="00371DC5">
        <w:rPr>
          <w:rFonts w:eastAsia="Times"/>
        </w:rPr>
        <w:t xml:space="preserve"> (2nd ed.). Hillside, NJ: Lawrence Erlbaum Associates. </w:t>
      </w:r>
    </w:p>
    <w:p w14:paraId="55A202EC" w14:textId="77777777" w:rsidR="00AA3822" w:rsidRPr="00371DC5" w:rsidRDefault="00AA3822" w:rsidP="00AA3822">
      <w:pPr>
        <w:widowControl w:val="0"/>
        <w:spacing w:line="480" w:lineRule="auto"/>
        <w:ind w:left="709" w:hanging="709"/>
        <w:rPr>
          <w:rFonts w:eastAsia="Times"/>
          <w:i/>
          <w:szCs w:val="28"/>
        </w:rPr>
      </w:pPr>
      <w:r w:rsidRPr="00371DC5">
        <w:rPr>
          <w:rFonts w:eastAsia="Times"/>
          <w:b/>
          <w:szCs w:val="28"/>
        </w:rPr>
        <w:t xml:space="preserve">Craske, M. G., &amp; Barlow, D. H. </w:t>
      </w:r>
      <w:r w:rsidRPr="00371DC5">
        <w:rPr>
          <w:rFonts w:eastAsia="Times"/>
          <w:szCs w:val="28"/>
        </w:rPr>
        <w:t xml:space="preserve">(2008). Panic disorder and agoraphobia.  In D. H. Barlow (Ed.), </w:t>
      </w:r>
      <w:r w:rsidRPr="00371DC5">
        <w:rPr>
          <w:rFonts w:eastAsia="Times"/>
          <w:i/>
          <w:szCs w:val="28"/>
        </w:rPr>
        <w:t xml:space="preserve">Clinical handbook of psychological disorders: A step-by-step treatment manual </w:t>
      </w:r>
      <w:r w:rsidRPr="00371DC5">
        <w:rPr>
          <w:rFonts w:eastAsia="Times"/>
          <w:szCs w:val="28"/>
        </w:rPr>
        <w:t xml:space="preserve">(4th ed. pp. 1-64).  New York, NY: The Guilford Press. </w:t>
      </w:r>
      <w:r w:rsidRPr="00371DC5">
        <w:rPr>
          <w:rFonts w:eastAsia="Times"/>
          <w:i/>
          <w:szCs w:val="28"/>
        </w:rPr>
        <w:t xml:space="preserve"> </w:t>
      </w:r>
    </w:p>
    <w:p w14:paraId="43570BA6" w14:textId="77777777" w:rsidR="00182CC9" w:rsidRPr="00371DC5" w:rsidRDefault="00BD3127" w:rsidP="00765AE8">
      <w:pPr>
        <w:widowControl w:val="0"/>
        <w:spacing w:line="480" w:lineRule="auto"/>
        <w:ind w:left="709" w:hanging="709"/>
        <w:rPr>
          <w:rFonts w:eastAsia="Times"/>
        </w:rPr>
      </w:pPr>
      <w:r w:rsidRPr="00371DC5">
        <w:rPr>
          <w:rFonts w:eastAsia="Times"/>
          <w:b/>
        </w:rPr>
        <w:t xml:space="preserve">Deacon, B. J., Farrell, N. R., Kemp, J. J., Dixon, L. J., Sy, J. T., Zhang, A. R., &amp; </w:t>
      </w:r>
      <w:r w:rsidRPr="00371DC5">
        <w:rPr>
          <w:rFonts w:eastAsia="Times"/>
          <w:b/>
        </w:rPr>
        <w:lastRenderedPageBreak/>
        <w:t>McGrath, P. B.</w:t>
      </w:r>
      <w:r w:rsidRPr="00371DC5">
        <w:rPr>
          <w:rFonts w:eastAsia="Times"/>
        </w:rPr>
        <w:t xml:space="preserve"> (2013). Assessing therapist reservations about exposure therapy for anxiety disorders: The Therapist Beliefs about Exposure Scale. </w:t>
      </w:r>
      <w:r w:rsidRPr="00371DC5">
        <w:rPr>
          <w:rFonts w:eastAsia="Times"/>
          <w:i/>
        </w:rPr>
        <w:t>Journal of Anxiety Disorders</w:t>
      </w:r>
      <w:r w:rsidRPr="00371DC5">
        <w:rPr>
          <w:rFonts w:eastAsia="Times"/>
        </w:rPr>
        <w:t xml:space="preserve">, </w:t>
      </w:r>
      <w:r w:rsidRPr="00371DC5">
        <w:rPr>
          <w:rFonts w:eastAsia="Times"/>
          <w:i/>
        </w:rPr>
        <w:t xml:space="preserve">27, </w:t>
      </w:r>
      <w:r w:rsidRPr="00371DC5">
        <w:rPr>
          <w:rFonts w:eastAsia="Times"/>
        </w:rPr>
        <w:t>772-780. doi: 10.1016/j.janxdis.2013.04.006.</w:t>
      </w:r>
    </w:p>
    <w:p w14:paraId="7D66B911" w14:textId="77777777" w:rsidR="007A24BC" w:rsidRPr="00371DC5" w:rsidRDefault="00BD3127" w:rsidP="00765AE8">
      <w:pPr>
        <w:widowControl w:val="0"/>
        <w:spacing w:line="480" w:lineRule="auto"/>
        <w:ind w:left="709" w:hanging="709"/>
        <w:rPr>
          <w:rFonts w:eastAsia="Times"/>
        </w:rPr>
      </w:pPr>
      <w:r w:rsidRPr="00371DC5">
        <w:rPr>
          <w:b/>
        </w:rPr>
        <w:t xml:space="preserve">Farrell, N. R., Deacon, B. J. Dixon, L. J., &amp; Lickel, J. J. </w:t>
      </w:r>
      <w:r w:rsidRPr="00371DC5">
        <w:t xml:space="preserve">(2013). Theory-based training strategies for modifying practitioner concerns about exposure therapy. </w:t>
      </w:r>
      <w:r w:rsidRPr="00371DC5">
        <w:rPr>
          <w:i/>
          <w:iCs/>
        </w:rPr>
        <w:t>Journal of Anxiety Disorders, 27,</w:t>
      </w:r>
      <w:r w:rsidRPr="00371DC5">
        <w:t>781-787. doi: 10.1016/j.janxdis.2013.09.003</w:t>
      </w:r>
    </w:p>
    <w:p w14:paraId="68D6B23E" w14:textId="77777777" w:rsidR="007A24BC" w:rsidRPr="00371DC5" w:rsidRDefault="00BD3127" w:rsidP="007A24BC">
      <w:pPr>
        <w:spacing w:line="480" w:lineRule="auto"/>
        <w:ind w:left="709" w:hanging="709"/>
      </w:pPr>
      <w:r w:rsidRPr="00371DC5">
        <w:rPr>
          <w:b/>
        </w:rPr>
        <w:t>Feeny, N. C., Hembree, E. A., &amp; Zoellner, L. A.</w:t>
      </w:r>
      <w:r w:rsidRPr="00371DC5">
        <w:t xml:space="preserve"> (2003). Myths regarding exposure therapy for PTSD. </w:t>
      </w:r>
      <w:r w:rsidRPr="00371DC5">
        <w:rPr>
          <w:i/>
          <w:iCs/>
        </w:rPr>
        <w:t>Cognitive and Behavioral Practice, 10</w:t>
      </w:r>
      <w:r w:rsidRPr="00371DC5">
        <w:t>, 85-90.</w:t>
      </w:r>
    </w:p>
    <w:p w14:paraId="0F80D21D" w14:textId="77777777" w:rsidR="007F28A2" w:rsidRPr="00371DC5" w:rsidRDefault="00BD3127" w:rsidP="007A24BC">
      <w:pPr>
        <w:spacing w:line="480" w:lineRule="auto"/>
        <w:ind w:left="709" w:hanging="709"/>
      </w:pPr>
      <w:r w:rsidRPr="00371DC5">
        <w:rPr>
          <w:b/>
          <w:color w:val="252525"/>
        </w:rPr>
        <w:t>Festinger, L.</w:t>
      </w:r>
      <w:r w:rsidRPr="00371DC5">
        <w:rPr>
          <w:color w:val="252525"/>
        </w:rPr>
        <w:t xml:space="preserve"> (1957). </w:t>
      </w:r>
      <w:r w:rsidRPr="00371DC5">
        <w:rPr>
          <w:rStyle w:val="Emphasis"/>
          <w:color w:val="252525"/>
        </w:rPr>
        <w:t>A Theory of cognitive dissonance</w:t>
      </w:r>
      <w:r w:rsidRPr="00371DC5">
        <w:rPr>
          <w:color w:val="252525"/>
        </w:rPr>
        <w:t>. Stanford, CA: Stanford University Press.</w:t>
      </w:r>
    </w:p>
    <w:p w14:paraId="5C0950FD" w14:textId="77777777" w:rsidR="002A1876" w:rsidRPr="00371DC5" w:rsidRDefault="00BD3127" w:rsidP="00765AE8">
      <w:pPr>
        <w:widowControl w:val="0"/>
        <w:spacing w:line="480" w:lineRule="auto"/>
        <w:ind w:left="709" w:hanging="709"/>
        <w:rPr>
          <w:rFonts w:eastAsia="Times"/>
        </w:rPr>
      </w:pPr>
      <w:r w:rsidRPr="00371DC5">
        <w:rPr>
          <w:rFonts w:eastAsia="Times"/>
          <w:b/>
        </w:rPr>
        <w:t>Finley, E. P., Garcia, H. A., Ketchum, N. S., McGeary, D. D., McGeary, C. A., Stirman, S., &amp; Peterson, A. L.</w:t>
      </w:r>
      <w:r w:rsidRPr="00371DC5">
        <w:rPr>
          <w:rFonts w:eastAsia="Times"/>
        </w:rPr>
        <w:t xml:space="preserve"> (2015). Utilization of evidence-based psychotherapies in veterans affairs posttraumatic stress disorder outpatient clinics. </w:t>
      </w:r>
      <w:r w:rsidRPr="00371DC5">
        <w:rPr>
          <w:rFonts w:eastAsia="Times"/>
          <w:i/>
        </w:rPr>
        <w:t xml:space="preserve">Psychological Services, 12, </w:t>
      </w:r>
      <w:r w:rsidRPr="00371DC5">
        <w:rPr>
          <w:rFonts w:eastAsia="Times"/>
        </w:rPr>
        <w:t>73-82. doi: 10.1037/ser0000014</w:t>
      </w:r>
    </w:p>
    <w:p w14:paraId="6C74EB6D" w14:textId="77777777" w:rsidR="00AA3822" w:rsidRPr="00371DC5" w:rsidRDefault="00AA3822" w:rsidP="00AA3822">
      <w:pPr>
        <w:widowControl w:val="0"/>
        <w:spacing w:line="480" w:lineRule="auto"/>
        <w:ind w:left="709" w:hanging="709"/>
        <w:rPr>
          <w:rFonts w:eastAsia="Times"/>
          <w:i/>
          <w:szCs w:val="28"/>
        </w:rPr>
      </w:pPr>
      <w:r w:rsidRPr="00371DC5">
        <w:rPr>
          <w:rFonts w:eastAsia="Times"/>
          <w:b/>
          <w:szCs w:val="28"/>
        </w:rPr>
        <w:t xml:space="preserve">Franklin, M. E., &amp; Foa, E. B. </w:t>
      </w:r>
      <w:r w:rsidRPr="00371DC5">
        <w:rPr>
          <w:rFonts w:eastAsia="Times"/>
          <w:szCs w:val="28"/>
        </w:rPr>
        <w:t xml:space="preserve">(2008). Obsessive-compulsive disorder. In D. H. Barlow (Ed.),  </w:t>
      </w:r>
      <w:r w:rsidRPr="00371DC5">
        <w:rPr>
          <w:rFonts w:eastAsia="Times"/>
          <w:i/>
          <w:szCs w:val="28"/>
        </w:rPr>
        <w:t xml:space="preserve">Clinical handbook of psychological disorders: A step-by-step treatment manual </w:t>
      </w:r>
      <w:r w:rsidRPr="00371DC5">
        <w:rPr>
          <w:rFonts w:eastAsia="Times"/>
          <w:szCs w:val="28"/>
        </w:rPr>
        <w:t xml:space="preserve">(4th ed. pp. 164-215).  New York, NY: The Guildford Press. </w:t>
      </w:r>
      <w:r w:rsidRPr="00371DC5">
        <w:rPr>
          <w:rFonts w:eastAsia="Times"/>
          <w:i/>
          <w:szCs w:val="28"/>
        </w:rPr>
        <w:t xml:space="preserve"> </w:t>
      </w:r>
    </w:p>
    <w:p w14:paraId="5C78958E" w14:textId="77777777" w:rsidR="00127595" w:rsidRPr="00371DC5" w:rsidRDefault="00BD3127" w:rsidP="00765AE8">
      <w:pPr>
        <w:widowControl w:val="0"/>
        <w:spacing w:line="480" w:lineRule="auto"/>
        <w:ind w:left="709" w:hanging="709"/>
        <w:rPr>
          <w:rFonts w:eastAsia="Times"/>
        </w:rPr>
      </w:pPr>
      <w:r w:rsidRPr="00371DC5">
        <w:rPr>
          <w:rFonts w:eastAsia="Times"/>
          <w:b/>
        </w:rPr>
        <w:t>Kaiser, H. F.</w:t>
      </w:r>
      <w:r w:rsidRPr="00371DC5">
        <w:rPr>
          <w:rFonts w:eastAsia="Times"/>
        </w:rPr>
        <w:t xml:space="preserve"> (1960). The application of electronic computers to factor analysis.</w:t>
      </w:r>
      <w:r w:rsidRPr="00371DC5">
        <w:rPr>
          <w:rFonts w:eastAsia="Times"/>
          <w:i/>
        </w:rPr>
        <w:t xml:space="preserve"> Educational and Psychological Measurement, 20,</w:t>
      </w:r>
      <w:r w:rsidRPr="00371DC5">
        <w:rPr>
          <w:rFonts w:eastAsia="Times"/>
        </w:rPr>
        <w:t xml:space="preserve"> 141-151. doi: 10.1177/001316446002000116</w:t>
      </w:r>
    </w:p>
    <w:p w14:paraId="190E443A" w14:textId="77777777" w:rsidR="00AA3822" w:rsidRPr="00371DC5" w:rsidRDefault="00AA3822" w:rsidP="00AA3822">
      <w:pPr>
        <w:widowControl w:val="0"/>
        <w:spacing w:line="480" w:lineRule="auto"/>
        <w:ind w:left="709" w:hanging="709"/>
        <w:rPr>
          <w:rFonts w:eastAsia="Times"/>
          <w:szCs w:val="28"/>
        </w:rPr>
      </w:pPr>
      <w:r w:rsidRPr="00371DC5">
        <w:rPr>
          <w:rFonts w:eastAsia="Times"/>
          <w:b/>
          <w:szCs w:val="28"/>
        </w:rPr>
        <w:t xml:space="preserve">Kearney, C. A. </w:t>
      </w:r>
      <w:r w:rsidRPr="00371DC5">
        <w:rPr>
          <w:rFonts w:eastAsia="Times"/>
          <w:szCs w:val="28"/>
        </w:rPr>
        <w:t xml:space="preserve">(2005). </w:t>
      </w:r>
      <w:r w:rsidRPr="00371DC5">
        <w:rPr>
          <w:rFonts w:eastAsia="Times"/>
          <w:i/>
          <w:szCs w:val="28"/>
        </w:rPr>
        <w:t xml:space="preserve">Social anxiety and social phobia in youth: Characteristics, assessment, and psychological treatment. </w:t>
      </w:r>
      <w:r w:rsidRPr="00371DC5">
        <w:rPr>
          <w:rFonts w:eastAsia="Times"/>
          <w:szCs w:val="28"/>
        </w:rPr>
        <w:t>Available from http://www.springer.com/us/book/9780387225913</w:t>
      </w:r>
    </w:p>
    <w:p w14:paraId="535C1E2A" w14:textId="77777777" w:rsidR="007A24BC" w:rsidRPr="00371DC5" w:rsidRDefault="00BD3127" w:rsidP="007A24BC">
      <w:pPr>
        <w:spacing w:line="480" w:lineRule="auto"/>
        <w:ind w:left="709" w:hanging="709"/>
      </w:pPr>
      <w:r w:rsidRPr="00371DC5">
        <w:rPr>
          <w:b/>
        </w:rPr>
        <w:t>Koch, E. I., Gloster, A. T., &amp; Waller, S. A.</w:t>
      </w:r>
      <w:r w:rsidRPr="00371DC5">
        <w:t xml:space="preserve"> (2007). Exposure treatments for panic disorder with and without agoraphobia. In D. S. Richard &amp; D. Lauterbach (Eds.). </w:t>
      </w:r>
      <w:r w:rsidRPr="00371DC5">
        <w:rPr>
          <w:i/>
          <w:iCs/>
        </w:rPr>
        <w:t xml:space="preserve">Comprehensive Handbook of Exposure Therapies. </w:t>
      </w:r>
      <w:r w:rsidRPr="00371DC5">
        <w:t>New York, NY: Academic Press.</w:t>
      </w:r>
    </w:p>
    <w:p w14:paraId="0FFE1AD6" w14:textId="77777777" w:rsidR="00573DA6" w:rsidRPr="00371DC5" w:rsidRDefault="00BD3127" w:rsidP="00765AE8">
      <w:pPr>
        <w:widowControl w:val="0"/>
        <w:spacing w:line="480" w:lineRule="auto"/>
        <w:ind w:left="709" w:hanging="709"/>
        <w:rPr>
          <w:rFonts w:eastAsia="Times"/>
        </w:rPr>
      </w:pPr>
      <w:r w:rsidRPr="00371DC5">
        <w:rPr>
          <w:rFonts w:eastAsia="Times"/>
          <w:b/>
        </w:rPr>
        <w:lastRenderedPageBreak/>
        <w:t>Kosmerly, S., Waller, G., &amp; Robinson, A. L.</w:t>
      </w:r>
      <w:r w:rsidRPr="00371DC5">
        <w:rPr>
          <w:rFonts w:eastAsia="Times"/>
        </w:rPr>
        <w:t xml:space="preserve"> (2015). Clinician adherence to guidelines in the delivery of family-based therapy for eating disorders. </w:t>
      </w:r>
      <w:r w:rsidRPr="00371DC5">
        <w:rPr>
          <w:rFonts w:eastAsia="Times"/>
          <w:i/>
        </w:rPr>
        <w:t>International Journal of Eating Disorders, 48</w:t>
      </w:r>
      <w:r w:rsidRPr="00371DC5">
        <w:rPr>
          <w:rFonts w:eastAsia="Times"/>
        </w:rPr>
        <w:t>, 223-229. doi: 10.1002/eat.22276.</w:t>
      </w:r>
    </w:p>
    <w:p w14:paraId="22583499" w14:textId="77777777" w:rsidR="007F28A2" w:rsidRPr="00371DC5" w:rsidRDefault="00BD3127" w:rsidP="00765AE8">
      <w:pPr>
        <w:widowControl w:val="0"/>
        <w:spacing w:line="480" w:lineRule="auto"/>
        <w:ind w:left="709" w:hanging="709"/>
        <w:rPr>
          <w:color w:val="000000"/>
          <w:lang w:eastAsia="zh-CN"/>
        </w:rPr>
      </w:pPr>
      <w:r w:rsidRPr="00371DC5">
        <w:rPr>
          <w:b/>
          <w:color w:val="000000"/>
          <w:lang w:eastAsia="zh-CN"/>
        </w:rPr>
        <w:t>Khawaja N. G., &amp; Lai, N. H.</w:t>
      </w:r>
      <w:r w:rsidRPr="00371DC5">
        <w:rPr>
          <w:color w:val="000000"/>
          <w:lang w:eastAsia="zh-CN"/>
        </w:rPr>
        <w:t xml:space="preserve"> (2010). A comparison of the 27-item and 12-item Intolerance of Uncertainty Scales. </w:t>
      </w:r>
      <w:r w:rsidRPr="00371DC5">
        <w:rPr>
          <w:i/>
          <w:color w:val="000000"/>
          <w:lang w:eastAsia="zh-CN"/>
        </w:rPr>
        <w:t>Clinical Psychologist, 14,</w:t>
      </w:r>
      <w:r w:rsidRPr="00371DC5">
        <w:rPr>
          <w:color w:val="000000"/>
          <w:lang w:eastAsia="zh-CN"/>
        </w:rPr>
        <w:t xml:space="preserve"> 97-106. </w:t>
      </w:r>
    </w:p>
    <w:p w14:paraId="2CE6958B" w14:textId="77777777" w:rsidR="00BE7343" w:rsidRPr="00371DC5" w:rsidRDefault="00BD3127">
      <w:pPr>
        <w:widowControl w:val="0"/>
        <w:spacing w:line="480" w:lineRule="auto"/>
        <w:ind w:left="709" w:hanging="709"/>
        <w:rPr>
          <w:b/>
        </w:rPr>
      </w:pPr>
      <w:r w:rsidRPr="00371DC5">
        <w:rPr>
          <w:b/>
        </w:rPr>
        <w:t>Levita, L., Salas Duhne, P. G., Girling, C., &amp; Waller, G.</w:t>
      </w:r>
      <w:r w:rsidRPr="00371DC5">
        <w:t xml:space="preserve"> (2016). Facets of clinicians’ anxiety and the delivery of cognitive behavioral therapy. </w:t>
      </w:r>
      <w:r w:rsidRPr="00371DC5">
        <w:rPr>
          <w:i/>
          <w:iCs/>
        </w:rPr>
        <w:t xml:space="preserve">Behaviour Research and Therapy, 77, </w:t>
      </w:r>
      <w:r w:rsidRPr="00371DC5">
        <w:t>157-161. doi: 10.1016/j.brat.2015.12.015</w:t>
      </w:r>
    </w:p>
    <w:p w14:paraId="2503C5AC" w14:textId="77777777" w:rsidR="00AA3822" w:rsidRPr="00371DC5" w:rsidRDefault="00AA3822" w:rsidP="00AA3822">
      <w:pPr>
        <w:widowControl w:val="0"/>
        <w:spacing w:line="480" w:lineRule="auto"/>
        <w:ind w:left="709" w:hanging="709"/>
        <w:rPr>
          <w:color w:val="000000"/>
          <w:lang w:eastAsia="zh-CN"/>
        </w:rPr>
      </w:pPr>
      <w:r w:rsidRPr="00371DC5">
        <w:rPr>
          <w:b/>
          <w:color w:val="000000"/>
          <w:lang w:eastAsia="zh-CN"/>
        </w:rPr>
        <w:t>Martin, B.</w:t>
      </w:r>
      <w:r w:rsidRPr="00371DC5">
        <w:rPr>
          <w:color w:val="000000"/>
          <w:lang w:eastAsia="zh-CN"/>
        </w:rPr>
        <w:t xml:space="preserve"> (2013). Treatment of anxiety. </w:t>
      </w:r>
      <w:r w:rsidRPr="00371DC5">
        <w:rPr>
          <w:i/>
          <w:color w:val="000000"/>
          <w:lang w:eastAsia="zh-CN"/>
        </w:rPr>
        <w:t xml:space="preserve">Low intensity cognitive behaviour therapy: A practitioner’s guide </w:t>
      </w:r>
      <w:r w:rsidRPr="00371DC5">
        <w:rPr>
          <w:color w:val="000000"/>
          <w:lang w:eastAsia="zh-CN"/>
        </w:rPr>
        <w:t>(pp. 218-252). Los Angeles: LA: Sage.</w:t>
      </w:r>
    </w:p>
    <w:p w14:paraId="1CC31899" w14:textId="77777777" w:rsidR="00B14AC9" w:rsidRPr="00371DC5" w:rsidRDefault="00BD3127" w:rsidP="00B14AC9">
      <w:pPr>
        <w:spacing w:line="480" w:lineRule="auto"/>
        <w:ind w:left="709" w:hanging="709"/>
      </w:pPr>
      <w:r w:rsidRPr="00371DC5">
        <w:rPr>
          <w:b/>
        </w:rPr>
        <w:t>Meyer, J. M., Farrell, N. R., Kemp, J. J., Blakey, S. M., &amp; Deacon, B. J.</w:t>
      </w:r>
      <w:r w:rsidRPr="00371DC5">
        <w:t xml:space="preserve"> (2014). Why do clinicians exclude anxious clients from exposure therapy? </w:t>
      </w:r>
      <w:r w:rsidRPr="00371DC5">
        <w:rPr>
          <w:i/>
          <w:iCs/>
        </w:rPr>
        <w:t xml:space="preserve">Behaviour Research and Therapy, 54, </w:t>
      </w:r>
      <w:r w:rsidRPr="00371DC5">
        <w:t>49-53. doi: 10.1016/j.brat.2014.01.004</w:t>
      </w:r>
    </w:p>
    <w:p w14:paraId="03937981" w14:textId="77777777" w:rsidR="00F645E8" w:rsidRPr="00371DC5" w:rsidRDefault="00BD3127" w:rsidP="00765AE8">
      <w:pPr>
        <w:widowControl w:val="0"/>
        <w:spacing w:line="480" w:lineRule="auto"/>
        <w:ind w:left="709" w:hanging="709"/>
        <w:rPr>
          <w:color w:val="000000"/>
          <w:lang w:eastAsia="zh-CN"/>
        </w:rPr>
      </w:pPr>
      <w:r w:rsidRPr="00371DC5">
        <w:rPr>
          <w:b/>
          <w:color w:val="000000"/>
          <w:lang w:val="pt-BR" w:eastAsia="zh-CN"/>
        </w:rPr>
        <w:t>Olantunji, B. O., Deacon, B. J., &amp; Abramowitz, J. S.</w:t>
      </w:r>
      <w:r w:rsidRPr="00371DC5">
        <w:rPr>
          <w:color w:val="000000"/>
          <w:lang w:val="pt-BR" w:eastAsia="zh-CN"/>
        </w:rPr>
        <w:t xml:space="preserve"> (2009). </w:t>
      </w:r>
      <w:r w:rsidRPr="00371DC5">
        <w:rPr>
          <w:color w:val="000000"/>
          <w:lang w:eastAsia="zh-CN"/>
        </w:rPr>
        <w:t xml:space="preserve">The cruelest cure? Ethical issues in the implementation of exposure-based treatments. </w:t>
      </w:r>
      <w:r w:rsidRPr="00371DC5">
        <w:rPr>
          <w:i/>
          <w:color w:val="000000"/>
          <w:lang w:eastAsia="zh-CN"/>
        </w:rPr>
        <w:t xml:space="preserve">Cognitive and Behavioural Practice, 16, </w:t>
      </w:r>
      <w:r w:rsidRPr="00371DC5">
        <w:rPr>
          <w:color w:val="000000"/>
          <w:lang w:eastAsia="zh-CN"/>
        </w:rPr>
        <w:t>172-180. doi: 10.1016/j.cbpra.2008.07.003</w:t>
      </w:r>
    </w:p>
    <w:p w14:paraId="4BA90E1F" w14:textId="77777777" w:rsidR="00AA3822" w:rsidRPr="00371DC5" w:rsidRDefault="00AA3822" w:rsidP="00AA3822">
      <w:pPr>
        <w:widowControl w:val="0"/>
        <w:spacing w:line="480" w:lineRule="auto"/>
        <w:ind w:left="709" w:hanging="709"/>
        <w:rPr>
          <w:color w:val="000000"/>
          <w:lang w:eastAsia="zh-CN"/>
        </w:rPr>
      </w:pPr>
      <w:r w:rsidRPr="00371DC5">
        <w:rPr>
          <w:b/>
          <w:color w:val="000000"/>
          <w:lang w:eastAsia="zh-CN"/>
        </w:rPr>
        <w:t xml:space="preserve">Resick, P. A., Monson, C. M., &amp; Rizvi, S. L. </w:t>
      </w:r>
      <w:r w:rsidRPr="00371DC5">
        <w:rPr>
          <w:color w:val="000000"/>
          <w:lang w:eastAsia="zh-CN"/>
        </w:rPr>
        <w:t xml:space="preserve">(2008). Posttraumatic stress disorder.  </w:t>
      </w:r>
      <w:r w:rsidRPr="00371DC5">
        <w:rPr>
          <w:rFonts w:eastAsia="Times"/>
          <w:szCs w:val="28"/>
        </w:rPr>
        <w:t xml:space="preserve">In D. H. Barlow (Ed.), </w:t>
      </w:r>
      <w:r w:rsidRPr="00371DC5">
        <w:rPr>
          <w:rFonts w:eastAsia="Times"/>
          <w:i/>
          <w:szCs w:val="28"/>
        </w:rPr>
        <w:t xml:space="preserve">Clinical handbook of psychological disorders: A step-by-step treatment manual </w:t>
      </w:r>
      <w:r w:rsidRPr="00371DC5">
        <w:rPr>
          <w:rFonts w:eastAsia="Times"/>
          <w:szCs w:val="28"/>
        </w:rPr>
        <w:t xml:space="preserve">(4th ed. pp. 65-122).  New York, NY: The Guilford Press. </w:t>
      </w:r>
      <w:r w:rsidRPr="00371DC5">
        <w:rPr>
          <w:rFonts w:eastAsia="Times"/>
          <w:i/>
          <w:szCs w:val="28"/>
        </w:rPr>
        <w:t xml:space="preserve"> </w:t>
      </w:r>
    </w:p>
    <w:p w14:paraId="2F8FA74F" w14:textId="77777777" w:rsidR="00BA189A" w:rsidRPr="00371DC5" w:rsidRDefault="00BD3127" w:rsidP="00765AE8">
      <w:pPr>
        <w:widowControl w:val="0"/>
        <w:spacing w:line="480" w:lineRule="auto"/>
        <w:ind w:left="709" w:hanging="709"/>
        <w:rPr>
          <w:rFonts w:eastAsia="Times"/>
        </w:rPr>
      </w:pPr>
      <w:r w:rsidRPr="00371DC5">
        <w:rPr>
          <w:rFonts w:eastAsia="Times"/>
          <w:b/>
        </w:rPr>
        <w:t xml:space="preserve">Rosenberg, M. </w:t>
      </w:r>
      <w:r w:rsidRPr="00371DC5">
        <w:rPr>
          <w:rFonts w:eastAsia="Times"/>
        </w:rPr>
        <w:t xml:space="preserve">(1965). </w:t>
      </w:r>
      <w:r w:rsidRPr="00371DC5">
        <w:rPr>
          <w:rFonts w:eastAsia="Times"/>
          <w:i/>
        </w:rPr>
        <w:t xml:space="preserve">Society and the adolescent self-image. </w:t>
      </w:r>
      <w:r w:rsidRPr="00371DC5">
        <w:rPr>
          <w:rFonts w:eastAsia="Times"/>
        </w:rPr>
        <w:t>Princeton, NJ: Princeton University Press.</w:t>
      </w:r>
    </w:p>
    <w:p w14:paraId="351258B1" w14:textId="77777777" w:rsidR="002D4316" w:rsidRPr="00371DC5" w:rsidRDefault="00BD3127" w:rsidP="00765AE8">
      <w:pPr>
        <w:widowControl w:val="0"/>
        <w:spacing w:line="480" w:lineRule="auto"/>
        <w:ind w:left="709" w:hanging="709"/>
        <w:rPr>
          <w:rFonts w:eastAsia="Times"/>
        </w:rPr>
      </w:pPr>
      <w:r w:rsidRPr="00371DC5">
        <w:rPr>
          <w:rFonts w:eastAsia="Times"/>
          <w:b/>
        </w:rPr>
        <w:t xml:space="preserve">Schmitt, D. P., &amp; Allik, J. </w:t>
      </w:r>
      <w:r w:rsidRPr="00371DC5">
        <w:rPr>
          <w:rFonts w:eastAsia="Times"/>
        </w:rPr>
        <w:t xml:space="preserve">(2005). Simultaneous administration of the Rosenberg Self-Esteem Scale in 53 nations: Exploring the universal and culture-specific features of global self-esteem. </w:t>
      </w:r>
      <w:r w:rsidRPr="00371DC5">
        <w:rPr>
          <w:rFonts w:eastAsia="Times"/>
          <w:i/>
        </w:rPr>
        <w:t xml:space="preserve">Journal of Personality and Social Psychology, 89, </w:t>
      </w:r>
      <w:r w:rsidRPr="00371DC5">
        <w:rPr>
          <w:rFonts w:eastAsia="Times"/>
        </w:rPr>
        <w:t>623-642. doi: 10.1037/0022-3514.89.4.623</w:t>
      </w:r>
    </w:p>
    <w:p w14:paraId="1BE153B9" w14:textId="77777777" w:rsidR="005424EA" w:rsidRPr="00371DC5" w:rsidRDefault="00BD3127" w:rsidP="00EF3958">
      <w:pPr>
        <w:widowControl w:val="0"/>
        <w:spacing w:line="480" w:lineRule="auto"/>
        <w:ind w:left="709" w:hanging="709"/>
      </w:pPr>
      <w:r w:rsidRPr="00371DC5">
        <w:rPr>
          <w:rFonts w:eastAsia="Times New Roman"/>
          <w:b/>
          <w:lang w:eastAsia="en-GB"/>
        </w:rPr>
        <w:lastRenderedPageBreak/>
        <w:t xml:space="preserve">Simpson-Southward, C., Hardy, G., &amp; Waller, G. </w:t>
      </w:r>
      <w:r w:rsidRPr="00371DC5">
        <w:rPr>
          <w:rFonts w:eastAsia="Times New Roman"/>
          <w:lang w:eastAsia="en-GB"/>
        </w:rPr>
        <w:t xml:space="preserve">(under consideration). The impact of case presentation and intra-individual factors on how supervisors guide clinicians in treatment of depressed cases. </w:t>
      </w:r>
      <w:r w:rsidRPr="00371DC5">
        <w:rPr>
          <w:rFonts w:eastAsia="Times New Roman"/>
          <w:i/>
          <w:lang w:eastAsia="en-GB"/>
        </w:rPr>
        <w:t>The Cognitive Behaviour Therapist.</w:t>
      </w:r>
    </w:p>
    <w:p w14:paraId="2E559662" w14:textId="77777777" w:rsidR="002D4316" w:rsidRPr="00371DC5" w:rsidRDefault="00BD3127" w:rsidP="00765AE8">
      <w:pPr>
        <w:widowControl w:val="0"/>
        <w:spacing w:line="480" w:lineRule="auto"/>
        <w:ind w:left="709" w:hanging="709"/>
        <w:rPr>
          <w:rFonts w:eastAsia="Times"/>
          <w:i/>
        </w:rPr>
      </w:pPr>
      <w:r w:rsidRPr="00371DC5">
        <w:rPr>
          <w:rFonts w:eastAsia="Times"/>
          <w:b/>
        </w:rPr>
        <w:t>Sinclair, S. J., Blais, M. A., Gansler, D. A., Sandberg, E., Bistis, K., &amp; LoCicero, A.</w:t>
      </w:r>
      <w:r w:rsidRPr="00371DC5">
        <w:rPr>
          <w:rFonts w:eastAsia="Times"/>
        </w:rPr>
        <w:t xml:space="preserve"> (2010). Psychometric properties of the Rosenberg Self-Esteem Scale: Overall and across demographic groups living within the United States. </w:t>
      </w:r>
      <w:r w:rsidRPr="00371DC5">
        <w:rPr>
          <w:rFonts w:eastAsia="Times"/>
          <w:i/>
        </w:rPr>
        <w:t>Evolution and the Health Professions, 33,</w:t>
      </w:r>
      <w:r w:rsidRPr="00371DC5">
        <w:rPr>
          <w:rFonts w:eastAsia="Times"/>
        </w:rPr>
        <w:t xml:space="preserve"> 56-80. doi: 10.1177/0163278709356187  </w:t>
      </w:r>
    </w:p>
    <w:p w14:paraId="2476ED98" w14:textId="77777777" w:rsidR="00BA189A" w:rsidRPr="00371DC5" w:rsidRDefault="00BD3127">
      <w:pPr>
        <w:widowControl w:val="0"/>
        <w:spacing w:line="480" w:lineRule="auto"/>
        <w:ind w:left="709" w:hanging="709"/>
      </w:pPr>
      <w:r w:rsidRPr="00371DC5">
        <w:rPr>
          <w:b/>
        </w:rPr>
        <w:t xml:space="preserve">Stobie, B., Taylor, T., Quigley, A., Ewing, S., &amp; Salkovskis, P. M. </w:t>
      </w:r>
      <w:r w:rsidRPr="00371DC5">
        <w:t xml:space="preserve">(2007). “Contents may vary”: A pilot study of treatment histories of OCD patients. </w:t>
      </w:r>
      <w:r w:rsidRPr="00371DC5">
        <w:rPr>
          <w:i/>
        </w:rPr>
        <w:t>Behavioural and Cognitive Psychotherapy, 35,</w:t>
      </w:r>
      <w:r w:rsidRPr="00371DC5">
        <w:t xml:space="preserve"> 272-282</w:t>
      </w:r>
    </w:p>
    <w:p w14:paraId="01859858" w14:textId="77777777" w:rsidR="00127595" w:rsidRPr="00371DC5" w:rsidRDefault="00BD3127">
      <w:pPr>
        <w:widowControl w:val="0"/>
        <w:spacing w:line="480" w:lineRule="auto"/>
        <w:ind w:left="709" w:hanging="709"/>
      </w:pPr>
      <w:r w:rsidRPr="00371DC5">
        <w:rPr>
          <w:b/>
        </w:rPr>
        <w:t>Tabaschnick, B. G., &amp; Fidell, L. S.</w:t>
      </w:r>
      <w:r w:rsidRPr="00371DC5">
        <w:t xml:space="preserve"> (2007). </w:t>
      </w:r>
      <w:r w:rsidRPr="00371DC5">
        <w:rPr>
          <w:i/>
        </w:rPr>
        <w:t xml:space="preserve">Using multivariate statistics </w:t>
      </w:r>
      <w:r w:rsidRPr="00371DC5">
        <w:t>(5th ed.)</w:t>
      </w:r>
      <w:r w:rsidRPr="00371DC5">
        <w:rPr>
          <w:i/>
        </w:rPr>
        <w:t>.</w:t>
      </w:r>
      <w:r w:rsidRPr="00371DC5">
        <w:rPr>
          <w:b/>
          <w:i/>
        </w:rPr>
        <w:t xml:space="preserve"> </w:t>
      </w:r>
      <w:r w:rsidRPr="00371DC5">
        <w:t>Boston, MA: Allyn &amp; Bacon.</w:t>
      </w:r>
    </w:p>
    <w:p w14:paraId="7D321D50" w14:textId="77777777" w:rsidR="00BA189A" w:rsidRPr="00371DC5" w:rsidRDefault="00BD3127" w:rsidP="00765AE8">
      <w:pPr>
        <w:widowControl w:val="0"/>
        <w:spacing w:line="480" w:lineRule="auto"/>
        <w:ind w:left="709" w:hanging="709"/>
        <w:rPr>
          <w:rFonts w:eastAsia="Times"/>
        </w:rPr>
      </w:pPr>
      <w:r w:rsidRPr="00371DC5">
        <w:rPr>
          <w:rFonts w:eastAsia="Times"/>
          <w:b/>
        </w:rPr>
        <w:t>Tobin, D. L., Banker, J. D., Weisberg, L., &amp; Bowers, W.</w:t>
      </w:r>
      <w:r w:rsidRPr="00371DC5">
        <w:rPr>
          <w:rFonts w:eastAsia="Times"/>
        </w:rPr>
        <w:t xml:space="preserve"> (2007). I know what you did last summer (and it was not CBT): A factor analytic model of international psychotherapeutic practice in eating disorders. </w:t>
      </w:r>
      <w:r w:rsidRPr="00371DC5">
        <w:rPr>
          <w:rFonts w:eastAsia="Times"/>
          <w:i/>
        </w:rPr>
        <w:t xml:space="preserve">International Journal of Eating Disorders, 40, </w:t>
      </w:r>
      <w:r w:rsidRPr="00371DC5">
        <w:rPr>
          <w:rFonts w:eastAsia="Times"/>
        </w:rPr>
        <w:t>754-757. doi: 10.1002/eat.20426.</w:t>
      </w:r>
    </w:p>
    <w:p w14:paraId="069B92DC" w14:textId="77777777" w:rsidR="00AA3822" w:rsidRPr="00371DC5" w:rsidRDefault="00AA3822" w:rsidP="00AA3822">
      <w:pPr>
        <w:widowControl w:val="0"/>
        <w:spacing w:line="480" w:lineRule="auto"/>
        <w:ind w:left="709" w:hanging="709"/>
        <w:rPr>
          <w:rFonts w:eastAsia="Times"/>
          <w:i/>
          <w:szCs w:val="28"/>
        </w:rPr>
      </w:pPr>
      <w:r w:rsidRPr="00371DC5">
        <w:rPr>
          <w:rFonts w:eastAsia="Times"/>
          <w:b/>
          <w:szCs w:val="28"/>
        </w:rPr>
        <w:t>Turk, C. L., Heimberg, R. G., &amp; Magee, L.</w:t>
      </w:r>
      <w:r w:rsidRPr="00371DC5">
        <w:rPr>
          <w:rFonts w:eastAsia="Times"/>
          <w:szCs w:val="28"/>
        </w:rPr>
        <w:t xml:space="preserve"> (2008). Social anxiety disorder. In D. H. Barlow (Ed.), </w:t>
      </w:r>
      <w:r w:rsidRPr="00371DC5">
        <w:rPr>
          <w:rFonts w:eastAsia="Times"/>
          <w:i/>
          <w:szCs w:val="28"/>
        </w:rPr>
        <w:t xml:space="preserve">Clinical handbook of psychological disorders: A step-by-step treatment manual </w:t>
      </w:r>
      <w:r w:rsidRPr="00371DC5">
        <w:rPr>
          <w:rFonts w:eastAsia="Times"/>
          <w:szCs w:val="28"/>
        </w:rPr>
        <w:t xml:space="preserve">(4th ed. pp. 123-163).  New York, NY: The Guilford Press. </w:t>
      </w:r>
      <w:r w:rsidRPr="00371DC5">
        <w:rPr>
          <w:rFonts w:eastAsia="Times"/>
          <w:i/>
          <w:szCs w:val="28"/>
        </w:rPr>
        <w:t xml:space="preserve"> </w:t>
      </w:r>
    </w:p>
    <w:p w14:paraId="195DA644" w14:textId="77777777" w:rsidR="00B14AC9" w:rsidRPr="00371DC5" w:rsidRDefault="00BD3127" w:rsidP="00765AE8">
      <w:pPr>
        <w:widowControl w:val="0"/>
        <w:spacing w:line="480" w:lineRule="auto"/>
        <w:ind w:left="709" w:hanging="709"/>
        <w:rPr>
          <w:rFonts w:eastAsia="Times"/>
          <w:iCs/>
        </w:rPr>
      </w:pPr>
      <w:r w:rsidRPr="00371DC5">
        <w:rPr>
          <w:rFonts w:eastAsia="Times"/>
          <w:b/>
          <w:iCs/>
        </w:rPr>
        <w:t xml:space="preserve">Turner, H., Tatham, M., Lant, M., Mountford, V. A., &amp; Waller, G. </w:t>
      </w:r>
      <w:r w:rsidRPr="00371DC5">
        <w:rPr>
          <w:rFonts w:eastAsia="Times"/>
          <w:iCs/>
        </w:rPr>
        <w:t xml:space="preserve">(2014). Clinicians’ concerns about delivering cognitive-behavioural therapy for eating disorders. </w:t>
      </w:r>
      <w:r w:rsidRPr="00371DC5">
        <w:rPr>
          <w:rFonts w:eastAsia="Times"/>
          <w:i/>
        </w:rPr>
        <w:t xml:space="preserve">Behaviour Research and Therapy, 57, </w:t>
      </w:r>
      <w:r w:rsidRPr="00371DC5">
        <w:rPr>
          <w:rFonts w:eastAsia="Times"/>
          <w:iCs/>
        </w:rPr>
        <w:t>38-42. doi: 10.1016/j.brat.2014.04.003</w:t>
      </w:r>
    </w:p>
    <w:p w14:paraId="38C035DA" w14:textId="77777777" w:rsidR="00127595" w:rsidRPr="00371DC5" w:rsidRDefault="00BD3127" w:rsidP="00765AE8">
      <w:pPr>
        <w:widowControl w:val="0"/>
        <w:spacing w:line="480" w:lineRule="auto"/>
        <w:ind w:left="709" w:hanging="709"/>
        <w:rPr>
          <w:rFonts w:eastAsia="Times"/>
        </w:rPr>
      </w:pPr>
      <w:r w:rsidRPr="00371DC5">
        <w:rPr>
          <w:rFonts w:eastAsia="Times"/>
          <w:b/>
        </w:rPr>
        <w:t xml:space="preserve">Yong, A. G., &amp; Pearce, S. </w:t>
      </w:r>
      <w:r w:rsidRPr="00371DC5">
        <w:rPr>
          <w:rFonts w:eastAsia="Times"/>
        </w:rPr>
        <w:t xml:space="preserve">(2013). A beginner’s guide to factor analysis: Focusing on exploratory factor analysis. </w:t>
      </w:r>
      <w:r w:rsidRPr="00371DC5">
        <w:rPr>
          <w:rFonts w:eastAsia="Times"/>
          <w:i/>
        </w:rPr>
        <w:t>Tutorials in Quantitative Methods in Psychology, 9,</w:t>
      </w:r>
      <w:r w:rsidRPr="00371DC5">
        <w:rPr>
          <w:rFonts w:eastAsia="Times"/>
        </w:rPr>
        <w:t xml:space="preserve"> 79-94.</w:t>
      </w:r>
    </w:p>
    <w:p w14:paraId="40DEBA0C" w14:textId="77777777" w:rsidR="00B14AC9" w:rsidRPr="00371DC5" w:rsidRDefault="00BD3127" w:rsidP="00B14AC9">
      <w:pPr>
        <w:spacing w:line="480" w:lineRule="auto"/>
        <w:ind w:left="709" w:hanging="709"/>
      </w:pPr>
      <w:r w:rsidRPr="00371DC5">
        <w:rPr>
          <w:b/>
          <w:lang w:val="sv-SE"/>
        </w:rPr>
        <w:lastRenderedPageBreak/>
        <w:t xml:space="preserve">Waller, G., Stringer, H., &amp; Meyer, C. </w:t>
      </w:r>
      <w:r w:rsidRPr="00371DC5">
        <w:rPr>
          <w:lang w:val="sv-SE"/>
        </w:rPr>
        <w:t xml:space="preserve">(2012). </w:t>
      </w:r>
      <w:r w:rsidRPr="00371DC5">
        <w:t>What cognitive behavioural techniques do therapist report using when deliverin</w:t>
      </w:r>
      <w:r w:rsidR="007F28A2" w:rsidRPr="00371DC5">
        <w:t>g</w:t>
      </w:r>
      <w:r w:rsidRPr="00371DC5">
        <w:t xml:space="preserve"> cognitive behavioral therapy for eating disorders? </w:t>
      </w:r>
      <w:r w:rsidRPr="00371DC5">
        <w:rPr>
          <w:i/>
          <w:iCs/>
        </w:rPr>
        <w:t xml:space="preserve">Journal of Consulting and Clinical Psychology, 80, </w:t>
      </w:r>
      <w:r w:rsidRPr="00371DC5">
        <w:t>171-175. doi: 10.1037/a0026559</w:t>
      </w:r>
    </w:p>
    <w:p w14:paraId="3B942DA2" w14:textId="77777777" w:rsidR="00AA3822" w:rsidRPr="00425615" w:rsidRDefault="00AA3822" w:rsidP="00AA3822">
      <w:pPr>
        <w:widowControl w:val="0"/>
        <w:spacing w:line="480" w:lineRule="auto"/>
        <w:ind w:left="709" w:hanging="709"/>
        <w:rPr>
          <w:rFonts w:eastAsia="Times"/>
          <w:i/>
          <w:szCs w:val="28"/>
        </w:rPr>
      </w:pPr>
      <w:r w:rsidRPr="00371DC5">
        <w:rPr>
          <w:rFonts w:eastAsia="Times"/>
          <w:b/>
          <w:szCs w:val="28"/>
        </w:rPr>
        <w:t>Whittal, M. L., &amp; Robichaud, M.</w:t>
      </w:r>
      <w:r w:rsidRPr="00371DC5">
        <w:rPr>
          <w:rFonts w:eastAsia="Times"/>
          <w:szCs w:val="28"/>
        </w:rPr>
        <w:t xml:space="preserve"> (2012) Cognitive treatment for OCD. In G. Steketee (Ed.), </w:t>
      </w:r>
      <w:r w:rsidRPr="00371DC5">
        <w:rPr>
          <w:rFonts w:eastAsia="Times"/>
          <w:i/>
          <w:szCs w:val="28"/>
        </w:rPr>
        <w:t xml:space="preserve">The Oxford handbook of obsessive compulsive and spectrum disorders </w:t>
      </w:r>
      <w:r w:rsidRPr="00371DC5">
        <w:rPr>
          <w:rFonts w:eastAsia="Times"/>
          <w:szCs w:val="28"/>
        </w:rPr>
        <w:t>(pp. 345-364). New York, NY: Oxford University Press.</w:t>
      </w:r>
      <w:bookmarkStart w:id="0" w:name="_GoBack"/>
      <w:bookmarkEnd w:id="0"/>
    </w:p>
    <w:p w14:paraId="3EA7806F" w14:textId="77777777" w:rsidR="00AA3822" w:rsidRPr="007F28A2" w:rsidRDefault="00AA3822" w:rsidP="00B14AC9">
      <w:pPr>
        <w:spacing w:line="480" w:lineRule="auto"/>
        <w:ind w:left="709" w:hanging="709"/>
      </w:pPr>
    </w:p>
    <w:sectPr w:rsidR="00AA3822" w:rsidRPr="007F28A2" w:rsidSect="00E779BD">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8B40" w14:textId="77777777" w:rsidR="003442E6" w:rsidRDefault="003442E6" w:rsidP="00A006B5">
      <w:pPr>
        <w:spacing w:line="240" w:lineRule="auto"/>
      </w:pPr>
      <w:r>
        <w:separator/>
      </w:r>
    </w:p>
  </w:endnote>
  <w:endnote w:type="continuationSeparator" w:id="0">
    <w:p w14:paraId="18759303" w14:textId="77777777" w:rsidR="003442E6" w:rsidRDefault="003442E6" w:rsidP="00A0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10F2" w14:textId="77777777" w:rsidR="00BE7343" w:rsidRDefault="00BE7343">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23F19" w14:textId="77777777" w:rsidR="003442E6" w:rsidRDefault="003442E6" w:rsidP="00A006B5">
      <w:pPr>
        <w:spacing w:line="240" w:lineRule="auto"/>
      </w:pPr>
      <w:r>
        <w:separator/>
      </w:r>
    </w:p>
  </w:footnote>
  <w:footnote w:type="continuationSeparator" w:id="0">
    <w:p w14:paraId="3B944609" w14:textId="77777777" w:rsidR="003442E6" w:rsidRDefault="003442E6" w:rsidP="00A006B5">
      <w:pPr>
        <w:spacing w:line="240" w:lineRule="auto"/>
      </w:pPr>
      <w:r>
        <w:continuationSeparator/>
      </w:r>
    </w:p>
  </w:footnote>
  <w:footnote w:id="1">
    <w:p w14:paraId="3BC8D557" w14:textId="77777777" w:rsidR="00BE7343" w:rsidRPr="00DE70C6" w:rsidRDefault="00BE7343">
      <w:pPr>
        <w:pStyle w:val="FootnoteText"/>
      </w:pPr>
      <w:r>
        <w:rPr>
          <w:rStyle w:val="FootnoteReference"/>
        </w:rPr>
        <w:footnoteRef/>
      </w:r>
      <w:r>
        <w:t xml:space="preserve"> </w:t>
      </w:r>
      <w:r>
        <w:rPr>
          <w:lang w:val="en-US"/>
        </w:rPr>
        <w:t xml:space="preserve">Additional exploratory factor analysis was </w:t>
      </w:r>
      <w:r w:rsidRPr="00E10A39">
        <w:rPr>
          <w:lang w:val="en-US"/>
        </w:rPr>
        <w:t>run using Principal Component Analysis with no rotation and with a Direct Oblimin rotation. The factor and item loadings were the same as those found with the Principal Axis Factoring, as reported in this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6FC1" w14:textId="77777777" w:rsidR="00BE7343" w:rsidRDefault="00BE7343">
    <w:pPr>
      <w:pStyle w:val="Header"/>
    </w:pPr>
    <w:r w:rsidRPr="002F5AE8">
      <w:t>VALIDATION OF THE NACS</w:t>
    </w:r>
    <w:r>
      <w:ptab w:relativeTo="margin" w:alignment="center" w:leader="none"/>
    </w:r>
    <w:r>
      <w:ptab w:relativeTo="margin" w:alignment="right" w:leader="none"/>
    </w:r>
    <w:r w:rsidR="00D832DB">
      <w:fldChar w:fldCharType="begin"/>
    </w:r>
    <w:r w:rsidR="00D832DB">
      <w:instrText xml:space="preserve"> PAGE   \* MERGEFORMAT </w:instrText>
    </w:r>
    <w:r w:rsidR="00D832DB">
      <w:fldChar w:fldCharType="separate"/>
    </w:r>
    <w:r w:rsidR="00371DC5">
      <w:rPr>
        <w:noProof/>
      </w:rPr>
      <w:t>9</w:t>
    </w:r>
    <w:r w:rsidR="00D832D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B84E1" w14:textId="77777777" w:rsidR="00BE7343" w:rsidRPr="002F5AE8" w:rsidRDefault="003442E6">
    <w:pPr>
      <w:pStyle w:val="Header"/>
    </w:pPr>
    <w:sdt>
      <w:sdt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00BE7343" w:rsidRPr="002F5AE8">
          <w:t>Running head: VALIDATION OF THE NACS</w:t>
        </w:r>
      </w:sdtContent>
    </w:sdt>
    <w:r w:rsidR="00BE7343" w:rsidRPr="002F5AE8">
      <w:rPr>
        <w:rFonts w:asciiTheme="majorHAnsi" w:eastAsiaTheme="majorEastAsia" w:hAnsiTheme="majorHAnsi" w:cstheme="majorBidi"/>
      </w:rPr>
      <w:ptab w:relativeTo="margin" w:alignment="right" w:leader="none"/>
    </w:r>
    <w:sdt>
      <w:sdtPr>
        <w:rPr>
          <w:rFonts w:asciiTheme="majorHAnsi" w:eastAsiaTheme="majorEastAsia" w:hAnsiTheme="majorHAnsi" w:cstheme="majorBidi"/>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BE7343" w:rsidRPr="002F5AE8">
          <w:rPr>
            <w:rFonts w:asciiTheme="majorHAnsi" w:eastAsiaTheme="majorEastAsia" w:hAnsiTheme="majorHAnsi" w:cstheme="majorBidi"/>
          </w:rPr>
          <w:t>1</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56A6"/>
    <w:multiLevelType w:val="hybridMultilevel"/>
    <w:tmpl w:val="AC5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57505"/>
    <w:multiLevelType w:val="hybridMultilevel"/>
    <w:tmpl w:val="032AA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42"/>
    <w:rsid w:val="00001B1F"/>
    <w:rsid w:val="0000360E"/>
    <w:rsid w:val="000119AC"/>
    <w:rsid w:val="00017992"/>
    <w:rsid w:val="00017EF9"/>
    <w:rsid w:val="00030CE5"/>
    <w:rsid w:val="00032144"/>
    <w:rsid w:val="000446B2"/>
    <w:rsid w:val="00062ED8"/>
    <w:rsid w:val="00071223"/>
    <w:rsid w:val="000715E3"/>
    <w:rsid w:val="000760D3"/>
    <w:rsid w:val="00077F50"/>
    <w:rsid w:val="000805A3"/>
    <w:rsid w:val="0008732E"/>
    <w:rsid w:val="00091F32"/>
    <w:rsid w:val="00093663"/>
    <w:rsid w:val="00097A53"/>
    <w:rsid w:val="00097BEE"/>
    <w:rsid w:val="000A34BB"/>
    <w:rsid w:val="000C395E"/>
    <w:rsid w:val="000D0B88"/>
    <w:rsid w:val="000D1FCC"/>
    <w:rsid w:val="000D3F96"/>
    <w:rsid w:val="000D454A"/>
    <w:rsid w:val="000D4662"/>
    <w:rsid w:val="000D5544"/>
    <w:rsid w:val="000D75D0"/>
    <w:rsid w:val="000E135E"/>
    <w:rsid w:val="000E189A"/>
    <w:rsid w:val="000E4A6D"/>
    <w:rsid w:val="000F4397"/>
    <w:rsid w:val="000F631A"/>
    <w:rsid w:val="000F75C2"/>
    <w:rsid w:val="001019CF"/>
    <w:rsid w:val="00107470"/>
    <w:rsid w:val="00114F87"/>
    <w:rsid w:val="001175E0"/>
    <w:rsid w:val="00122BD0"/>
    <w:rsid w:val="00127595"/>
    <w:rsid w:val="00130C7A"/>
    <w:rsid w:val="00146B3E"/>
    <w:rsid w:val="00161059"/>
    <w:rsid w:val="00161113"/>
    <w:rsid w:val="00174DD1"/>
    <w:rsid w:val="00177D83"/>
    <w:rsid w:val="00180133"/>
    <w:rsid w:val="00182CC9"/>
    <w:rsid w:val="00185EFE"/>
    <w:rsid w:val="001902AE"/>
    <w:rsid w:val="001905D2"/>
    <w:rsid w:val="001920A1"/>
    <w:rsid w:val="00192FFD"/>
    <w:rsid w:val="001A149E"/>
    <w:rsid w:val="001A6DCE"/>
    <w:rsid w:val="001B5A84"/>
    <w:rsid w:val="001B6D79"/>
    <w:rsid w:val="001B6DB6"/>
    <w:rsid w:val="001C12FE"/>
    <w:rsid w:val="001C1B54"/>
    <w:rsid w:val="001C2351"/>
    <w:rsid w:val="001C5981"/>
    <w:rsid w:val="001D2F62"/>
    <w:rsid w:val="001D5AA7"/>
    <w:rsid w:val="001F5617"/>
    <w:rsid w:val="001F7AC0"/>
    <w:rsid w:val="0020145D"/>
    <w:rsid w:val="002106EC"/>
    <w:rsid w:val="002110CB"/>
    <w:rsid w:val="00215898"/>
    <w:rsid w:val="0022065C"/>
    <w:rsid w:val="002228A5"/>
    <w:rsid w:val="0022486F"/>
    <w:rsid w:val="0022694E"/>
    <w:rsid w:val="00227B4D"/>
    <w:rsid w:val="0024220B"/>
    <w:rsid w:val="00245E22"/>
    <w:rsid w:val="00251BDD"/>
    <w:rsid w:val="00253172"/>
    <w:rsid w:val="002560F2"/>
    <w:rsid w:val="002623BA"/>
    <w:rsid w:val="00285E26"/>
    <w:rsid w:val="00287282"/>
    <w:rsid w:val="00296E24"/>
    <w:rsid w:val="002A1876"/>
    <w:rsid w:val="002A2680"/>
    <w:rsid w:val="002B0649"/>
    <w:rsid w:val="002B2581"/>
    <w:rsid w:val="002B2BEB"/>
    <w:rsid w:val="002B4AC4"/>
    <w:rsid w:val="002B695B"/>
    <w:rsid w:val="002C1019"/>
    <w:rsid w:val="002D4316"/>
    <w:rsid w:val="002D6348"/>
    <w:rsid w:val="002D7FBB"/>
    <w:rsid w:val="002F4461"/>
    <w:rsid w:val="002F5AE8"/>
    <w:rsid w:val="002F65DE"/>
    <w:rsid w:val="003030B6"/>
    <w:rsid w:val="0030345E"/>
    <w:rsid w:val="00306155"/>
    <w:rsid w:val="0031110C"/>
    <w:rsid w:val="003114FC"/>
    <w:rsid w:val="00311A60"/>
    <w:rsid w:val="00312296"/>
    <w:rsid w:val="00313B7D"/>
    <w:rsid w:val="00321CE7"/>
    <w:rsid w:val="0032456D"/>
    <w:rsid w:val="00326D43"/>
    <w:rsid w:val="00330BD8"/>
    <w:rsid w:val="00331116"/>
    <w:rsid w:val="00335613"/>
    <w:rsid w:val="00335881"/>
    <w:rsid w:val="0033669B"/>
    <w:rsid w:val="0034316C"/>
    <w:rsid w:val="003442E6"/>
    <w:rsid w:val="0036048E"/>
    <w:rsid w:val="00363A14"/>
    <w:rsid w:val="00371910"/>
    <w:rsid w:val="00371DC5"/>
    <w:rsid w:val="00380EE8"/>
    <w:rsid w:val="00383E80"/>
    <w:rsid w:val="003856B3"/>
    <w:rsid w:val="00385AB0"/>
    <w:rsid w:val="00386B88"/>
    <w:rsid w:val="003979FA"/>
    <w:rsid w:val="003C7C8B"/>
    <w:rsid w:val="003D031C"/>
    <w:rsid w:val="003D1465"/>
    <w:rsid w:val="003D387C"/>
    <w:rsid w:val="003D4DE6"/>
    <w:rsid w:val="003D5A6B"/>
    <w:rsid w:val="003D71C6"/>
    <w:rsid w:val="003E06A8"/>
    <w:rsid w:val="003E0BDE"/>
    <w:rsid w:val="003E1ED5"/>
    <w:rsid w:val="004065BC"/>
    <w:rsid w:val="00415001"/>
    <w:rsid w:val="00416CD7"/>
    <w:rsid w:val="00417DB7"/>
    <w:rsid w:val="004205A6"/>
    <w:rsid w:val="00430BF8"/>
    <w:rsid w:val="00444AAB"/>
    <w:rsid w:val="00446ABE"/>
    <w:rsid w:val="00461715"/>
    <w:rsid w:val="00466B19"/>
    <w:rsid w:val="00470CE0"/>
    <w:rsid w:val="004766B2"/>
    <w:rsid w:val="00481D25"/>
    <w:rsid w:val="00484539"/>
    <w:rsid w:val="00485A83"/>
    <w:rsid w:val="0048627A"/>
    <w:rsid w:val="00486D1A"/>
    <w:rsid w:val="0049156B"/>
    <w:rsid w:val="00493B51"/>
    <w:rsid w:val="0049635A"/>
    <w:rsid w:val="004978CC"/>
    <w:rsid w:val="00497DFD"/>
    <w:rsid w:val="004A096D"/>
    <w:rsid w:val="004A380D"/>
    <w:rsid w:val="004A4D4B"/>
    <w:rsid w:val="004C720F"/>
    <w:rsid w:val="004D2B52"/>
    <w:rsid w:val="004D491D"/>
    <w:rsid w:val="004D4E42"/>
    <w:rsid w:val="004E0882"/>
    <w:rsid w:val="004E7791"/>
    <w:rsid w:val="004F3A73"/>
    <w:rsid w:val="00505B94"/>
    <w:rsid w:val="00505E59"/>
    <w:rsid w:val="0050637A"/>
    <w:rsid w:val="00517BEB"/>
    <w:rsid w:val="00517E77"/>
    <w:rsid w:val="00520832"/>
    <w:rsid w:val="005218FF"/>
    <w:rsid w:val="00525EE5"/>
    <w:rsid w:val="0052633A"/>
    <w:rsid w:val="00527FCC"/>
    <w:rsid w:val="00530852"/>
    <w:rsid w:val="005404C5"/>
    <w:rsid w:val="005411AB"/>
    <w:rsid w:val="005424EA"/>
    <w:rsid w:val="005506A4"/>
    <w:rsid w:val="00550DDA"/>
    <w:rsid w:val="0055111A"/>
    <w:rsid w:val="00556EA4"/>
    <w:rsid w:val="00560E0C"/>
    <w:rsid w:val="00562664"/>
    <w:rsid w:val="00563DDC"/>
    <w:rsid w:val="00566E15"/>
    <w:rsid w:val="00570BC1"/>
    <w:rsid w:val="00573DA6"/>
    <w:rsid w:val="005750AC"/>
    <w:rsid w:val="00575FE6"/>
    <w:rsid w:val="00577729"/>
    <w:rsid w:val="005855A3"/>
    <w:rsid w:val="00585654"/>
    <w:rsid w:val="005A6D24"/>
    <w:rsid w:val="005B11D9"/>
    <w:rsid w:val="005B2595"/>
    <w:rsid w:val="005B35F0"/>
    <w:rsid w:val="005C009A"/>
    <w:rsid w:val="005C09EA"/>
    <w:rsid w:val="005C15D7"/>
    <w:rsid w:val="005D4D4E"/>
    <w:rsid w:val="005E46FB"/>
    <w:rsid w:val="005E5891"/>
    <w:rsid w:val="005F2A23"/>
    <w:rsid w:val="00601568"/>
    <w:rsid w:val="006036FD"/>
    <w:rsid w:val="0060578C"/>
    <w:rsid w:val="00607A89"/>
    <w:rsid w:val="00612BDB"/>
    <w:rsid w:val="00614450"/>
    <w:rsid w:val="00633A72"/>
    <w:rsid w:val="0063489B"/>
    <w:rsid w:val="00637845"/>
    <w:rsid w:val="00637CF3"/>
    <w:rsid w:val="00645490"/>
    <w:rsid w:val="00653BFF"/>
    <w:rsid w:val="00677FEE"/>
    <w:rsid w:val="00684BB1"/>
    <w:rsid w:val="006B08B6"/>
    <w:rsid w:val="006B1ACE"/>
    <w:rsid w:val="006C2FD2"/>
    <w:rsid w:val="006C48B8"/>
    <w:rsid w:val="006C6BD1"/>
    <w:rsid w:val="006D61B5"/>
    <w:rsid w:val="006F0A3A"/>
    <w:rsid w:val="006F3AD8"/>
    <w:rsid w:val="006F4DD6"/>
    <w:rsid w:val="006F7553"/>
    <w:rsid w:val="007007A7"/>
    <w:rsid w:val="00704540"/>
    <w:rsid w:val="00704E02"/>
    <w:rsid w:val="0074723E"/>
    <w:rsid w:val="00747A13"/>
    <w:rsid w:val="007522BF"/>
    <w:rsid w:val="00762309"/>
    <w:rsid w:val="007643E8"/>
    <w:rsid w:val="00765AE8"/>
    <w:rsid w:val="00773743"/>
    <w:rsid w:val="00776566"/>
    <w:rsid w:val="007901F9"/>
    <w:rsid w:val="00792A7E"/>
    <w:rsid w:val="007A24BC"/>
    <w:rsid w:val="007A260D"/>
    <w:rsid w:val="007A4BA7"/>
    <w:rsid w:val="007A5359"/>
    <w:rsid w:val="007B3E9C"/>
    <w:rsid w:val="007B4B18"/>
    <w:rsid w:val="007B7B4D"/>
    <w:rsid w:val="007C1411"/>
    <w:rsid w:val="007C4DBC"/>
    <w:rsid w:val="007D0CC6"/>
    <w:rsid w:val="007D5B69"/>
    <w:rsid w:val="007E0D2E"/>
    <w:rsid w:val="007E5361"/>
    <w:rsid w:val="007E59A3"/>
    <w:rsid w:val="007F28A2"/>
    <w:rsid w:val="007F6B90"/>
    <w:rsid w:val="00805050"/>
    <w:rsid w:val="00813EA5"/>
    <w:rsid w:val="00816ADF"/>
    <w:rsid w:val="00817415"/>
    <w:rsid w:val="008317CB"/>
    <w:rsid w:val="0083186C"/>
    <w:rsid w:val="008372CE"/>
    <w:rsid w:val="00843CA2"/>
    <w:rsid w:val="0084603F"/>
    <w:rsid w:val="00850714"/>
    <w:rsid w:val="00853FCB"/>
    <w:rsid w:val="00856E89"/>
    <w:rsid w:val="00860D48"/>
    <w:rsid w:val="0086158F"/>
    <w:rsid w:val="00864B8E"/>
    <w:rsid w:val="00870744"/>
    <w:rsid w:val="00871784"/>
    <w:rsid w:val="00872A57"/>
    <w:rsid w:val="0087337D"/>
    <w:rsid w:val="00876EDA"/>
    <w:rsid w:val="008839AD"/>
    <w:rsid w:val="00893AE6"/>
    <w:rsid w:val="008A32B9"/>
    <w:rsid w:val="008A34B3"/>
    <w:rsid w:val="008B5884"/>
    <w:rsid w:val="008B75E4"/>
    <w:rsid w:val="008C4DBD"/>
    <w:rsid w:val="008C4E6E"/>
    <w:rsid w:val="008E33FD"/>
    <w:rsid w:val="008E4205"/>
    <w:rsid w:val="008E5428"/>
    <w:rsid w:val="008F0D35"/>
    <w:rsid w:val="00901417"/>
    <w:rsid w:val="00901D24"/>
    <w:rsid w:val="00907B41"/>
    <w:rsid w:val="0091256A"/>
    <w:rsid w:val="009135B5"/>
    <w:rsid w:val="009144E2"/>
    <w:rsid w:val="00921680"/>
    <w:rsid w:val="00922B79"/>
    <w:rsid w:val="00922CB2"/>
    <w:rsid w:val="009361FD"/>
    <w:rsid w:val="00936521"/>
    <w:rsid w:val="00937DAD"/>
    <w:rsid w:val="00943861"/>
    <w:rsid w:val="00951D2D"/>
    <w:rsid w:val="00951E65"/>
    <w:rsid w:val="00953CA3"/>
    <w:rsid w:val="00953F5A"/>
    <w:rsid w:val="0096259A"/>
    <w:rsid w:val="009641BC"/>
    <w:rsid w:val="00966AE3"/>
    <w:rsid w:val="00967B28"/>
    <w:rsid w:val="00975687"/>
    <w:rsid w:val="00977116"/>
    <w:rsid w:val="009778A6"/>
    <w:rsid w:val="00982911"/>
    <w:rsid w:val="009838F6"/>
    <w:rsid w:val="0099091D"/>
    <w:rsid w:val="009966BC"/>
    <w:rsid w:val="009975F5"/>
    <w:rsid w:val="009A4675"/>
    <w:rsid w:val="009A7DEF"/>
    <w:rsid w:val="009B16CE"/>
    <w:rsid w:val="009B620E"/>
    <w:rsid w:val="009B6D8C"/>
    <w:rsid w:val="009D0147"/>
    <w:rsid w:val="009D3BD7"/>
    <w:rsid w:val="009E2B37"/>
    <w:rsid w:val="009E5F5A"/>
    <w:rsid w:val="009E71C7"/>
    <w:rsid w:val="009F3140"/>
    <w:rsid w:val="009F645C"/>
    <w:rsid w:val="009F7756"/>
    <w:rsid w:val="009F7E8A"/>
    <w:rsid w:val="00A006B5"/>
    <w:rsid w:val="00A02836"/>
    <w:rsid w:val="00A05740"/>
    <w:rsid w:val="00A26ABE"/>
    <w:rsid w:val="00A27D8A"/>
    <w:rsid w:val="00A32F5B"/>
    <w:rsid w:val="00A339D8"/>
    <w:rsid w:val="00A3577D"/>
    <w:rsid w:val="00A40C42"/>
    <w:rsid w:val="00A4110C"/>
    <w:rsid w:val="00A41D94"/>
    <w:rsid w:val="00A429AB"/>
    <w:rsid w:val="00A42E43"/>
    <w:rsid w:val="00A441D0"/>
    <w:rsid w:val="00A4463F"/>
    <w:rsid w:val="00A45306"/>
    <w:rsid w:val="00A5498F"/>
    <w:rsid w:val="00A54BE4"/>
    <w:rsid w:val="00A57E0A"/>
    <w:rsid w:val="00A65154"/>
    <w:rsid w:val="00A74E3D"/>
    <w:rsid w:val="00A845C6"/>
    <w:rsid w:val="00A846FB"/>
    <w:rsid w:val="00A84893"/>
    <w:rsid w:val="00AA054E"/>
    <w:rsid w:val="00AA3822"/>
    <w:rsid w:val="00AB0E7A"/>
    <w:rsid w:val="00AB7EBA"/>
    <w:rsid w:val="00AC11C6"/>
    <w:rsid w:val="00AC6B3E"/>
    <w:rsid w:val="00AD14DD"/>
    <w:rsid w:val="00AD46CA"/>
    <w:rsid w:val="00AE0BDD"/>
    <w:rsid w:val="00AE6C3E"/>
    <w:rsid w:val="00AF4E55"/>
    <w:rsid w:val="00AF4FE6"/>
    <w:rsid w:val="00B0320D"/>
    <w:rsid w:val="00B04A19"/>
    <w:rsid w:val="00B0580B"/>
    <w:rsid w:val="00B11EC8"/>
    <w:rsid w:val="00B13A42"/>
    <w:rsid w:val="00B14AC9"/>
    <w:rsid w:val="00B24700"/>
    <w:rsid w:val="00B27798"/>
    <w:rsid w:val="00B31EB7"/>
    <w:rsid w:val="00B3603B"/>
    <w:rsid w:val="00B44F40"/>
    <w:rsid w:val="00B52632"/>
    <w:rsid w:val="00B5498A"/>
    <w:rsid w:val="00B54BB3"/>
    <w:rsid w:val="00B5567A"/>
    <w:rsid w:val="00B56454"/>
    <w:rsid w:val="00B565A0"/>
    <w:rsid w:val="00B6021F"/>
    <w:rsid w:val="00B609BD"/>
    <w:rsid w:val="00B754B6"/>
    <w:rsid w:val="00B8334B"/>
    <w:rsid w:val="00B83B8D"/>
    <w:rsid w:val="00B83F40"/>
    <w:rsid w:val="00B92A10"/>
    <w:rsid w:val="00B96934"/>
    <w:rsid w:val="00B96D92"/>
    <w:rsid w:val="00BA189A"/>
    <w:rsid w:val="00BA5778"/>
    <w:rsid w:val="00BA797F"/>
    <w:rsid w:val="00BB5D6B"/>
    <w:rsid w:val="00BC0D0B"/>
    <w:rsid w:val="00BC4ABD"/>
    <w:rsid w:val="00BD117C"/>
    <w:rsid w:val="00BD3127"/>
    <w:rsid w:val="00BD5166"/>
    <w:rsid w:val="00BE685E"/>
    <w:rsid w:val="00BE7343"/>
    <w:rsid w:val="00BF187C"/>
    <w:rsid w:val="00BF32DE"/>
    <w:rsid w:val="00C015CC"/>
    <w:rsid w:val="00C14A71"/>
    <w:rsid w:val="00C15368"/>
    <w:rsid w:val="00C159DB"/>
    <w:rsid w:val="00C22A10"/>
    <w:rsid w:val="00C23936"/>
    <w:rsid w:val="00C43ED5"/>
    <w:rsid w:val="00C47069"/>
    <w:rsid w:val="00C5462F"/>
    <w:rsid w:val="00C56133"/>
    <w:rsid w:val="00C600A3"/>
    <w:rsid w:val="00C60BC0"/>
    <w:rsid w:val="00C7115A"/>
    <w:rsid w:val="00C72686"/>
    <w:rsid w:val="00C81E0B"/>
    <w:rsid w:val="00C850D1"/>
    <w:rsid w:val="00CA28EE"/>
    <w:rsid w:val="00CA67B0"/>
    <w:rsid w:val="00CB2404"/>
    <w:rsid w:val="00CB2D99"/>
    <w:rsid w:val="00CB33C3"/>
    <w:rsid w:val="00CB599B"/>
    <w:rsid w:val="00CC72B8"/>
    <w:rsid w:val="00CD1E4D"/>
    <w:rsid w:val="00CE310A"/>
    <w:rsid w:val="00CE4BE7"/>
    <w:rsid w:val="00CF5569"/>
    <w:rsid w:val="00CF6B11"/>
    <w:rsid w:val="00CF7B89"/>
    <w:rsid w:val="00D04EE3"/>
    <w:rsid w:val="00D11F55"/>
    <w:rsid w:val="00D149CB"/>
    <w:rsid w:val="00D17B54"/>
    <w:rsid w:val="00D214DF"/>
    <w:rsid w:val="00D23A54"/>
    <w:rsid w:val="00D343D5"/>
    <w:rsid w:val="00D349FD"/>
    <w:rsid w:val="00D401C0"/>
    <w:rsid w:val="00D450FB"/>
    <w:rsid w:val="00D46478"/>
    <w:rsid w:val="00D50006"/>
    <w:rsid w:val="00D504D0"/>
    <w:rsid w:val="00D60698"/>
    <w:rsid w:val="00D7197A"/>
    <w:rsid w:val="00D76F9F"/>
    <w:rsid w:val="00D77F70"/>
    <w:rsid w:val="00D832DB"/>
    <w:rsid w:val="00D83AAA"/>
    <w:rsid w:val="00D84087"/>
    <w:rsid w:val="00D90ADB"/>
    <w:rsid w:val="00D925BE"/>
    <w:rsid w:val="00D934EE"/>
    <w:rsid w:val="00D939BC"/>
    <w:rsid w:val="00D949D3"/>
    <w:rsid w:val="00D976ED"/>
    <w:rsid w:val="00D97931"/>
    <w:rsid w:val="00DA47DD"/>
    <w:rsid w:val="00DA64B6"/>
    <w:rsid w:val="00DD494B"/>
    <w:rsid w:val="00DE70C6"/>
    <w:rsid w:val="00DE7B47"/>
    <w:rsid w:val="00DF0055"/>
    <w:rsid w:val="00DF2A6A"/>
    <w:rsid w:val="00DF50B6"/>
    <w:rsid w:val="00E003BF"/>
    <w:rsid w:val="00E012CE"/>
    <w:rsid w:val="00E0131A"/>
    <w:rsid w:val="00E10A39"/>
    <w:rsid w:val="00E10C9D"/>
    <w:rsid w:val="00E11688"/>
    <w:rsid w:val="00E12255"/>
    <w:rsid w:val="00E138D6"/>
    <w:rsid w:val="00E159B3"/>
    <w:rsid w:val="00E20B95"/>
    <w:rsid w:val="00E248CB"/>
    <w:rsid w:val="00E26379"/>
    <w:rsid w:val="00E33D83"/>
    <w:rsid w:val="00E50805"/>
    <w:rsid w:val="00E54C00"/>
    <w:rsid w:val="00E561F0"/>
    <w:rsid w:val="00E57C84"/>
    <w:rsid w:val="00E62E63"/>
    <w:rsid w:val="00E719C1"/>
    <w:rsid w:val="00E7354B"/>
    <w:rsid w:val="00E779BD"/>
    <w:rsid w:val="00E81835"/>
    <w:rsid w:val="00E823F5"/>
    <w:rsid w:val="00E87322"/>
    <w:rsid w:val="00E965CF"/>
    <w:rsid w:val="00EA25EF"/>
    <w:rsid w:val="00EA5E32"/>
    <w:rsid w:val="00EA65FB"/>
    <w:rsid w:val="00EA7EAF"/>
    <w:rsid w:val="00EB20F3"/>
    <w:rsid w:val="00EB4787"/>
    <w:rsid w:val="00EB6A7D"/>
    <w:rsid w:val="00EC1005"/>
    <w:rsid w:val="00ED02C5"/>
    <w:rsid w:val="00ED3872"/>
    <w:rsid w:val="00EE1465"/>
    <w:rsid w:val="00EF0E66"/>
    <w:rsid w:val="00EF284F"/>
    <w:rsid w:val="00EF2ED2"/>
    <w:rsid w:val="00EF3958"/>
    <w:rsid w:val="00F0072E"/>
    <w:rsid w:val="00F03BA7"/>
    <w:rsid w:val="00F07182"/>
    <w:rsid w:val="00F14B5B"/>
    <w:rsid w:val="00F16AE3"/>
    <w:rsid w:val="00F234E4"/>
    <w:rsid w:val="00F24069"/>
    <w:rsid w:val="00F31C6A"/>
    <w:rsid w:val="00F34580"/>
    <w:rsid w:val="00F34A40"/>
    <w:rsid w:val="00F44D60"/>
    <w:rsid w:val="00F51E05"/>
    <w:rsid w:val="00F645E8"/>
    <w:rsid w:val="00F67879"/>
    <w:rsid w:val="00F67BC6"/>
    <w:rsid w:val="00F71FF6"/>
    <w:rsid w:val="00F76F47"/>
    <w:rsid w:val="00F801F1"/>
    <w:rsid w:val="00F82525"/>
    <w:rsid w:val="00F87038"/>
    <w:rsid w:val="00F92575"/>
    <w:rsid w:val="00FA3592"/>
    <w:rsid w:val="00FA76EF"/>
    <w:rsid w:val="00FB1B80"/>
    <w:rsid w:val="00FB5740"/>
    <w:rsid w:val="00FC02F7"/>
    <w:rsid w:val="00FC62B8"/>
    <w:rsid w:val="00FC7FF1"/>
    <w:rsid w:val="00FD10FB"/>
    <w:rsid w:val="00FD4A75"/>
    <w:rsid w:val="00FD6385"/>
    <w:rsid w:val="00FD6450"/>
    <w:rsid w:val="00FE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6E2E8"/>
  <w15:docId w15:val="{09E28CF5-D701-48C7-9D88-074A313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96"/>
    <w:pPr>
      <w:ind w:left="720"/>
      <w:contextualSpacing/>
    </w:pPr>
  </w:style>
  <w:style w:type="character" w:styleId="CommentReference">
    <w:name w:val="annotation reference"/>
    <w:basedOn w:val="DefaultParagraphFont"/>
    <w:uiPriority w:val="99"/>
    <w:semiHidden/>
    <w:unhideWhenUsed/>
    <w:rsid w:val="00D46478"/>
    <w:rPr>
      <w:sz w:val="16"/>
      <w:szCs w:val="16"/>
    </w:rPr>
  </w:style>
  <w:style w:type="paragraph" w:styleId="CommentText">
    <w:name w:val="annotation text"/>
    <w:basedOn w:val="Normal"/>
    <w:link w:val="CommentTextChar"/>
    <w:uiPriority w:val="99"/>
    <w:semiHidden/>
    <w:unhideWhenUsed/>
    <w:rsid w:val="00D46478"/>
    <w:pPr>
      <w:spacing w:line="240" w:lineRule="auto"/>
    </w:pPr>
    <w:rPr>
      <w:sz w:val="20"/>
      <w:szCs w:val="20"/>
    </w:rPr>
  </w:style>
  <w:style w:type="character" w:customStyle="1" w:styleId="CommentTextChar">
    <w:name w:val="Comment Text Char"/>
    <w:basedOn w:val="DefaultParagraphFont"/>
    <w:link w:val="CommentText"/>
    <w:uiPriority w:val="99"/>
    <w:semiHidden/>
    <w:rsid w:val="00D46478"/>
    <w:rPr>
      <w:sz w:val="20"/>
      <w:szCs w:val="20"/>
    </w:rPr>
  </w:style>
  <w:style w:type="paragraph" w:styleId="CommentSubject">
    <w:name w:val="annotation subject"/>
    <w:basedOn w:val="CommentText"/>
    <w:next w:val="CommentText"/>
    <w:link w:val="CommentSubjectChar"/>
    <w:uiPriority w:val="99"/>
    <w:semiHidden/>
    <w:unhideWhenUsed/>
    <w:rsid w:val="00D46478"/>
    <w:rPr>
      <w:b/>
      <w:bCs/>
    </w:rPr>
  </w:style>
  <w:style w:type="character" w:customStyle="1" w:styleId="CommentSubjectChar">
    <w:name w:val="Comment Subject Char"/>
    <w:basedOn w:val="CommentTextChar"/>
    <w:link w:val="CommentSubject"/>
    <w:uiPriority w:val="99"/>
    <w:semiHidden/>
    <w:rsid w:val="00D46478"/>
    <w:rPr>
      <w:b/>
      <w:bCs/>
      <w:sz w:val="20"/>
      <w:szCs w:val="20"/>
    </w:rPr>
  </w:style>
  <w:style w:type="paragraph" w:styleId="BalloonText">
    <w:name w:val="Balloon Text"/>
    <w:basedOn w:val="Normal"/>
    <w:link w:val="BalloonTextChar"/>
    <w:uiPriority w:val="99"/>
    <w:semiHidden/>
    <w:unhideWhenUsed/>
    <w:rsid w:val="00D464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78"/>
    <w:rPr>
      <w:rFonts w:ascii="Tahoma" w:hAnsi="Tahoma" w:cs="Tahoma"/>
      <w:sz w:val="16"/>
      <w:szCs w:val="16"/>
    </w:rPr>
  </w:style>
  <w:style w:type="paragraph" w:styleId="Revision">
    <w:name w:val="Revision"/>
    <w:hidden/>
    <w:uiPriority w:val="99"/>
    <w:semiHidden/>
    <w:rsid w:val="00704E02"/>
    <w:pPr>
      <w:spacing w:line="240" w:lineRule="auto"/>
    </w:pPr>
  </w:style>
  <w:style w:type="table" w:styleId="TableGrid">
    <w:name w:val="Table Grid"/>
    <w:basedOn w:val="TableNormal"/>
    <w:uiPriority w:val="59"/>
    <w:rsid w:val="00704E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6B5"/>
    <w:pPr>
      <w:tabs>
        <w:tab w:val="center" w:pos="4513"/>
        <w:tab w:val="right" w:pos="9026"/>
      </w:tabs>
      <w:spacing w:line="240" w:lineRule="auto"/>
    </w:pPr>
  </w:style>
  <w:style w:type="character" w:customStyle="1" w:styleId="HeaderChar">
    <w:name w:val="Header Char"/>
    <w:basedOn w:val="DefaultParagraphFont"/>
    <w:link w:val="Header"/>
    <w:uiPriority w:val="99"/>
    <w:rsid w:val="00A006B5"/>
  </w:style>
  <w:style w:type="paragraph" w:styleId="Footer">
    <w:name w:val="footer"/>
    <w:basedOn w:val="Normal"/>
    <w:link w:val="FooterChar"/>
    <w:uiPriority w:val="99"/>
    <w:unhideWhenUsed/>
    <w:rsid w:val="00A006B5"/>
    <w:pPr>
      <w:tabs>
        <w:tab w:val="center" w:pos="4513"/>
        <w:tab w:val="right" w:pos="9026"/>
      </w:tabs>
      <w:spacing w:line="240" w:lineRule="auto"/>
    </w:pPr>
  </w:style>
  <w:style w:type="character" w:customStyle="1" w:styleId="FooterChar">
    <w:name w:val="Footer Char"/>
    <w:basedOn w:val="DefaultParagraphFont"/>
    <w:link w:val="Footer"/>
    <w:uiPriority w:val="99"/>
    <w:rsid w:val="00A006B5"/>
  </w:style>
  <w:style w:type="character" w:styleId="PlaceholderText">
    <w:name w:val="Placeholder Text"/>
    <w:basedOn w:val="DefaultParagraphFont"/>
    <w:uiPriority w:val="99"/>
    <w:semiHidden/>
    <w:rsid w:val="007B3E9C"/>
    <w:rPr>
      <w:color w:val="808080"/>
    </w:rPr>
  </w:style>
  <w:style w:type="paragraph" w:styleId="FootnoteText">
    <w:name w:val="footnote text"/>
    <w:basedOn w:val="Normal"/>
    <w:link w:val="FootnoteTextChar"/>
    <w:uiPriority w:val="99"/>
    <w:semiHidden/>
    <w:unhideWhenUsed/>
    <w:rsid w:val="00A42E43"/>
    <w:pPr>
      <w:spacing w:line="240" w:lineRule="auto"/>
    </w:pPr>
    <w:rPr>
      <w:sz w:val="20"/>
      <w:szCs w:val="20"/>
    </w:rPr>
  </w:style>
  <w:style w:type="character" w:customStyle="1" w:styleId="FootnoteTextChar">
    <w:name w:val="Footnote Text Char"/>
    <w:basedOn w:val="DefaultParagraphFont"/>
    <w:link w:val="FootnoteText"/>
    <w:uiPriority w:val="99"/>
    <w:semiHidden/>
    <w:rsid w:val="00A42E43"/>
    <w:rPr>
      <w:sz w:val="20"/>
      <w:szCs w:val="20"/>
    </w:rPr>
  </w:style>
  <w:style w:type="character" w:styleId="FootnoteReference">
    <w:name w:val="footnote reference"/>
    <w:basedOn w:val="DefaultParagraphFont"/>
    <w:uiPriority w:val="99"/>
    <w:semiHidden/>
    <w:unhideWhenUsed/>
    <w:rsid w:val="00A42E43"/>
    <w:rPr>
      <w:vertAlign w:val="superscript"/>
    </w:rPr>
  </w:style>
  <w:style w:type="character" w:styleId="LineNumber">
    <w:name w:val="line number"/>
    <w:basedOn w:val="DefaultParagraphFont"/>
    <w:uiPriority w:val="99"/>
    <w:semiHidden/>
    <w:unhideWhenUsed/>
    <w:rsid w:val="00481D25"/>
  </w:style>
  <w:style w:type="character" w:styleId="Emphasis">
    <w:name w:val="Emphasis"/>
    <w:basedOn w:val="DefaultParagraphFont"/>
    <w:uiPriority w:val="20"/>
    <w:qFormat/>
    <w:rsid w:val="007F28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BE916-62D8-4695-B029-0D921430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Running head: VALIDATION OF THE NACS</vt:lpstr>
    </vt:vector>
  </TitlesOfParts>
  <Company>The University of Sheffield</Company>
  <LinksUpToDate>false</LinksUpToDate>
  <CharactersWithSpaces>37606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VALIDATION OF THE NACS</dc:title>
  <dc:creator>Zachary Parker</dc:creator>
  <cp:lastModifiedBy>Glenn Waller</cp:lastModifiedBy>
  <cp:revision>5</cp:revision>
  <cp:lastPrinted>2016-12-16T17:02:00Z</cp:lastPrinted>
  <dcterms:created xsi:type="dcterms:W3CDTF">2017-02-06T11:51:00Z</dcterms:created>
  <dcterms:modified xsi:type="dcterms:W3CDTF">2017-03-05T10:01:00Z</dcterms:modified>
</cp:coreProperties>
</file>