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5434DE" w14:textId="77777777" w:rsidR="005D3E06" w:rsidRPr="00A03898" w:rsidRDefault="005D3E06" w:rsidP="005D3E06">
      <w:pPr>
        <w:pStyle w:val="Body"/>
        <w:spacing w:after="0" w:line="240" w:lineRule="auto"/>
        <w:rPr>
          <w:rFonts w:ascii="Times New Roman" w:hAnsi="Times New Roman" w:cs="Times New Roman"/>
          <w:color w:val="auto"/>
          <w:sz w:val="24"/>
          <w:szCs w:val="24"/>
          <w:lang w:val="en-GB"/>
        </w:rPr>
      </w:pPr>
    </w:p>
    <w:p w14:paraId="04F06EE0" w14:textId="77777777" w:rsidR="00BE0C4F" w:rsidRPr="00A03898" w:rsidRDefault="005D3E06" w:rsidP="00BE0C4F">
      <w:pPr>
        <w:pStyle w:val="Body"/>
        <w:spacing w:line="240" w:lineRule="auto"/>
        <w:jc w:val="center"/>
        <w:rPr>
          <w:rFonts w:ascii="Times New Roman" w:hAnsi="Times New Roman" w:cs="Times New Roman"/>
          <w:b/>
          <w:bCs/>
          <w:color w:val="auto"/>
          <w:sz w:val="24"/>
          <w:szCs w:val="24"/>
          <w:lang w:val="en-GB"/>
        </w:rPr>
      </w:pPr>
      <w:r w:rsidRPr="00A03898">
        <w:rPr>
          <w:rFonts w:ascii="Times New Roman" w:hAnsi="Times New Roman" w:cs="Times New Roman"/>
          <w:b/>
          <w:bCs/>
          <w:color w:val="auto"/>
          <w:sz w:val="24"/>
          <w:szCs w:val="24"/>
          <w:lang w:val="en-GB"/>
        </w:rPr>
        <w:t xml:space="preserve">THE </w:t>
      </w:r>
      <w:r w:rsidR="00BE0C4F" w:rsidRPr="00A03898">
        <w:rPr>
          <w:rFonts w:ascii="Times New Roman" w:hAnsi="Times New Roman" w:cs="Times New Roman"/>
          <w:b/>
          <w:bCs/>
          <w:color w:val="auto"/>
          <w:sz w:val="24"/>
          <w:szCs w:val="24"/>
          <w:lang w:val="en-GB"/>
        </w:rPr>
        <w:t xml:space="preserve">ENTREPRENEURIAL </w:t>
      </w:r>
      <w:r w:rsidRPr="00A03898">
        <w:rPr>
          <w:rFonts w:ascii="Times New Roman" w:hAnsi="Times New Roman" w:cs="Times New Roman"/>
          <w:b/>
          <w:bCs/>
          <w:color w:val="auto"/>
          <w:sz w:val="24"/>
          <w:szCs w:val="24"/>
          <w:lang w:val="en-GB"/>
        </w:rPr>
        <w:t xml:space="preserve">GAINS FROM MARKET INTEGRATION </w:t>
      </w:r>
    </w:p>
    <w:p w14:paraId="577CFCCB" w14:textId="0BC2899A" w:rsidR="005D3E06" w:rsidRPr="00A03898" w:rsidRDefault="005D3E06" w:rsidP="00BE0C4F">
      <w:pPr>
        <w:pStyle w:val="Body"/>
        <w:spacing w:line="240" w:lineRule="auto"/>
        <w:jc w:val="center"/>
        <w:rPr>
          <w:rFonts w:ascii="Times New Roman" w:hAnsi="Times New Roman" w:cs="Times New Roman"/>
          <w:b/>
          <w:bCs/>
          <w:color w:val="auto"/>
          <w:sz w:val="24"/>
          <w:szCs w:val="24"/>
          <w:lang w:val="en-GB"/>
        </w:rPr>
      </w:pPr>
      <w:r w:rsidRPr="00A03898">
        <w:rPr>
          <w:rFonts w:ascii="Times New Roman" w:hAnsi="Times New Roman" w:cs="Times New Roman"/>
          <w:b/>
          <w:bCs/>
          <w:color w:val="auto"/>
          <w:sz w:val="24"/>
          <w:szCs w:val="24"/>
          <w:lang w:val="en-GB"/>
        </w:rPr>
        <w:t xml:space="preserve">IN </w:t>
      </w:r>
      <w:r w:rsidR="00032C8B" w:rsidRPr="00A03898">
        <w:rPr>
          <w:rFonts w:ascii="Times New Roman" w:hAnsi="Times New Roman" w:cs="Times New Roman"/>
          <w:b/>
          <w:bCs/>
          <w:color w:val="auto"/>
          <w:sz w:val="24"/>
          <w:szCs w:val="24"/>
          <w:lang w:val="en-GB"/>
        </w:rPr>
        <w:t xml:space="preserve">THE </w:t>
      </w:r>
      <w:r w:rsidRPr="00A03898">
        <w:rPr>
          <w:rFonts w:ascii="Times New Roman" w:hAnsi="Times New Roman" w:cs="Times New Roman"/>
          <w:b/>
          <w:bCs/>
          <w:color w:val="auto"/>
          <w:sz w:val="24"/>
          <w:szCs w:val="24"/>
          <w:lang w:val="en-GB"/>
        </w:rPr>
        <w:t xml:space="preserve">NEW EU MEMBER STATES </w:t>
      </w:r>
    </w:p>
    <w:p w14:paraId="737DDC68" w14:textId="77777777" w:rsidR="00A03898" w:rsidRPr="00A03898" w:rsidRDefault="00A03898" w:rsidP="00A03898">
      <w:pPr>
        <w:pStyle w:val="Body"/>
        <w:spacing w:after="0" w:line="240" w:lineRule="auto"/>
        <w:rPr>
          <w:rFonts w:ascii="Times New Roman" w:hAnsi="Times New Roman" w:cs="Times New Roman"/>
          <w:color w:val="auto"/>
          <w:lang w:val="en-GB"/>
        </w:rPr>
      </w:pPr>
      <w:r w:rsidRPr="00A03898">
        <w:rPr>
          <w:rFonts w:ascii="Times New Roman" w:hAnsi="Times New Roman" w:cs="Times New Roman"/>
          <w:color w:val="auto"/>
          <w:lang w:val="en-GB"/>
        </w:rPr>
        <w:t xml:space="preserve">Nebojša </w:t>
      </w:r>
      <w:proofErr w:type="spellStart"/>
      <w:r w:rsidRPr="00A03898">
        <w:rPr>
          <w:rFonts w:ascii="Times New Roman" w:hAnsi="Times New Roman" w:cs="Times New Roman"/>
          <w:color w:val="auto"/>
          <w:lang w:val="en-GB"/>
        </w:rPr>
        <w:t>Stojčić</w:t>
      </w:r>
      <w:proofErr w:type="spellEnd"/>
      <w:r w:rsidRPr="00A03898">
        <w:rPr>
          <w:rFonts w:ascii="Times New Roman" w:hAnsi="Times New Roman" w:cs="Times New Roman"/>
          <w:color w:val="auto"/>
          <w:lang w:val="en-GB"/>
        </w:rPr>
        <w:t>, PhD (</w:t>
      </w:r>
      <w:r w:rsidRPr="00A03898">
        <w:rPr>
          <w:rFonts w:ascii="Times New Roman" w:hAnsi="Times New Roman" w:cs="Times New Roman"/>
          <w:i/>
          <w:color w:val="auto"/>
          <w:lang w:val="en-GB"/>
        </w:rPr>
        <w:t>the corresponding author</w:t>
      </w:r>
      <w:r w:rsidRPr="00A03898">
        <w:rPr>
          <w:rFonts w:ascii="Times New Roman" w:hAnsi="Times New Roman" w:cs="Times New Roman"/>
          <w:color w:val="auto"/>
          <w:lang w:val="en-GB"/>
        </w:rPr>
        <w:t>)</w:t>
      </w:r>
    </w:p>
    <w:p w14:paraId="3E7D6CB4" w14:textId="77777777" w:rsidR="00A03898" w:rsidRPr="00A03898" w:rsidRDefault="00A03898" w:rsidP="00A03898">
      <w:pPr>
        <w:pStyle w:val="Body"/>
        <w:spacing w:after="0" w:line="240" w:lineRule="auto"/>
        <w:rPr>
          <w:rFonts w:ascii="Times New Roman" w:hAnsi="Times New Roman" w:cs="Times New Roman"/>
          <w:color w:val="auto"/>
          <w:lang w:val="en-GB"/>
        </w:rPr>
      </w:pPr>
      <w:r w:rsidRPr="00A03898">
        <w:rPr>
          <w:rFonts w:ascii="Times New Roman" w:hAnsi="Times New Roman" w:cs="Times New Roman"/>
          <w:color w:val="auto"/>
          <w:lang w:val="en-GB"/>
        </w:rPr>
        <w:t>The Department of Economics and Business, University of Dubrovnik</w:t>
      </w:r>
    </w:p>
    <w:p w14:paraId="6CC01705" w14:textId="77777777" w:rsidR="00A03898" w:rsidRPr="00A03898" w:rsidRDefault="00A03898" w:rsidP="00A03898">
      <w:pPr>
        <w:pStyle w:val="Body"/>
        <w:spacing w:after="0" w:line="240" w:lineRule="auto"/>
        <w:rPr>
          <w:rFonts w:ascii="Times New Roman" w:hAnsi="Times New Roman" w:cs="Times New Roman"/>
          <w:color w:val="auto"/>
          <w:lang w:val="en-GB"/>
        </w:rPr>
      </w:pPr>
      <w:proofErr w:type="spellStart"/>
      <w:r w:rsidRPr="00A03898">
        <w:rPr>
          <w:rFonts w:ascii="Times New Roman" w:hAnsi="Times New Roman" w:cs="Times New Roman"/>
          <w:color w:val="auto"/>
          <w:lang w:val="en-GB"/>
        </w:rPr>
        <w:t>Lapadska</w:t>
      </w:r>
      <w:proofErr w:type="spellEnd"/>
      <w:r w:rsidRPr="00A03898">
        <w:rPr>
          <w:rFonts w:ascii="Times New Roman" w:hAnsi="Times New Roman" w:cs="Times New Roman"/>
          <w:color w:val="auto"/>
          <w:lang w:val="en-GB"/>
        </w:rPr>
        <w:t xml:space="preserve"> </w:t>
      </w:r>
      <w:proofErr w:type="spellStart"/>
      <w:r w:rsidRPr="00A03898">
        <w:rPr>
          <w:rFonts w:ascii="Times New Roman" w:hAnsi="Times New Roman" w:cs="Times New Roman"/>
          <w:color w:val="auto"/>
          <w:lang w:val="en-GB"/>
        </w:rPr>
        <w:t>obala</w:t>
      </w:r>
      <w:proofErr w:type="spellEnd"/>
      <w:r w:rsidRPr="00A03898">
        <w:rPr>
          <w:rFonts w:ascii="Times New Roman" w:hAnsi="Times New Roman" w:cs="Times New Roman"/>
          <w:color w:val="auto"/>
          <w:lang w:val="en-GB"/>
        </w:rPr>
        <w:t xml:space="preserve"> 7, 20000 Dubrovnik, Croatia</w:t>
      </w:r>
    </w:p>
    <w:p w14:paraId="20400EA8" w14:textId="77777777" w:rsidR="00A03898" w:rsidRPr="00A03898" w:rsidRDefault="00A03898" w:rsidP="00A03898">
      <w:pPr>
        <w:pStyle w:val="Body"/>
        <w:spacing w:after="0" w:line="240" w:lineRule="auto"/>
        <w:rPr>
          <w:rFonts w:ascii="Times New Roman" w:hAnsi="Times New Roman" w:cs="Times New Roman"/>
          <w:color w:val="auto"/>
          <w:lang w:val="en-GB"/>
        </w:rPr>
      </w:pPr>
      <w:r w:rsidRPr="00A03898">
        <w:rPr>
          <w:rFonts w:ascii="Times New Roman" w:hAnsi="Times New Roman" w:cs="Times New Roman"/>
          <w:color w:val="auto"/>
          <w:lang w:val="en-GB"/>
        </w:rPr>
        <w:t>and</w:t>
      </w:r>
    </w:p>
    <w:p w14:paraId="547F15FA" w14:textId="77777777" w:rsidR="00A03898" w:rsidRPr="00A03898" w:rsidRDefault="00A03898" w:rsidP="00A03898">
      <w:pPr>
        <w:pStyle w:val="Body"/>
        <w:spacing w:after="0" w:line="240" w:lineRule="auto"/>
        <w:rPr>
          <w:rFonts w:ascii="Times New Roman" w:hAnsi="Times New Roman" w:cs="Times New Roman"/>
          <w:color w:val="auto"/>
          <w:lang w:val="en-GB"/>
        </w:rPr>
      </w:pPr>
      <w:r w:rsidRPr="00A03898">
        <w:rPr>
          <w:rFonts w:ascii="Times New Roman" w:hAnsi="Times New Roman" w:cs="Times New Roman"/>
          <w:color w:val="auto"/>
          <w:lang w:val="en-GB"/>
        </w:rPr>
        <w:t>Staffordshire University Business School</w:t>
      </w:r>
    </w:p>
    <w:p w14:paraId="2A7AF495" w14:textId="77777777" w:rsidR="00A03898" w:rsidRPr="00A03898" w:rsidRDefault="00A03898" w:rsidP="00A03898">
      <w:pPr>
        <w:pStyle w:val="Body"/>
        <w:spacing w:after="0" w:line="240" w:lineRule="auto"/>
        <w:rPr>
          <w:rFonts w:ascii="Times New Roman" w:hAnsi="Times New Roman" w:cs="Times New Roman"/>
          <w:color w:val="auto"/>
          <w:lang w:val="en-GB"/>
        </w:rPr>
      </w:pPr>
      <w:r w:rsidRPr="00A03898">
        <w:rPr>
          <w:rFonts w:ascii="Times New Roman" w:hAnsi="Times New Roman" w:cs="Times New Roman"/>
          <w:color w:val="auto"/>
          <w:lang w:val="en-GB"/>
        </w:rPr>
        <w:t>Leek Road, Stoke-on-Trent, United Kingdom</w:t>
      </w:r>
    </w:p>
    <w:p w14:paraId="4A05CD06" w14:textId="77777777" w:rsidR="00A03898" w:rsidRPr="00A03898" w:rsidRDefault="00A03898" w:rsidP="00A03898">
      <w:pPr>
        <w:pStyle w:val="Body"/>
        <w:spacing w:after="0" w:line="240" w:lineRule="auto"/>
        <w:rPr>
          <w:rFonts w:ascii="Times New Roman" w:hAnsi="Times New Roman" w:cs="Times New Roman"/>
          <w:color w:val="auto"/>
          <w:lang w:val="en-GB"/>
        </w:rPr>
      </w:pPr>
      <w:r w:rsidRPr="00A03898">
        <w:rPr>
          <w:rFonts w:ascii="Times New Roman" w:hAnsi="Times New Roman" w:cs="Times New Roman"/>
          <w:color w:val="auto"/>
          <w:lang w:val="en-GB"/>
        </w:rPr>
        <w:t>E-mail: nstojcic@unidu.hr</w:t>
      </w:r>
    </w:p>
    <w:p w14:paraId="5B97314D" w14:textId="77777777" w:rsidR="00A03898" w:rsidRPr="00A03898" w:rsidRDefault="00A03898" w:rsidP="00A03898">
      <w:pPr>
        <w:pStyle w:val="Body"/>
        <w:spacing w:after="0" w:line="240" w:lineRule="auto"/>
        <w:rPr>
          <w:rFonts w:ascii="Times New Roman" w:hAnsi="Times New Roman" w:cs="Times New Roman"/>
          <w:color w:val="auto"/>
          <w:lang w:val="en-GB"/>
        </w:rPr>
      </w:pPr>
      <w:r w:rsidRPr="00A03898">
        <w:rPr>
          <w:rFonts w:ascii="Times New Roman" w:hAnsi="Times New Roman" w:cs="Times New Roman"/>
          <w:color w:val="auto"/>
          <w:lang w:val="en-GB"/>
        </w:rPr>
        <w:t>Phone: +38520445700</w:t>
      </w:r>
    </w:p>
    <w:p w14:paraId="524B33CF" w14:textId="77777777" w:rsidR="00A03898" w:rsidRPr="00A03898" w:rsidRDefault="00A03898" w:rsidP="00A03898">
      <w:pPr>
        <w:rPr>
          <w:sz w:val="22"/>
          <w:szCs w:val="22"/>
        </w:rPr>
      </w:pPr>
      <w:hyperlink r:id="rId8" w:history="1">
        <w:r w:rsidRPr="00A03898">
          <w:rPr>
            <w:rStyle w:val="Hyperlink"/>
            <w:sz w:val="22"/>
            <w:szCs w:val="22"/>
          </w:rPr>
          <w:t>https://orcid.org/0000-0001-6638-8771</w:t>
        </w:r>
      </w:hyperlink>
    </w:p>
    <w:p w14:paraId="2A0F6810" w14:textId="77777777" w:rsidR="00A03898" w:rsidRPr="00A03898" w:rsidRDefault="00A03898" w:rsidP="00A03898">
      <w:pPr>
        <w:pStyle w:val="Body"/>
        <w:spacing w:after="0" w:line="240" w:lineRule="auto"/>
        <w:rPr>
          <w:rFonts w:ascii="Times New Roman" w:hAnsi="Times New Roman" w:cs="Times New Roman"/>
          <w:color w:val="auto"/>
          <w:lang w:val="en-GB"/>
        </w:rPr>
      </w:pPr>
    </w:p>
    <w:p w14:paraId="2C17FBD0" w14:textId="77777777" w:rsidR="00A03898" w:rsidRPr="00A03898" w:rsidRDefault="00A03898" w:rsidP="00A03898">
      <w:pPr>
        <w:pStyle w:val="Body"/>
        <w:spacing w:after="0" w:line="240" w:lineRule="auto"/>
        <w:rPr>
          <w:rFonts w:ascii="Times New Roman" w:hAnsi="Times New Roman" w:cs="Times New Roman"/>
          <w:color w:val="auto"/>
          <w:lang w:val="en-GB"/>
        </w:rPr>
      </w:pPr>
      <w:r w:rsidRPr="00A03898">
        <w:rPr>
          <w:rFonts w:ascii="Times New Roman" w:hAnsi="Times New Roman" w:cs="Times New Roman"/>
          <w:color w:val="auto"/>
          <w:lang w:val="en-GB"/>
        </w:rPr>
        <w:t xml:space="preserve">Ivan-Damir </w:t>
      </w:r>
      <w:proofErr w:type="spellStart"/>
      <w:r w:rsidRPr="00A03898">
        <w:rPr>
          <w:rFonts w:ascii="Times New Roman" w:hAnsi="Times New Roman" w:cs="Times New Roman"/>
          <w:color w:val="auto"/>
          <w:lang w:val="en-GB"/>
        </w:rPr>
        <w:t>Anić</w:t>
      </w:r>
      <w:proofErr w:type="spellEnd"/>
      <w:r w:rsidRPr="00A03898">
        <w:rPr>
          <w:rFonts w:ascii="Times New Roman" w:hAnsi="Times New Roman" w:cs="Times New Roman"/>
          <w:color w:val="auto"/>
          <w:lang w:val="en-GB"/>
        </w:rPr>
        <w:t>, PhD</w:t>
      </w:r>
    </w:p>
    <w:p w14:paraId="2F2437C6" w14:textId="77777777" w:rsidR="00A03898" w:rsidRPr="00A03898" w:rsidRDefault="00A03898" w:rsidP="00A03898">
      <w:pPr>
        <w:rPr>
          <w:sz w:val="22"/>
          <w:szCs w:val="22"/>
          <w:lang w:val="en-GB"/>
        </w:rPr>
      </w:pPr>
      <w:r w:rsidRPr="00A03898">
        <w:rPr>
          <w:sz w:val="22"/>
          <w:szCs w:val="22"/>
          <w:lang w:val="en-GB"/>
        </w:rPr>
        <w:t>The Department for Innovation, Business Economics and Business Sectors</w:t>
      </w:r>
    </w:p>
    <w:p w14:paraId="1B7C7F46" w14:textId="77777777" w:rsidR="00A03898" w:rsidRPr="00A03898" w:rsidRDefault="00A03898" w:rsidP="00A03898">
      <w:pPr>
        <w:rPr>
          <w:sz w:val="22"/>
          <w:szCs w:val="22"/>
          <w:lang w:val="en-GB"/>
        </w:rPr>
      </w:pPr>
      <w:r w:rsidRPr="00A03898">
        <w:rPr>
          <w:sz w:val="22"/>
          <w:szCs w:val="22"/>
          <w:lang w:val="en-GB"/>
        </w:rPr>
        <w:t xml:space="preserve">The Institute of Economics, Zagreb </w:t>
      </w:r>
    </w:p>
    <w:p w14:paraId="122B59D4" w14:textId="77777777" w:rsidR="00A03898" w:rsidRPr="00A03898" w:rsidRDefault="00A03898" w:rsidP="00A03898">
      <w:pPr>
        <w:rPr>
          <w:sz w:val="22"/>
          <w:szCs w:val="22"/>
          <w:lang w:val="en-GB"/>
        </w:rPr>
      </w:pPr>
      <w:proofErr w:type="spellStart"/>
      <w:r w:rsidRPr="00A03898">
        <w:rPr>
          <w:sz w:val="22"/>
          <w:szCs w:val="22"/>
          <w:lang w:val="en-GB"/>
        </w:rPr>
        <w:t>Trg</w:t>
      </w:r>
      <w:proofErr w:type="spellEnd"/>
      <w:r w:rsidRPr="00A03898">
        <w:rPr>
          <w:sz w:val="22"/>
          <w:szCs w:val="22"/>
          <w:lang w:val="en-GB"/>
        </w:rPr>
        <w:t xml:space="preserve"> J.F. Kennedy-a 7, 10000 Zagreb, Croatia</w:t>
      </w:r>
    </w:p>
    <w:p w14:paraId="2421D2BD" w14:textId="77777777" w:rsidR="00A03898" w:rsidRPr="00A03898" w:rsidRDefault="00A03898" w:rsidP="00A03898">
      <w:pPr>
        <w:rPr>
          <w:sz w:val="22"/>
          <w:szCs w:val="22"/>
          <w:lang w:val="en-GB"/>
        </w:rPr>
      </w:pPr>
      <w:r w:rsidRPr="00A03898">
        <w:rPr>
          <w:sz w:val="22"/>
          <w:szCs w:val="22"/>
          <w:lang w:val="en-GB"/>
        </w:rPr>
        <w:t xml:space="preserve">E-mail: </w:t>
      </w:r>
      <w:hyperlink r:id="rId9" w:history="1">
        <w:r w:rsidRPr="00A03898">
          <w:rPr>
            <w:rStyle w:val="Hyperlink"/>
            <w:sz w:val="22"/>
            <w:szCs w:val="22"/>
            <w:u w:val="none"/>
            <w:lang w:val="en-GB"/>
          </w:rPr>
          <w:t>danic@eizg.hr</w:t>
        </w:r>
      </w:hyperlink>
      <w:r w:rsidRPr="00A03898">
        <w:rPr>
          <w:sz w:val="22"/>
          <w:szCs w:val="22"/>
          <w:lang w:val="en-GB"/>
        </w:rPr>
        <w:t xml:space="preserve"> </w:t>
      </w:r>
    </w:p>
    <w:p w14:paraId="409E6365" w14:textId="77777777" w:rsidR="00A03898" w:rsidRPr="00A03898" w:rsidRDefault="00A03898" w:rsidP="00A03898">
      <w:pPr>
        <w:rPr>
          <w:sz w:val="22"/>
          <w:szCs w:val="22"/>
          <w:lang w:val="en-GB"/>
        </w:rPr>
      </w:pPr>
      <w:r w:rsidRPr="00A03898">
        <w:rPr>
          <w:sz w:val="22"/>
          <w:szCs w:val="22"/>
          <w:lang w:val="en-GB"/>
        </w:rPr>
        <w:t>Phone: +38512362264</w:t>
      </w:r>
    </w:p>
    <w:p w14:paraId="1757DF27" w14:textId="77777777" w:rsidR="00A03898" w:rsidRPr="00A03898" w:rsidRDefault="00A03898" w:rsidP="00A03898">
      <w:pPr>
        <w:rPr>
          <w:sz w:val="22"/>
          <w:szCs w:val="22"/>
        </w:rPr>
      </w:pPr>
      <w:hyperlink r:id="rId10" w:history="1">
        <w:r w:rsidRPr="00A03898">
          <w:rPr>
            <w:rStyle w:val="Hyperlink"/>
            <w:rFonts w:ascii="Cambria" w:hAnsi="Cambria"/>
            <w:sz w:val="22"/>
            <w:szCs w:val="22"/>
          </w:rPr>
          <w:t>https://orcid.org/0000-0003-0179-6410</w:t>
        </w:r>
      </w:hyperlink>
    </w:p>
    <w:p w14:paraId="21189D42" w14:textId="77777777" w:rsidR="00A03898" w:rsidRPr="00A03898" w:rsidRDefault="00A03898" w:rsidP="00A03898">
      <w:pPr>
        <w:pStyle w:val="Body"/>
        <w:spacing w:after="0" w:line="240" w:lineRule="auto"/>
        <w:rPr>
          <w:rFonts w:ascii="Times New Roman" w:hAnsi="Times New Roman" w:cs="Times New Roman"/>
          <w:color w:val="auto"/>
          <w:lang w:val="en-GB"/>
        </w:rPr>
      </w:pPr>
    </w:p>
    <w:p w14:paraId="4855A865" w14:textId="77777777" w:rsidR="00A03898" w:rsidRPr="00A03898" w:rsidRDefault="00A03898" w:rsidP="00A03898">
      <w:pPr>
        <w:pStyle w:val="Body"/>
        <w:spacing w:after="0" w:line="240" w:lineRule="auto"/>
        <w:rPr>
          <w:rFonts w:ascii="Times New Roman" w:hAnsi="Times New Roman" w:cs="Times New Roman"/>
          <w:color w:val="auto"/>
          <w:lang w:val="en-GB"/>
        </w:rPr>
      </w:pPr>
      <w:proofErr w:type="spellStart"/>
      <w:r w:rsidRPr="00A03898">
        <w:rPr>
          <w:rFonts w:ascii="Times New Roman" w:hAnsi="Times New Roman" w:cs="Times New Roman"/>
          <w:color w:val="auto"/>
          <w:lang w:val="en-GB"/>
        </w:rPr>
        <w:t>Tonći</w:t>
      </w:r>
      <w:proofErr w:type="spellEnd"/>
      <w:r w:rsidRPr="00A03898">
        <w:rPr>
          <w:rFonts w:ascii="Times New Roman" w:hAnsi="Times New Roman" w:cs="Times New Roman"/>
          <w:color w:val="auto"/>
          <w:lang w:val="en-GB"/>
        </w:rPr>
        <w:t xml:space="preserve"> </w:t>
      </w:r>
      <w:proofErr w:type="spellStart"/>
      <w:r w:rsidRPr="00A03898">
        <w:rPr>
          <w:rFonts w:ascii="Times New Roman" w:hAnsi="Times New Roman" w:cs="Times New Roman"/>
          <w:color w:val="auto"/>
          <w:lang w:val="en-GB"/>
        </w:rPr>
        <w:t>Svilokos</w:t>
      </w:r>
      <w:proofErr w:type="spellEnd"/>
      <w:r w:rsidRPr="00A03898">
        <w:rPr>
          <w:rFonts w:ascii="Times New Roman" w:hAnsi="Times New Roman" w:cs="Times New Roman"/>
          <w:color w:val="auto"/>
          <w:lang w:val="en-GB"/>
        </w:rPr>
        <w:t xml:space="preserve">, PhD </w:t>
      </w:r>
    </w:p>
    <w:p w14:paraId="192A061B" w14:textId="77777777" w:rsidR="00A03898" w:rsidRPr="00A03898" w:rsidRDefault="00A03898" w:rsidP="00A03898">
      <w:pPr>
        <w:pStyle w:val="Body"/>
        <w:spacing w:after="0" w:line="240" w:lineRule="auto"/>
        <w:rPr>
          <w:rFonts w:ascii="Times New Roman" w:hAnsi="Times New Roman" w:cs="Times New Roman"/>
          <w:color w:val="auto"/>
          <w:lang w:val="en-GB"/>
        </w:rPr>
      </w:pPr>
      <w:r w:rsidRPr="00A03898">
        <w:rPr>
          <w:rFonts w:ascii="Times New Roman" w:hAnsi="Times New Roman" w:cs="Times New Roman"/>
          <w:color w:val="auto"/>
          <w:lang w:val="en-GB"/>
        </w:rPr>
        <w:t>The Department of Economics and Business, University of Dubrovnik</w:t>
      </w:r>
    </w:p>
    <w:p w14:paraId="7C39045C" w14:textId="77777777" w:rsidR="00A03898" w:rsidRPr="00A03898" w:rsidRDefault="00A03898" w:rsidP="00A03898">
      <w:pPr>
        <w:pStyle w:val="Body"/>
        <w:spacing w:after="0" w:line="240" w:lineRule="auto"/>
        <w:rPr>
          <w:rFonts w:ascii="Times New Roman" w:hAnsi="Times New Roman" w:cs="Times New Roman"/>
          <w:color w:val="auto"/>
          <w:lang w:val="en-GB"/>
        </w:rPr>
      </w:pPr>
      <w:proofErr w:type="spellStart"/>
      <w:r w:rsidRPr="00A03898">
        <w:rPr>
          <w:rFonts w:ascii="Times New Roman" w:hAnsi="Times New Roman" w:cs="Times New Roman"/>
          <w:color w:val="auto"/>
          <w:lang w:val="en-GB"/>
        </w:rPr>
        <w:t>Lapadska</w:t>
      </w:r>
      <w:proofErr w:type="spellEnd"/>
      <w:r w:rsidRPr="00A03898">
        <w:rPr>
          <w:rFonts w:ascii="Times New Roman" w:hAnsi="Times New Roman" w:cs="Times New Roman"/>
          <w:color w:val="auto"/>
          <w:lang w:val="en-GB"/>
        </w:rPr>
        <w:t xml:space="preserve"> </w:t>
      </w:r>
      <w:proofErr w:type="spellStart"/>
      <w:r w:rsidRPr="00A03898">
        <w:rPr>
          <w:rFonts w:ascii="Times New Roman" w:hAnsi="Times New Roman" w:cs="Times New Roman"/>
          <w:color w:val="auto"/>
          <w:lang w:val="en-GB"/>
        </w:rPr>
        <w:t>obala</w:t>
      </w:r>
      <w:proofErr w:type="spellEnd"/>
      <w:r w:rsidRPr="00A03898">
        <w:rPr>
          <w:rFonts w:ascii="Times New Roman" w:hAnsi="Times New Roman" w:cs="Times New Roman"/>
          <w:color w:val="auto"/>
          <w:lang w:val="en-GB"/>
        </w:rPr>
        <w:t xml:space="preserve"> 7, 20000 Dubrovnik, Croatia</w:t>
      </w:r>
    </w:p>
    <w:p w14:paraId="3269335C" w14:textId="77777777" w:rsidR="00A03898" w:rsidRPr="00A03898" w:rsidRDefault="00A03898" w:rsidP="00A03898">
      <w:pPr>
        <w:pStyle w:val="Body"/>
        <w:spacing w:after="0" w:line="240" w:lineRule="auto"/>
        <w:rPr>
          <w:rFonts w:ascii="Times New Roman" w:hAnsi="Times New Roman" w:cs="Times New Roman"/>
          <w:color w:val="auto"/>
          <w:lang w:val="en-GB"/>
        </w:rPr>
      </w:pPr>
      <w:r w:rsidRPr="00A03898">
        <w:rPr>
          <w:rFonts w:ascii="Times New Roman" w:hAnsi="Times New Roman" w:cs="Times New Roman"/>
          <w:color w:val="auto"/>
          <w:lang w:val="en-GB"/>
        </w:rPr>
        <w:t xml:space="preserve">E-mail: tonci.svilokos@unidu.hr </w:t>
      </w:r>
    </w:p>
    <w:p w14:paraId="08E426AB" w14:textId="77777777" w:rsidR="00A03898" w:rsidRPr="00A03898" w:rsidRDefault="00A03898" w:rsidP="00A03898">
      <w:pPr>
        <w:pStyle w:val="Body"/>
        <w:spacing w:after="0" w:line="240" w:lineRule="auto"/>
        <w:rPr>
          <w:rFonts w:ascii="Times New Roman" w:hAnsi="Times New Roman" w:cs="Times New Roman"/>
          <w:color w:val="auto"/>
          <w:lang w:val="en-GB"/>
        </w:rPr>
      </w:pPr>
      <w:r w:rsidRPr="00A03898">
        <w:rPr>
          <w:rFonts w:ascii="Times New Roman" w:hAnsi="Times New Roman" w:cs="Times New Roman"/>
          <w:color w:val="auto"/>
          <w:lang w:val="en-GB"/>
        </w:rPr>
        <w:t>Phone: +38520445929</w:t>
      </w:r>
    </w:p>
    <w:p w14:paraId="33AC2438" w14:textId="77777777" w:rsidR="00A03898" w:rsidRPr="00A03898" w:rsidRDefault="00A03898" w:rsidP="00A03898">
      <w:pPr>
        <w:pStyle w:val="Body"/>
        <w:spacing w:after="0" w:line="240" w:lineRule="auto"/>
        <w:rPr>
          <w:rFonts w:ascii="Times New Roman" w:hAnsi="Times New Roman" w:cs="Times New Roman"/>
          <w:i/>
          <w:color w:val="auto"/>
          <w:lang w:val="en-GB"/>
        </w:rPr>
      </w:pPr>
      <w:r w:rsidRPr="00A03898">
        <w:rPr>
          <w:rFonts w:ascii="Times New Roman" w:hAnsi="Times New Roman" w:cs="Times New Roman"/>
          <w:i/>
          <w:color w:val="auto"/>
          <w:lang w:val="en-GB"/>
        </w:rPr>
        <w:t>https://orcid.org/0000-0003-4159-7918</w:t>
      </w:r>
    </w:p>
    <w:p w14:paraId="716FE6C4" w14:textId="77777777" w:rsidR="00486814" w:rsidRPr="00A03898" w:rsidRDefault="00486814" w:rsidP="001B68F8">
      <w:pPr>
        <w:pStyle w:val="Body"/>
        <w:spacing w:line="360" w:lineRule="auto"/>
        <w:rPr>
          <w:rFonts w:ascii="Times New Roman" w:eastAsia="Times New Roman" w:hAnsi="Times New Roman" w:cs="Times New Roman"/>
          <w:color w:val="auto"/>
          <w:sz w:val="24"/>
          <w:szCs w:val="24"/>
          <w:lang w:val="en-GB"/>
        </w:rPr>
      </w:pPr>
    </w:p>
    <w:p w14:paraId="09675600" w14:textId="62A00F47" w:rsidR="00864129" w:rsidRPr="00A03898" w:rsidRDefault="009E5DA4" w:rsidP="00334564">
      <w:pPr>
        <w:pStyle w:val="Body"/>
        <w:spacing w:before="120" w:after="120" w:line="360" w:lineRule="auto"/>
        <w:rPr>
          <w:rFonts w:ascii="Times New Roman" w:eastAsia="Times New Roman" w:hAnsi="Times New Roman" w:cs="Times New Roman"/>
          <w:b/>
          <w:bCs/>
          <w:color w:val="auto"/>
          <w:sz w:val="24"/>
          <w:szCs w:val="24"/>
          <w:lang w:val="en-GB"/>
        </w:rPr>
      </w:pPr>
      <w:r w:rsidRPr="00A03898">
        <w:rPr>
          <w:rFonts w:ascii="Times New Roman" w:hAnsi="Times New Roman" w:cs="Times New Roman"/>
          <w:b/>
          <w:bCs/>
          <w:color w:val="auto"/>
          <w:sz w:val="24"/>
          <w:szCs w:val="24"/>
          <w:lang w:val="en-GB"/>
        </w:rPr>
        <w:t>Abstract</w:t>
      </w:r>
    </w:p>
    <w:p w14:paraId="40AB4288" w14:textId="2FA015CA" w:rsidR="00366E23" w:rsidRPr="00A03898" w:rsidRDefault="00983F42" w:rsidP="009C77AC">
      <w:pPr>
        <w:pStyle w:val="Body"/>
        <w:spacing w:after="0" w:line="360" w:lineRule="auto"/>
        <w:jc w:val="both"/>
        <w:rPr>
          <w:rFonts w:ascii="Times New Roman" w:hAnsi="Times New Roman" w:cs="Times New Roman"/>
          <w:color w:val="auto"/>
          <w:sz w:val="24"/>
          <w:szCs w:val="24"/>
          <w:lang w:val="en-GB"/>
        </w:rPr>
      </w:pPr>
      <w:r w:rsidRPr="00A03898">
        <w:rPr>
          <w:rFonts w:ascii="Times New Roman" w:eastAsia="Times New Roman" w:hAnsi="Times New Roman" w:cs="Times New Roman"/>
          <w:color w:val="auto"/>
          <w:sz w:val="24"/>
          <w:szCs w:val="24"/>
          <w:lang w:val="en-GB"/>
        </w:rPr>
        <w:t xml:space="preserve">This </w:t>
      </w:r>
      <w:r w:rsidR="00927B66" w:rsidRPr="00A03898">
        <w:rPr>
          <w:rFonts w:ascii="Times New Roman" w:hAnsi="Times New Roman" w:cs="Times New Roman"/>
          <w:color w:val="auto"/>
          <w:sz w:val="24"/>
          <w:szCs w:val="24"/>
          <w:lang w:val="en-GB"/>
        </w:rPr>
        <w:t xml:space="preserve">paper </w:t>
      </w:r>
      <w:r w:rsidR="002C35C1" w:rsidRPr="00A03898">
        <w:rPr>
          <w:rFonts w:ascii="Times New Roman" w:hAnsi="Times New Roman" w:cs="Times New Roman"/>
          <w:color w:val="auto"/>
          <w:sz w:val="24"/>
          <w:szCs w:val="24"/>
          <w:lang w:val="en-GB"/>
        </w:rPr>
        <w:t>investigates</w:t>
      </w:r>
      <w:r w:rsidR="00927B66" w:rsidRPr="00A03898">
        <w:rPr>
          <w:rFonts w:ascii="Times New Roman" w:hAnsi="Times New Roman" w:cs="Times New Roman"/>
          <w:color w:val="auto"/>
          <w:sz w:val="24"/>
          <w:szCs w:val="24"/>
          <w:lang w:val="en-GB"/>
        </w:rPr>
        <w:t xml:space="preserve"> the </w:t>
      </w:r>
      <w:r w:rsidR="001966C8" w:rsidRPr="00A03898">
        <w:rPr>
          <w:rFonts w:ascii="Times New Roman" w:hAnsi="Times New Roman" w:cs="Times New Roman"/>
          <w:color w:val="auto"/>
          <w:sz w:val="24"/>
          <w:szCs w:val="24"/>
          <w:lang w:val="en-GB"/>
        </w:rPr>
        <w:t>impact</w:t>
      </w:r>
      <w:r w:rsidR="00927B66" w:rsidRPr="00A03898">
        <w:rPr>
          <w:rFonts w:ascii="Times New Roman" w:hAnsi="Times New Roman" w:cs="Times New Roman"/>
          <w:color w:val="auto"/>
          <w:sz w:val="24"/>
          <w:szCs w:val="24"/>
          <w:lang w:val="en-GB"/>
        </w:rPr>
        <w:t xml:space="preserve"> of </w:t>
      </w:r>
      <w:r w:rsidR="00F2440A" w:rsidRPr="00A03898">
        <w:rPr>
          <w:rFonts w:ascii="Times New Roman" w:hAnsi="Times New Roman" w:cs="Times New Roman"/>
          <w:color w:val="auto"/>
          <w:sz w:val="24"/>
          <w:szCs w:val="24"/>
          <w:lang w:val="en-GB"/>
        </w:rPr>
        <w:t>economic</w:t>
      </w:r>
      <w:r w:rsidR="005D3E06" w:rsidRPr="00A03898">
        <w:rPr>
          <w:rFonts w:ascii="Times New Roman" w:hAnsi="Times New Roman" w:cs="Times New Roman"/>
          <w:color w:val="auto"/>
          <w:sz w:val="24"/>
          <w:szCs w:val="24"/>
          <w:lang w:val="en-GB"/>
        </w:rPr>
        <w:t xml:space="preserve"> integration</w:t>
      </w:r>
      <w:r w:rsidR="00F2440A" w:rsidRPr="00A03898">
        <w:rPr>
          <w:rFonts w:ascii="Times New Roman" w:hAnsi="Times New Roman" w:cs="Times New Roman"/>
          <w:color w:val="auto"/>
          <w:sz w:val="24"/>
          <w:szCs w:val="24"/>
          <w:lang w:val="en-GB"/>
        </w:rPr>
        <w:t>s</w:t>
      </w:r>
      <w:r w:rsidR="005D3E06" w:rsidRPr="00A03898">
        <w:rPr>
          <w:rFonts w:ascii="Times New Roman" w:hAnsi="Times New Roman" w:cs="Times New Roman"/>
          <w:color w:val="auto"/>
          <w:sz w:val="24"/>
          <w:szCs w:val="24"/>
          <w:lang w:val="en-GB"/>
        </w:rPr>
        <w:t xml:space="preserve"> on entrepreneurial outcomes</w:t>
      </w:r>
      <w:r w:rsidR="00F2440A" w:rsidRPr="00A03898">
        <w:rPr>
          <w:rFonts w:ascii="Times New Roman" w:hAnsi="Times New Roman" w:cs="Times New Roman"/>
          <w:color w:val="auto"/>
          <w:sz w:val="24"/>
          <w:szCs w:val="24"/>
          <w:lang w:val="en-GB"/>
        </w:rPr>
        <w:t xml:space="preserve">. The study </w:t>
      </w:r>
      <w:r w:rsidR="009D4708" w:rsidRPr="00A03898">
        <w:rPr>
          <w:rFonts w:ascii="Times New Roman" w:hAnsi="Times New Roman" w:cs="Times New Roman"/>
          <w:color w:val="auto"/>
          <w:sz w:val="24"/>
          <w:szCs w:val="24"/>
          <w:lang w:val="en-GB"/>
        </w:rPr>
        <w:t xml:space="preserve">bridges a gap between </w:t>
      </w:r>
      <w:r w:rsidR="00032C8B" w:rsidRPr="00A03898">
        <w:rPr>
          <w:rFonts w:ascii="Times New Roman" w:hAnsi="Times New Roman" w:cs="Times New Roman"/>
          <w:color w:val="auto"/>
          <w:sz w:val="24"/>
          <w:szCs w:val="24"/>
          <w:lang w:val="en-GB"/>
        </w:rPr>
        <w:t xml:space="preserve">the literature on </w:t>
      </w:r>
      <w:r w:rsidR="009D4708" w:rsidRPr="00A03898">
        <w:rPr>
          <w:rFonts w:ascii="Times New Roman" w:hAnsi="Times New Roman" w:cs="Times New Roman"/>
          <w:color w:val="auto"/>
          <w:sz w:val="24"/>
          <w:szCs w:val="24"/>
          <w:lang w:val="en-GB"/>
        </w:rPr>
        <w:t xml:space="preserve">entrepreneurship and trade by </w:t>
      </w:r>
      <w:r w:rsidR="00F2440A" w:rsidRPr="00A03898">
        <w:rPr>
          <w:rFonts w:ascii="Times New Roman" w:hAnsi="Times New Roman" w:cs="Times New Roman"/>
          <w:color w:val="auto"/>
          <w:sz w:val="24"/>
          <w:szCs w:val="24"/>
          <w:lang w:val="en-GB"/>
        </w:rPr>
        <w:t>explor</w:t>
      </w:r>
      <w:r w:rsidR="009D4708" w:rsidRPr="00A03898">
        <w:rPr>
          <w:rFonts w:ascii="Times New Roman" w:hAnsi="Times New Roman" w:cs="Times New Roman"/>
          <w:color w:val="auto"/>
          <w:sz w:val="24"/>
          <w:szCs w:val="24"/>
          <w:lang w:val="en-GB"/>
        </w:rPr>
        <w:t>ing</w:t>
      </w:r>
      <w:r w:rsidR="00F2440A" w:rsidRPr="00A03898">
        <w:rPr>
          <w:rFonts w:ascii="Times New Roman" w:hAnsi="Times New Roman" w:cs="Times New Roman"/>
          <w:color w:val="auto"/>
          <w:sz w:val="24"/>
          <w:szCs w:val="24"/>
          <w:lang w:val="en-GB"/>
        </w:rPr>
        <w:t xml:space="preserve"> how </w:t>
      </w:r>
      <w:r w:rsidR="00452F2F" w:rsidRPr="00A03898">
        <w:rPr>
          <w:rFonts w:ascii="Times New Roman" w:hAnsi="Times New Roman" w:cs="Times New Roman"/>
          <w:color w:val="auto"/>
          <w:sz w:val="24"/>
          <w:szCs w:val="24"/>
          <w:lang w:val="en-GB"/>
        </w:rPr>
        <w:t xml:space="preserve">international </w:t>
      </w:r>
      <w:r w:rsidR="00F2440A" w:rsidRPr="00A03898">
        <w:rPr>
          <w:rFonts w:ascii="Times New Roman" w:hAnsi="Times New Roman" w:cs="Times New Roman"/>
          <w:color w:val="auto"/>
          <w:sz w:val="24"/>
          <w:szCs w:val="24"/>
          <w:lang w:val="en-GB"/>
        </w:rPr>
        <w:t xml:space="preserve">trade and global value chain </w:t>
      </w:r>
      <w:r w:rsidR="00F511D3" w:rsidRPr="00A03898">
        <w:rPr>
          <w:rFonts w:ascii="Times New Roman" w:hAnsi="Times New Roman" w:cs="Times New Roman"/>
          <w:color w:val="auto"/>
          <w:sz w:val="24"/>
          <w:szCs w:val="24"/>
          <w:lang w:val="en-GB"/>
        </w:rPr>
        <w:t xml:space="preserve">(GVC) </w:t>
      </w:r>
      <w:r w:rsidR="00F2440A" w:rsidRPr="00A03898">
        <w:rPr>
          <w:rFonts w:ascii="Times New Roman" w:hAnsi="Times New Roman" w:cs="Times New Roman"/>
          <w:color w:val="auto"/>
          <w:sz w:val="24"/>
          <w:szCs w:val="24"/>
          <w:lang w:val="en-GB"/>
        </w:rPr>
        <w:t xml:space="preserve">integration </w:t>
      </w:r>
      <w:r w:rsidR="00E62837" w:rsidRPr="00A03898">
        <w:rPr>
          <w:rFonts w:ascii="Times New Roman" w:hAnsi="Times New Roman" w:cs="Times New Roman"/>
          <w:color w:val="auto"/>
          <w:sz w:val="24"/>
          <w:szCs w:val="24"/>
          <w:lang w:val="en-GB"/>
        </w:rPr>
        <w:t xml:space="preserve">influence </w:t>
      </w:r>
      <w:r w:rsidR="00366E23" w:rsidRPr="00A03898">
        <w:rPr>
          <w:rFonts w:ascii="Times New Roman" w:hAnsi="Times New Roman" w:cs="Times New Roman"/>
          <w:color w:val="auto"/>
          <w:sz w:val="24"/>
          <w:szCs w:val="24"/>
          <w:lang w:val="en-GB"/>
        </w:rPr>
        <w:t>the share</w:t>
      </w:r>
      <w:r w:rsidR="00E62837" w:rsidRPr="00A03898">
        <w:rPr>
          <w:rFonts w:ascii="Times New Roman" w:hAnsi="Times New Roman" w:cs="Times New Roman"/>
          <w:color w:val="auto"/>
          <w:sz w:val="24"/>
          <w:szCs w:val="24"/>
          <w:lang w:val="en-GB"/>
        </w:rPr>
        <w:t xml:space="preserve"> </w:t>
      </w:r>
      <w:r w:rsidR="00366E23" w:rsidRPr="00A03898">
        <w:rPr>
          <w:rFonts w:ascii="Times New Roman" w:hAnsi="Times New Roman" w:cs="Times New Roman"/>
          <w:color w:val="auto"/>
          <w:sz w:val="24"/>
          <w:szCs w:val="24"/>
          <w:lang w:val="en-GB"/>
        </w:rPr>
        <w:t>of</w:t>
      </w:r>
      <w:r w:rsidR="00E62837" w:rsidRPr="00A03898">
        <w:rPr>
          <w:rFonts w:ascii="Times New Roman" w:hAnsi="Times New Roman" w:cs="Times New Roman"/>
          <w:color w:val="auto"/>
          <w:sz w:val="24"/>
          <w:szCs w:val="24"/>
          <w:lang w:val="en-GB"/>
        </w:rPr>
        <w:t xml:space="preserve"> </w:t>
      </w:r>
      <w:r w:rsidR="00366E23" w:rsidRPr="00A03898">
        <w:rPr>
          <w:rFonts w:ascii="Times New Roman" w:hAnsi="Times New Roman" w:cs="Times New Roman"/>
          <w:color w:val="auto"/>
          <w:sz w:val="24"/>
          <w:szCs w:val="24"/>
          <w:lang w:val="en-GB"/>
        </w:rPr>
        <w:t>start-ups and</w:t>
      </w:r>
      <w:r w:rsidR="00E62837" w:rsidRPr="00A03898">
        <w:rPr>
          <w:rFonts w:ascii="Times New Roman" w:hAnsi="Times New Roman" w:cs="Times New Roman"/>
          <w:color w:val="auto"/>
          <w:sz w:val="24"/>
          <w:szCs w:val="24"/>
          <w:lang w:val="en-GB"/>
        </w:rPr>
        <w:t xml:space="preserve"> high-growth firms in</w:t>
      </w:r>
      <w:r w:rsidR="00F2440A" w:rsidRPr="00A03898">
        <w:rPr>
          <w:rFonts w:ascii="Times New Roman" w:hAnsi="Times New Roman" w:cs="Times New Roman"/>
          <w:color w:val="auto"/>
          <w:sz w:val="24"/>
          <w:szCs w:val="24"/>
          <w:lang w:val="en-GB"/>
        </w:rPr>
        <w:t xml:space="preserve"> manufacturing industries </w:t>
      </w:r>
      <w:r w:rsidR="00473698" w:rsidRPr="00A03898">
        <w:rPr>
          <w:rFonts w:ascii="Times New Roman" w:hAnsi="Times New Roman" w:cs="Times New Roman"/>
          <w:color w:val="auto"/>
          <w:sz w:val="24"/>
          <w:szCs w:val="24"/>
          <w:lang w:val="en-GB"/>
        </w:rPr>
        <w:t xml:space="preserve">in </w:t>
      </w:r>
      <w:r w:rsidR="00F2440A" w:rsidRPr="00A03898">
        <w:rPr>
          <w:rFonts w:ascii="Times New Roman" w:hAnsi="Times New Roman" w:cs="Times New Roman"/>
          <w:color w:val="auto"/>
          <w:sz w:val="24"/>
          <w:szCs w:val="24"/>
          <w:lang w:val="en-GB"/>
        </w:rPr>
        <w:t xml:space="preserve">eleven Central and Eastern European </w:t>
      </w:r>
      <w:r w:rsidR="00663088" w:rsidRPr="00A03898">
        <w:rPr>
          <w:rFonts w:ascii="Times New Roman" w:hAnsi="Times New Roman" w:cs="Times New Roman"/>
          <w:color w:val="auto"/>
          <w:sz w:val="24"/>
          <w:szCs w:val="24"/>
          <w:lang w:val="en-GB"/>
        </w:rPr>
        <w:t xml:space="preserve">(CEE) </w:t>
      </w:r>
      <w:r w:rsidR="00F2440A" w:rsidRPr="00A03898">
        <w:rPr>
          <w:rFonts w:ascii="Times New Roman" w:hAnsi="Times New Roman" w:cs="Times New Roman"/>
          <w:color w:val="auto"/>
          <w:sz w:val="24"/>
          <w:szCs w:val="24"/>
          <w:lang w:val="en-GB"/>
        </w:rPr>
        <w:t xml:space="preserve">member states of </w:t>
      </w:r>
      <w:r w:rsidR="003365F2" w:rsidRPr="00A03898">
        <w:rPr>
          <w:rFonts w:ascii="Times New Roman" w:hAnsi="Times New Roman" w:cs="Times New Roman"/>
          <w:color w:val="auto"/>
          <w:sz w:val="24"/>
          <w:szCs w:val="24"/>
          <w:lang w:val="en-GB"/>
        </w:rPr>
        <w:t xml:space="preserve">the </w:t>
      </w:r>
      <w:r w:rsidR="00F2440A" w:rsidRPr="00A03898">
        <w:rPr>
          <w:rFonts w:ascii="Times New Roman" w:hAnsi="Times New Roman" w:cs="Times New Roman"/>
          <w:color w:val="auto"/>
          <w:sz w:val="24"/>
          <w:szCs w:val="24"/>
          <w:lang w:val="en-GB"/>
        </w:rPr>
        <w:t>European Union</w:t>
      </w:r>
      <w:r w:rsidR="00844762" w:rsidRPr="00A03898">
        <w:rPr>
          <w:rFonts w:ascii="Times New Roman" w:hAnsi="Times New Roman" w:cs="Times New Roman"/>
          <w:color w:val="auto"/>
          <w:sz w:val="24"/>
          <w:szCs w:val="24"/>
          <w:lang w:val="en-GB"/>
        </w:rPr>
        <w:t xml:space="preserve"> </w:t>
      </w:r>
      <w:r w:rsidR="00F511D3" w:rsidRPr="00A03898">
        <w:rPr>
          <w:rFonts w:ascii="Times New Roman" w:hAnsi="Times New Roman" w:cs="Times New Roman"/>
          <w:color w:val="auto"/>
          <w:sz w:val="24"/>
          <w:szCs w:val="24"/>
          <w:lang w:val="en-GB"/>
        </w:rPr>
        <w:t xml:space="preserve">(EU) </w:t>
      </w:r>
      <w:r w:rsidR="00F2440A" w:rsidRPr="00A03898">
        <w:rPr>
          <w:rFonts w:ascii="Times New Roman" w:hAnsi="Times New Roman" w:cs="Times New Roman"/>
          <w:color w:val="auto"/>
          <w:sz w:val="24"/>
          <w:szCs w:val="24"/>
          <w:lang w:val="en-GB"/>
        </w:rPr>
        <w:t xml:space="preserve">during </w:t>
      </w:r>
      <w:r w:rsidR="00246A3D" w:rsidRPr="00A03898">
        <w:rPr>
          <w:rFonts w:ascii="Times New Roman" w:hAnsi="Times New Roman" w:cs="Times New Roman"/>
          <w:color w:val="auto"/>
          <w:sz w:val="24"/>
          <w:szCs w:val="24"/>
          <w:lang w:val="en-GB"/>
        </w:rPr>
        <w:t xml:space="preserve">the </w:t>
      </w:r>
      <w:r w:rsidR="00F316E5" w:rsidRPr="00A03898">
        <w:rPr>
          <w:rFonts w:ascii="Times New Roman" w:hAnsi="Times New Roman" w:cs="Times New Roman"/>
          <w:color w:val="auto"/>
          <w:sz w:val="24"/>
          <w:szCs w:val="24"/>
          <w:lang w:val="en-GB"/>
        </w:rPr>
        <w:t>2011</w:t>
      </w:r>
      <w:r w:rsidR="00F2440A" w:rsidRPr="00A03898">
        <w:rPr>
          <w:rFonts w:ascii="Times New Roman" w:hAnsi="Times New Roman" w:cs="Times New Roman"/>
          <w:color w:val="auto"/>
          <w:sz w:val="24"/>
          <w:szCs w:val="24"/>
          <w:lang w:val="en-GB"/>
        </w:rPr>
        <w:t xml:space="preserve">-2016 period. </w:t>
      </w:r>
      <w:r w:rsidR="007C6EEC" w:rsidRPr="00A03898">
        <w:rPr>
          <w:rFonts w:ascii="Times New Roman" w:hAnsi="Times New Roman" w:cs="Times New Roman"/>
          <w:color w:val="auto"/>
          <w:sz w:val="24"/>
          <w:szCs w:val="24"/>
          <w:lang w:val="en-GB"/>
        </w:rPr>
        <w:t xml:space="preserve">Exports, imports and forward </w:t>
      </w:r>
      <w:r w:rsidR="00366E23" w:rsidRPr="00A03898">
        <w:rPr>
          <w:rFonts w:ascii="Times New Roman" w:hAnsi="Times New Roman" w:cs="Times New Roman"/>
          <w:color w:val="auto"/>
          <w:sz w:val="24"/>
          <w:szCs w:val="24"/>
          <w:lang w:val="en-GB"/>
        </w:rPr>
        <w:t>GVC</w:t>
      </w:r>
      <w:r w:rsidR="00473698" w:rsidRPr="00A03898">
        <w:rPr>
          <w:rFonts w:ascii="Times New Roman" w:hAnsi="Times New Roman" w:cs="Times New Roman"/>
          <w:color w:val="auto"/>
          <w:sz w:val="24"/>
          <w:szCs w:val="24"/>
          <w:lang w:val="en-GB"/>
        </w:rPr>
        <w:t xml:space="preserve"> </w:t>
      </w:r>
      <w:r w:rsidR="007C6EEC" w:rsidRPr="00A03898">
        <w:rPr>
          <w:rFonts w:ascii="Times New Roman" w:hAnsi="Times New Roman" w:cs="Times New Roman"/>
          <w:color w:val="auto"/>
          <w:sz w:val="24"/>
          <w:szCs w:val="24"/>
          <w:lang w:val="en-GB"/>
        </w:rPr>
        <w:t xml:space="preserve">participation increase </w:t>
      </w:r>
      <w:r w:rsidR="00210BCA" w:rsidRPr="00A03898">
        <w:rPr>
          <w:rFonts w:ascii="Times New Roman" w:hAnsi="Times New Roman" w:cs="Times New Roman"/>
          <w:color w:val="auto"/>
          <w:sz w:val="24"/>
          <w:szCs w:val="24"/>
          <w:lang w:val="en-GB"/>
        </w:rPr>
        <w:t xml:space="preserve">the </w:t>
      </w:r>
      <w:r w:rsidR="007C6EEC" w:rsidRPr="00A03898">
        <w:rPr>
          <w:rFonts w:ascii="Times New Roman" w:hAnsi="Times New Roman" w:cs="Times New Roman"/>
          <w:color w:val="auto"/>
          <w:sz w:val="24"/>
          <w:szCs w:val="24"/>
          <w:lang w:val="en-GB"/>
        </w:rPr>
        <w:t xml:space="preserve">share of </w:t>
      </w:r>
      <w:r w:rsidR="00277BFF" w:rsidRPr="00A03898">
        <w:rPr>
          <w:rFonts w:ascii="Times New Roman" w:hAnsi="Times New Roman" w:cs="Times New Roman"/>
          <w:color w:val="auto"/>
          <w:sz w:val="24"/>
          <w:szCs w:val="24"/>
          <w:lang w:val="en-GB"/>
        </w:rPr>
        <w:t>start-ups</w:t>
      </w:r>
      <w:r w:rsidR="007C6EEC" w:rsidRPr="00A03898">
        <w:rPr>
          <w:rFonts w:ascii="Times New Roman" w:hAnsi="Times New Roman" w:cs="Times New Roman"/>
          <w:color w:val="auto"/>
          <w:sz w:val="24"/>
          <w:szCs w:val="24"/>
          <w:lang w:val="en-GB"/>
        </w:rPr>
        <w:t xml:space="preserve"> and high</w:t>
      </w:r>
      <w:r w:rsidR="00D42884" w:rsidRPr="00A03898">
        <w:rPr>
          <w:rFonts w:ascii="Times New Roman" w:hAnsi="Times New Roman" w:cs="Times New Roman"/>
          <w:color w:val="auto"/>
          <w:sz w:val="24"/>
          <w:szCs w:val="24"/>
          <w:lang w:val="en-GB"/>
        </w:rPr>
        <w:t>-</w:t>
      </w:r>
      <w:r w:rsidR="007C6EEC" w:rsidRPr="00A03898">
        <w:rPr>
          <w:rFonts w:ascii="Times New Roman" w:hAnsi="Times New Roman" w:cs="Times New Roman"/>
          <w:color w:val="auto"/>
          <w:sz w:val="24"/>
          <w:szCs w:val="24"/>
          <w:lang w:val="en-GB"/>
        </w:rPr>
        <w:t>growth firms</w:t>
      </w:r>
      <w:r w:rsidR="00F511D3" w:rsidRPr="00A03898">
        <w:rPr>
          <w:rFonts w:ascii="Times New Roman" w:hAnsi="Times New Roman" w:cs="Times New Roman"/>
          <w:color w:val="auto"/>
          <w:sz w:val="24"/>
          <w:szCs w:val="24"/>
          <w:lang w:val="en-GB"/>
        </w:rPr>
        <w:t xml:space="preserve"> and these effects are </w:t>
      </w:r>
      <w:r w:rsidR="003365F2" w:rsidRPr="00A03898">
        <w:rPr>
          <w:rFonts w:ascii="Times New Roman" w:hAnsi="Times New Roman" w:cs="Times New Roman"/>
          <w:color w:val="auto"/>
          <w:sz w:val="24"/>
          <w:szCs w:val="24"/>
          <w:lang w:val="en-GB"/>
        </w:rPr>
        <w:t>evident</w:t>
      </w:r>
      <w:r w:rsidR="00F511D3" w:rsidRPr="00A03898">
        <w:rPr>
          <w:rFonts w:ascii="Times New Roman" w:hAnsi="Times New Roman" w:cs="Times New Roman"/>
          <w:color w:val="auto"/>
          <w:sz w:val="24"/>
          <w:szCs w:val="24"/>
          <w:lang w:val="en-GB"/>
        </w:rPr>
        <w:t xml:space="preserve"> in low and high technology intensive industries</w:t>
      </w:r>
      <w:r w:rsidR="007C6EEC" w:rsidRPr="00A03898">
        <w:rPr>
          <w:rFonts w:ascii="Times New Roman" w:hAnsi="Times New Roman" w:cs="Times New Roman"/>
          <w:color w:val="auto"/>
          <w:sz w:val="24"/>
          <w:szCs w:val="24"/>
          <w:lang w:val="en-GB"/>
        </w:rPr>
        <w:t xml:space="preserve">. </w:t>
      </w:r>
      <w:r w:rsidR="003365F2" w:rsidRPr="00A03898">
        <w:rPr>
          <w:rFonts w:ascii="Times New Roman" w:hAnsi="Times New Roman" w:cs="Times New Roman"/>
          <w:color w:val="auto"/>
          <w:sz w:val="24"/>
          <w:szCs w:val="24"/>
          <w:lang w:val="en-GB"/>
        </w:rPr>
        <w:t>The e</w:t>
      </w:r>
      <w:r w:rsidR="00366E23" w:rsidRPr="00A03898">
        <w:rPr>
          <w:rFonts w:ascii="Times New Roman" w:hAnsi="Times New Roman" w:cs="Times New Roman"/>
          <w:color w:val="auto"/>
          <w:sz w:val="24"/>
          <w:szCs w:val="24"/>
          <w:lang w:val="en-GB"/>
        </w:rPr>
        <w:t xml:space="preserve">ffects of trade and GVC integration are more pronounced among </w:t>
      </w:r>
      <w:r w:rsidR="003365F2" w:rsidRPr="00A03898">
        <w:rPr>
          <w:rFonts w:ascii="Times New Roman" w:hAnsi="Times New Roman" w:cs="Times New Roman"/>
          <w:color w:val="auto"/>
          <w:sz w:val="24"/>
          <w:szCs w:val="24"/>
          <w:lang w:val="en-GB"/>
        </w:rPr>
        <w:t xml:space="preserve">the </w:t>
      </w:r>
      <w:r w:rsidR="00366E23" w:rsidRPr="00A03898">
        <w:rPr>
          <w:rFonts w:ascii="Times New Roman" w:hAnsi="Times New Roman" w:cs="Times New Roman"/>
          <w:color w:val="auto"/>
          <w:sz w:val="24"/>
          <w:szCs w:val="24"/>
          <w:lang w:val="en-GB"/>
        </w:rPr>
        <w:t xml:space="preserve">first group of </w:t>
      </w:r>
      <w:proofErr w:type="gramStart"/>
      <w:r w:rsidR="00366E23" w:rsidRPr="00A03898">
        <w:rPr>
          <w:rFonts w:ascii="Times New Roman" w:hAnsi="Times New Roman" w:cs="Times New Roman"/>
          <w:color w:val="auto"/>
          <w:sz w:val="24"/>
          <w:szCs w:val="24"/>
          <w:lang w:val="en-GB"/>
        </w:rPr>
        <w:t>CEE</w:t>
      </w:r>
      <w:proofErr w:type="gramEnd"/>
      <w:r w:rsidR="00366E23" w:rsidRPr="00A03898">
        <w:rPr>
          <w:rFonts w:ascii="Times New Roman" w:hAnsi="Times New Roman" w:cs="Times New Roman"/>
          <w:color w:val="auto"/>
          <w:sz w:val="24"/>
          <w:szCs w:val="24"/>
          <w:lang w:val="en-GB"/>
        </w:rPr>
        <w:t xml:space="preserve"> that </w:t>
      </w:r>
      <w:r w:rsidR="003365F2" w:rsidRPr="00A03898">
        <w:rPr>
          <w:rFonts w:ascii="Times New Roman" w:hAnsi="Times New Roman" w:cs="Times New Roman"/>
          <w:color w:val="auto"/>
          <w:sz w:val="24"/>
          <w:szCs w:val="24"/>
          <w:lang w:val="en-GB"/>
        </w:rPr>
        <w:t>joined the</w:t>
      </w:r>
      <w:r w:rsidR="00366E23" w:rsidRPr="00A03898">
        <w:rPr>
          <w:rFonts w:ascii="Times New Roman" w:hAnsi="Times New Roman" w:cs="Times New Roman"/>
          <w:color w:val="auto"/>
          <w:sz w:val="24"/>
          <w:szCs w:val="24"/>
          <w:lang w:val="en-GB"/>
        </w:rPr>
        <w:t xml:space="preserve"> EU than among latecomers. </w:t>
      </w:r>
    </w:p>
    <w:p w14:paraId="1591F495" w14:textId="77777777" w:rsidR="00F2440A" w:rsidRPr="00A03898" w:rsidRDefault="00F2440A" w:rsidP="009C77AC">
      <w:pPr>
        <w:pStyle w:val="Body"/>
        <w:spacing w:after="0" w:line="360" w:lineRule="auto"/>
        <w:jc w:val="both"/>
        <w:rPr>
          <w:rFonts w:ascii="Times New Roman" w:hAnsi="Times New Roman" w:cs="Times New Roman"/>
          <w:color w:val="auto"/>
          <w:sz w:val="24"/>
          <w:szCs w:val="24"/>
          <w:lang w:val="en-GB"/>
        </w:rPr>
      </w:pPr>
    </w:p>
    <w:p w14:paraId="76C1E363" w14:textId="5A4238FB" w:rsidR="00864129" w:rsidRPr="00A03898" w:rsidRDefault="00EF52E7" w:rsidP="00616A0F">
      <w:pPr>
        <w:pStyle w:val="Body"/>
        <w:spacing w:after="0" w:line="360" w:lineRule="auto"/>
        <w:rPr>
          <w:rFonts w:ascii="Times New Roman" w:hAnsi="Times New Roman" w:cs="Times New Roman"/>
          <w:color w:val="auto"/>
          <w:sz w:val="24"/>
          <w:szCs w:val="24"/>
          <w:lang w:val="en-GB"/>
        </w:rPr>
      </w:pPr>
      <w:r w:rsidRPr="00A03898">
        <w:rPr>
          <w:rFonts w:ascii="Times New Roman" w:hAnsi="Times New Roman" w:cs="Times New Roman"/>
          <w:b/>
          <w:bCs/>
          <w:color w:val="auto"/>
          <w:sz w:val="24"/>
          <w:szCs w:val="24"/>
          <w:lang w:val="en-GB"/>
        </w:rPr>
        <w:t xml:space="preserve">Keywords: </w:t>
      </w:r>
      <w:r w:rsidR="00BE0C4F" w:rsidRPr="00A03898">
        <w:rPr>
          <w:rFonts w:ascii="Times New Roman" w:hAnsi="Times New Roman" w:cs="Times New Roman"/>
          <w:color w:val="auto"/>
          <w:sz w:val="24"/>
          <w:szCs w:val="24"/>
          <w:lang w:val="en-GB"/>
        </w:rPr>
        <w:t>international</w:t>
      </w:r>
      <w:r w:rsidR="00E63E27" w:rsidRPr="00A03898">
        <w:rPr>
          <w:rFonts w:ascii="Times New Roman" w:hAnsi="Times New Roman" w:cs="Times New Roman"/>
          <w:color w:val="auto"/>
          <w:sz w:val="24"/>
          <w:szCs w:val="24"/>
          <w:lang w:val="en-GB"/>
        </w:rPr>
        <w:t xml:space="preserve"> trade</w:t>
      </w:r>
      <w:r w:rsidR="00EE16ED" w:rsidRPr="00A03898">
        <w:rPr>
          <w:rFonts w:ascii="Times New Roman" w:hAnsi="Times New Roman" w:cs="Times New Roman"/>
          <w:color w:val="auto"/>
          <w:sz w:val="24"/>
          <w:szCs w:val="24"/>
          <w:lang w:val="en-GB"/>
        </w:rPr>
        <w:t>;</w:t>
      </w:r>
      <w:r w:rsidR="00633C8A" w:rsidRPr="00A03898">
        <w:rPr>
          <w:rFonts w:ascii="Times New Roman" w:hAnsi="Times New Roman" w:cs="Times New Roman"/>
          <w:color w:val="auto"/>
          <w:sz w:val="24"/>
          <w:szCs w:val="24"/>
          <w:lang w:val="en-GB"/>
        </w:rPr>
        <w:t xml:space="preserve"> </w:t>
      </w:r>
      <w:r w:rsidR="00EE16ED" w:rsidRPr="00A03898">
        <w:rPr>
          <w:rFonts w:ascii="Times New Roman" w:hAnsi="Times New Roman" w:cs="Times New Roman"/>
          <w:color w:val="auto"/>
          <w:sz w:val="24"/>
          <w:szCs w:val="24"/>
          <w:lang w:val="en-GB"/>
        </w:rPr>
        <w:t>global value chains;</w:t>
      </w:r>
      <w:r w:rsidR="001D5698" w:rsidRPr="00A03898">
        <w:rPr>
          <w:rFonts w:ascii="Times New Roman" w:hAnsi="Times New Roman" w:cs="Times New Roman"/>
          <w:color w:val="auto"/>
          <w:sz w:val="24"/>
          <w:szCs w:val="24"/>
          <w:lang w:val="en-GB"/>
        </w:rPr>
        <w:t xml:space="preserve"> </w:t>
      </w:r>
      <w:r w:rsidR="00277BFF" w:rsidRPr="00A03898">
        <w:rPr>
          <w:rFonts w:ascii="Times New Roman" w:hAnsi="Times New Roman" w:cs="Times New Roman"/>
          <w:color w:val="auto"/>
          <w:sz w:val="24"/>
          <w:szCs w:val="24"/>
          <w:lang w:val="en-GB"/>
        </w:rPr>
        <w:t>start-ups</w:t>
      </w:r>
      <w:r w:rsidRPr="00A03898">
        <w:rPr>
          <w:rFonts w:ascii="Times New Roman" w:hAnsi="Times New Roman" w:cs="Times New Roman"/>
          <w:color w:val="auto"/>
          <w:sz w:val="24"/>
          <w:szCs w:val="24"/>
          <w:lang w:val="en-GB"/>
        </w:rPr>
        <w:t xml:space="preserve">, </w:t>
      </w:r>
      <w:r w:rsidR="004502E5" w:rsidRPr="00A03898">
        <w:rPr>
          <w:rFonts w:ascii="Times New Roman" w:hAnsi="Times New Roman" w:cs="Times New Roman"/>
          <w:color w:val="auto"/>
          <w:sz w:val="24"/>
          <w:szCs w:val="24"/>
          <w:lang w:val="en-GB"/>
        </w:rPr>
        <w:t>high-growth ﬁrms</w:t>
      </w:r>
    </w:p>
    <w:p w14:paraId="073D380B" w14:textId="003467AC" w:rsidR="00671830" w:rsidRPr="00A03898" w:rsidRDefault="00671830" w:rsidP="001B68F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cs="Times New Roman"/>
          <w:color w:val="auto"/>
          <w:sz w:val="24"/>
          <w:szCs w:val="24"/>
          <w:lang w:val="en-GB"/>
        </w:rPr>
      </w:pPr>
      <w:r w:rsidRPr="00A03898">
        <w:rPr>
          <w:rFonts w:cs="Times New Roman"/>
          <w:b/>
          <w:color w:val="auto"/>
          <w:sz w:val="24"/>
          <w:szCs w:val="24"/>
          <w:lang w:val="en-GB"/>
        </w:rPr>
        <w:t>JEL classification:</w:t>
      </w:r>
      <w:r w:rsidRPr="00A03898">
        <w:rPr>
          <w:rFonts w:cs="Times New Roman"/>
          <w:color w:val="auto"/>
          <w:sz w:val="24"/>
          <w:szCs w:val="24"/>
          <w:lang w:val="en-GB"/>
        </w:rPr>
        <w:t xml:space="preserve"> F14, F15,</w:t>
      </w:r>
      <w:r w:rsidR="00BE0C4F" w:rsidRPr="00A03898">
        <w:rPr>
          <w:rFonts w:cs="Times New Roman"/>
          <w:color w:val="auto"/>
          <w:sz w:val="24"/>
          <w:szCs w:val="24"/>
          <w:lang w:val="en-GB"/>
        </w:rPr>
        <w:t xml:space="preserve"> </w:t>
      </w:r>
      <w:r w:rsidRPr="00A03898">
        <w:rPr>
          <w:rFonts w:cs="Times New Roman"/>
          <w:color w:val="auto"/>
          <w:sz w:val="24"/>
          <w:szCs w:val="24"/>
          <w:lang w:val="en-GB"/>
        </w:rPr>
        <w:t>L26</w:t>
      </w:r>
    </w:p>
    <w:p w14:paraId="59ECFE96" w14:textId="53B60F79" w:rsidR="009C77AC" w:rsidRPr="00A03898" w:rsidRDefault="009C77AC" w:rsidP="001B68F8">
      <w:pPr>
        <w:pStyle w:val="Body"/>
        <w:spacing w:line="360" w:lineRule="auto"/>
        <w:rPr>
          <w:rFonts w:ascii="Times New Roman" w:eastAsia="Times New Roman" w:hAnsi="Times New Roman" w:cs="Times New Roman"/>
          <w:color w:val="auto"/>
          <w:sz w:val="24"/>
          <w:szCs w:val="24"/>
          <w:lang w:val="en-GB"/>
        </w:rPr>
      </w:pPr>
    </w:p>
    <w:p w14:paraId="4A2F9EBF" w14:textId="77777777" w:rsidR="004E0193" w:rsidRPr="00A03898" w:rsidRDefault="004E0193" w:rsidP="004E0193">
      <w:pPr>
        <w:pStyle w:val="Body"/>
        <w:numPr>
          <w:ilvl w:val="0"/>
          <w:numId w:val="5"/>
        </w:numPr>
        <w:spacing w:before="120" w:after="120" w:line="360" w:lineRule="auto"/>
        <w:ind w:left="357" w:hanging="357"/>
        <w:rPr>
          <w:rFonts w:ascii="Times New Roman" w:eastAsia="Times New Roman" w:hAnsi="Times New Roman" w:cs="Times New Roman"/>
          <w:b/>
          <w:bCs/>
          <w:color w:val="auto"/>
          <w:sz w:val="24"/>
          <w:szCs w:val="24"/>
          <w:lang w:val="en-GB"/>
        </w:rPr>
      </w:pPr>
      <w:r w:rsidRPr="00A03898">
        <w:rPr>
          <w:rFonts w:ascii="Times New Roman" w:hAnsi="Times New Roman" w:cs="Times New Roman"/>
          <w:b/>
          <w:bCs/>
          <w:color w:val="auto"/>
          <w:sz w:val="24"/>
          <w:szCs w:val="24"/>
          <w:lang w:val="en-GB"/>
        </w:rPr>
        <w:lastRenderedPageBreak/>
        <w:t>Introduction</w:t>
      </w:r>
    </w:p>
    <w:p w14:paraId="1FE9DDBB" w14:textId="7F8B90BB" w:rsidR="004E0193" w:rsidRPr="00A03898" w:rsidRDefault="004E0193" w:rsidP="004E0193">
      <w:pPr>
        <w:pStyle w:val="Body"/>
        <w:spacing w:after="0" w:line="360" w:lineRule="auto"/>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 xml:space="preserve">The last few decades have been marked with an unprecedented progress in the removal of the political and trade barriers across the world. In Europe, the most important manifestation of this process was the expansion of the European Union (EU) on Baltic and Central and Eastern European countries (CEE). The </w:t>
      </w:r>
      <w:r w:rsidR="00366E23" w:rsidRPr="00A03898">
        <w:rPr>
          <w:rFonts w:ascii="Times New Roman" w:hAnsi="Times New Roman" w:cs="Times New Roman"/>
          <w:color w:val="auto"/>
          <w:sz w:val="24"/>
          <w:szCs w:val="24"/>
          <w:lang w:val="en-GB"/>
        </w:rPr>
        <w:t xml:space="preserve">admission of CEE countries in the EU family paved the way to their subsequent transformation into the largest European production hub. In recent years, however, the wave of Euroscepticism spawned across the region questioning common arguments in favour of the EU enlargement. The newly arisen need of policy makers to defend EU membership necessitates a thorough evaluation of the economic benefits of EU integration </w:t>
      </w:r>
      <w:r w:rsidRPr="00A03898">
        <w:rPr>
          <w:rFonts w:ascii="Times New Roman" w:hAnsi="Times New Roman" w:cs="Times New Roman"/>
          <w:color w:val="auto"/>
          <w:sz w:val="24"/>
          <w:szCs w:val="24"/>
          <w:lang w:val="en-GB"/>
        </w:rPr>
        <w:t>(Mann</w:t>
      </w:r>
      <w:r w:rsidR="00CB49CF" w:rsidRPr="00A03898">
        <w:rPr>
          <w:rFonts w:ascii="Times New Roman" w:hAnsi="Times New Roman" w:cs="Times New Roman"/>
          <w:color w:val="auto"/>
          <w:sz w:val="24"/>
          <w:szCs w:val="24"/>
          <w:lang w:val="en-GB"/>
        </w:rPr>
        <w:t xml:space="preserve"> </w:t>
      </w:r>
      <w:r w:rsidRPr="00A03898">
        <w:rPr>
          <w:rFonts w:ascii="Times New Roman" w:hAnsi="Times New Roman" w:cs="Times New Roman"/>
          <w:color w:val="auto"/>
          <w:sz w:val="24"/>
          <w:szCs w:val="24"/>
          <w:lang w:val="en-GB"/>
        </w:rPr>
        <w:t xml:space="preserve">2015; </w:t>
      </w:r>
      <w:proofErr w:type="spellStart"/>
      <w:r w:rsidRPr="00A03898">
        <w:rPr>
          <w:rFonts w:ascii="Times New Roman" w:hAnsi="Times New Roman" w:cs="Times New Roman"/>
          <w:color w:val="auto"/>
          <w:sz w:val="24"/>
          <w:szCs w:val="24"/>
          <w:lang w:val="en-GB"/>
        </w:rPr>
        <w:t>Hobolt</w:t>
      </w:r>
      <w:proofErr w:type="spellEnd"/>
      <w:r w:rsidRPr="00A03898">
        <w:rPr>
          <w:rFonts w:ascii="Times New Roman" w:hAnsi="Times New Roman" w:cs="Times New Roman"/>
          <w:color w:val="auto"/>
          <w:sz w:val="24"/>
          <w:szCs w:val="24"/>
          <w:lang w:val="en-GB"/>
        </w:rPr>
        <w:t xml:space="preserve"> 2016; </w:t>
      </w:r>
      <w:proofErr w:type="spellStart"/>
      <w:r w:rsidRPr="00A03898">
        <w:rPr>
          <w:rFonts w:ascii="Times New Roman" w:hAnsi="Times New Roman" w:cs="Times New Roman"/>
          <w:color w:val="auto"/>
          <w:sz w:val="24"/>
          <w:szCs w:val="24"/>
          <w:lang w:val="en-GB"/>
        </w:rPr>
        <w:t>Pavcnik</w:t>
      </w:r>
      <w:proofErr w:type="spellEnd"/>
      <w:r w:rsidRPr="00A03898">
        <w:rPr>
          <w:rFonts w:ascii="Times New Roman" w:hAnsi="Times New Roman" w:cs="Times New Roman"/>
          <w:color w:val="auto"/>
          <w:sz w:val="24"/>
          <w:szCs w:val="24"/>
          <w:lang w:val="en-GB"/>
        </w:rPr>
        <w:t xml:space="preserve"> 2019).</w:t>
      </w:r>
    </w:p>
    <w:p w14:paraId="69EC0854" w14:textId="09ADDE9C" w:rsidR="004E0193" w:rsidRPr="00A03898" w:rsidRDefault="004E0193" w:rsidP="004E0193">
      <w:pPr>
        <w:pStyle w:val="Body"/>
        <w:spacing w:after="0" w:line="360" w:lineRule="auto"/>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ab/>
        <w:t xml:space="preserve">Macroeconomic literature argues that integrations help countries to create jobs and grow faster by facilitating flows of knowledge, skills and technology and by creating new market opportunities (Mann 2015; </w:t>
      </w:r>
      <w:proofErr w:type="spellStart"/>
      <w:r w:rsidRPr="00A03898">
        <w:rPr>
          <w:rFonts w:ascii="Times New Roman" w:hAnsi="Times New Roman" w:cs="Times New Roman"/>
          <w:color w:val="auto"/>
          <w:sz w:val="24"/>
          <w:szCs w:val="24"/>
          <w:lang w:val="en-GB"/>
        </w:rPr>
        <w:t>Hagemejer</w:t>
      </w:r>
      <w:proofErr w:type="spellEnd"/>
      <w:r w:rsidRPr="00A03898">
        <w:rPr>
          <w:rFonts w:ascii="Times New Roman" w:hAnsi="Times New Roman" w:cs="Times New Roman"/>
          <w:color w:val="auto"/>
          <w:sz w:val="24"/>
          <w:szCs w:val="24"/>
          <w:lang w:val="en-GB"/>
        </w:rPr>
        <w:t xml:space="preserve"> 2018)</w:t>
      </w:r>
      <w:r w:rsidR="0089340F" w:rsidRPr="00A03898">
        <w:rPr>
          <w:rFonts w:ascii="Times New Roman" w:hAnsi="Times New Roman" w:cs="Times New Roman"/>
          <w:color w:val="auto"/>
          <w:sz w:val="24"/>
          <w:szCs w:val="24"/>
          <w:lang w:val="en-GB"/>
        </w:rPr>
        <w:t>,</w:t>
      </w:r>
      <w:r w:rsidR="00366E23" w:rsidRPr="00A03898">
        <w:rPr>
          <w:rFonts w:ascii="Times New Roman" w:hAnsi="Times New Roman" w:cs="Times New Roman"/>
          <w:color w:val="auto"/>
          <w:sz w:val="24"/>
          <w:szCs w:val="24"/>
          <w:lang w:val="en-GB"/>
        </w:rPr>
        <w:t xml:space="preserve"> </w:t>
      </w:r>
      <w:r w:rsidRPr="00A03898">
        <w:rPr>
          <w:rFonts w:ascii="Times New Roman" w:hAnsi="Times New Roman" w:cs="Times New Roman"/>
          <w:color w:val="auto"/>
          <w:sz w:val="24"/>
          <w:szCs w:val="24"/>
          <w:lang w:val="en-GB"/>
        </w:rPr>
        <w:t xml:space="preserve">but the exact microeconomic mechanisms through which these effects materialize </w:t>
      </w:r>
      <w:r w:rsidR="00820BCB" w:rsidRPr="00A03898">
        <w:rPr>
          <w:rFonts w:ascii="Times New Roman" w:hAnsi="Times New Roman" w:cs="Times New Roman"/>
          <w:color w:val="auto"/>
          <w:sz w:val="24"/>
          <w:szCs w:val="24"/>
          <w:lang w:val="en-GB"/>
        </w:rPr>
        <w:t>received limited attention</w:t>
      </w:r>
      <w:r w:rsidR="00767395" w:rsidRPr="00A03898">
        <w:rPr>
          <w:rFonts w:ascii="Times New Roman" w:hAnsi="Times New Roman" w:cs="Times New Roman"/>
          <w:color w:val="auto"/>
          <w:sz w:val="24"/>
          <w:szCs w:val="24"/>
          <w:lang w:val="en-GB"/>
        </w:rPr>
        <w:t xml:space="preserve">. </w:t>
      </w:r>
      <w:r w:rsidR="00820BCB" w:rsidRPr="00A03898">
        <w:rPr>
          <w:rFonts w:ascii="Times New Roman" w:hAnsi="Times New Roman" w:cs="Times New Roman"/>
          <w:color w:val="auto"/>
          <w:sz w:val="24"/>
          <w:szCs w:val="24"/>
          <w:lang w:val="en-GB"/>
        </w:rPr>
        <w:t>Entrepreneurship literature does state that j</w:t>
      </w:r>
      <w:r w:rsidRPr="00A03898">
        <w:rPr>
          <w:rFonts w:ascii="Times New Roman" w:hAnsi="Times New Roman" w:cs="Times New Roman"/>
          <w:color w:val="auto"/>
          <w:sz w:val="24"/>
          <w:szCs w:val="24"/>
          <w:lang w:val="en-GB"/>
        </w:rPr>
        <w:t xml:space="preserve">ob creation and </w:t>
      </w:r>
      <w:r w:rsidR="00820BCB" w:rsidRPr="00A03898">
        <w:rPr>
          <w:rFonts w:ascii="Times New Roman" w:hAnsi="Times New Roman" w:cs="Times New Roman"/>
          <w:color w:val="auto"/>
          <w:sz w:val="24"/>
          <w:szCs w:val="24"/>
          <w:lang w:val="en-GB"/>
        </w:rPr>
        <w:t>growth</w:t>
      </w:r>
      <w:r w:rsidRPr="00A03898">
        <w:rPr>
          <w:rFonts w:ascii="Times New Roman" w:hAnsi="Times New Roman" w:cs="Times New Roman"/>
          <w:color w:val="auto"/>
          <w:sz w:val="24"/>
          <w:szCs w:val="24"/>
          <w:lang w:val="en-GB"/>
        </w:rPr>
        <w:t xml:space="preserve"> effects take place through behaviour of firms, particularly start</w:t>
      </w:r>
      <w:r w:rsidR="00820BCB" w:rsidRPr="00A03898">
        <w:rPr>
          <w:rFonts w:ascii="Times New Roman" w:hAnsi="Times New Roman" w:cs="Times New Roman"/>
          <w:color w:val="auto"/>
          <w:sz w:val="24"/>
          <w:szCs w:val="24"/>
          <w:lang w:val="en-GB"/>
        </w:rPr>
        <w:t>-</w:t>
      </w:r>
      <w:r w:rsidRPr="00A03898">
        <w:rPr>
          <w:rFonts w:ascii="Times New Roman" w:hAnsi="Times New Roman" w:cs="Times New Roman"/>
          <w:color w:val="auto"/>
          <w:sz w:val="24"/>
          <w:szCs w:val="24"/>
          <w:lang w:val="en-GB"/>
        </w:rPr>
        <w:t>ups and high growth firms</w:t>
      </w:r>
      <w:r w:rsidR="00366E23" w:rsidRPr="00A03898">
        <w:rPr>
          <w:rFonts w:ascii="Times New Roman" w:hAnsi="Times New Roman" w:cs="Times New Roman"/>
          <w:color w:val="auto"/>
          <w:sz w:val="24"/>
          <w:szCs w:val="24"/>
          <w:lang w:val="en-GB"/>
        </w:rPr>
        <w:t xml:space="preserve"> </w:t>
      </w:r>
      <w:r w:rsidR="00846BBC" w:rsidRPr="00A03898">
        <w:rPr>
          <w:rFonts w:ascii="Times New Roman" w:hAnsi="Times New Roman" w:cs="Times New Roman"/>
          <w:color w:val="auto"/>
          <w:sz w:val="24"/>
          <w:szCs w:val="24"/>
          <w:lang w:val="en-GB"/>
        </w:rPr>
        <w:t>(</w:t>
      </w:r>
      <w:proofErr w:type="spellStart"/>
      <w:r w:rsidR="00846BBC" w:rsidRPr="00A03898">
        <w:rPr>
          <w:rFonts w:ascii="Times New Roman" w:hAnsi="Times New Roman" w:cs="Times New Roman"/>
          <w:color w:val="auto"/>
          <w:sz w:val="24"/>
          <w:szCs w:val="24"/>
          <w:lang w:val="en-GB"/>
        </w:rPr>
        <w:t>Audretsch</w:t>
      </w:r>
      <w:proofErr w:type="spellEnd"/>
      <w:r w:rsidRPr="00A03898">
        <w:rPr>
          <w:rFonts w:ascii="Times New Roman" w:hAnsi="Times New Roman" w:cs="Times New Roman"/>
          <w:color w:val="auto"/>
          <w:sz w:val="24"/>
          <w:szCs w:val="24"/>
          <w:lang w:val="en-GB"/>
        </w:rPr>
        <w:t xml:space="preserve"> 2012). However, with the exception of the few relatively recent studies, the impact of integrations on the new business formation and on the growth of firms has not been examined at all (</w:t>
      </w:r>
      <w:proofErr w:type="spellStart"/>
      <w:r w:rsidRPr="00A03898">
        <w:rPr>
          <w:rFonts w:ascii="Times New Roman" w:hAnsi="Times New Roman" w:cs="Times New Roman"/>
          <w:color w:val="auto"/>
          <w:sz w:val="24"/>
          <w:szCs w:val="24"/>
          <w:lang w:val="en-GB"/>
        </w:rPr>
        <w:t>Sambharya</w:t>
      </w:r>
      <w:proofErr w:type="spellEnd"/>
      <w:r w:rsidRPr="00A03898">
        <w:rPr>
          <w:rFonts w:ascii="Times New Roman" w:hAnsi="Times New Roman" w:cs="Times New Roman"/>
          <w:color w:val="auto"/>
          <w:sz w:val="24"/>
          <w:szCs w:val="24"/>
          <w:lang w:val="en-GB"/>
        </w:rPr>
        <w:t xml:space="preserve"> and </w:t>
      </w:r>
      <w:proofErr w:type="spellStart"/>
      <w:r w:rsidRPr="00A03898">
        <w:rPr>
          <w:rFonts w:ascii="Times New Roman" w:hAnsi="Times New Roman" w:cs="Times New Roman"/>
          <w:color w:val="auto"/>
          <w:sz w:val="24"/>
          <w:szCs w:val="24"/>
          <w:lang w:val="en-GB"/>
        </w:rPr>
        <w:t>Musteen</w:t>
      </w:r>
      <w:proofErr w:type="spellEnd"/>
      <w:r w:rsidRPr="00A03898">
        <w:rPr>
          <w:rFonts w:ascii="Times New Roman" w:hAnsi="Times New Roman" w:cs="Times New Roman"/>
          <w:color w:val="auto"/>
          <w:sz w:val="24"/>
          <w:szCs w:val="24"/>
          <w:lang w:val="en-GB"/>
        </w:rPr>
        <w:t xml:space="preserve"> 2014; </w:t>
      </w:r>
      <w:proofErr w:type="spellStart"/>
      <w:r w:rsidRPr="00A03898">
        <w:rPr>
          <w:rFonts w:ascii="Times New Roman" w:hAnsi="Times New Roman" w:cs="Times New Roman"/>
          <w:color w:val="auto"/>
          <w:sz w:val="24"/>
          <w:szCs w:val="24"/>
          <w:lang w:val="en-GB"/>
        </w:rPr>
        <w:t>Tarabar</w:t>
      </w:r>
      <w:proofErr w:type="spellEnd"/>
      <w:r w:rsidRPr="00A03898">
        <w:rPr>
          <w:rFonts w:ascii="Times New Roman" w:hAnsi="Times New Roman" w:cs="Times New Roman"/>
          <w:color w:val="auto"/>
          <w:sz w:val="24"/>
          <w:szCs w:val="24"/>
          <w:lang w:val="en-GB"/>
        </w:rPr>
        <w:t xml:space="preserve"> 2018; </w:t>
      </w:r>
      <w:proofErr w:type="spellStart"/>
      <w:r w:rsidRPr="00A03898">
        <w:rPr>
          <w:rFonts w:ascii="Times New Roman" w:hAnsi="Times New Roman" w:cs="Times New Roman"/>
          <w:color w:val="auto"/>
          <w:sz w:val="24"/>
          <w:szCs w:val="24"/>
          <w:lang w:val="en-GB"/>
        </w:rPr>
        <w:t>Moschella</w:t>
      </w:r>
      <w:proofErr w:type="spellEnd"/>
      <w:r w:rsidRPr="00A03898">
        <w:rPr>
          <w:rFonts w:ascii="Times New Roman" w:hAnsi="Times New Roman" w:cs="Times New Roman"/>
          <w:color w:val="auto"/>
          <w:sz w:val="24"/>
          <w:szCs w:val="24"/>
          <w:lang w:val="en-GB"/>
        </w:rPr>
        <w:t xml:space="preserve"> et al. 2019). </w:t>
      </w:r>
    </w:p>
    <w:p w14:paraId="1EFBA3AE" w14:textId="2ABEC61A" w:rsidR="004E0193" w:rsidRPr="00A03898" w:rsidRDefault="00AB321D" w:rsidP="00D625F3">
      <w:pPr>
        <w:pStyle w:val="Body"/>
        <w:spacing w:after="0" w:line="360" w:lineRule="auto"/>
        <w:ind w:firstLine="720"/>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Ever since</w:t>
      </w:r>
      <w:r w:rsidR="004E0193" w:rsidRPr="00A03898">
        <w:rPr>
          <w:rFonts w:ascii="Times New Roman" w:hAnsi="Times New Roman" w:cs="Times New Roman"/>
          <w:color w:val="auto"/>
          <w:sz w:val="24"/>
          <w:szCs w:val="24"/>
          <w:lang w:val="en-GB"/>
        </w:rPr>
        <w:t xml:space="preserve"> the seminal work of Birch (1979)</w:t>
      </w:r>
      <w:r w:rsidRPr="00A03898">
        <w:rPr>
          <w:rFonts w:ascii="Times New Roman" w:hAnsi="Times New Roman" w:cs="Times New Roman"/>
          <w:color w:val="auto"/>
          <w:sz w:val="24"/>
          <w:szCs w:val="24"/>
          <w:lang w:val="en-GB"/>
        </w:rPr>
        <w:t>,</w:t>
      </w:r>
      <w:r w:rsidR="004E0193" w:rsidRPr="00A03898">
        <w:rPr>
          <w:rFonts w:ascii="Times New Roman" w:hAnsi="Times New Roman" w:cs="Times New Roman"/>
          <w:color w:val="auto"/>
          <w:sz w:val="24"/>
          <w:szCs w:val="24"/>
          <w:lang w:val="en-GB"/>
        </w:rPr>
        <w:t xml:space="preserve"> </w:t>
      </w:r>
      <w:r w:rsidR="00D625F3" w:rsidRPr="00A03898">
        <w:rPr>
          <w:rFonts w:ascii="Times New Roman" w:hAnsi="Times New Roman" w:cs="Times New Roman"/>
          <w:color w:val="auto"/>
          <w:sz w:val="24"/>
          <w:szCs w:val="24"/>
          <w:lang w:val="en-GB"/>
        </w:rPr>
        <w:t>it has been</w:t>
      </w:r>
      <w:r w:rsidR="004E0193" w:rsidRPr="00A03898">
        <w:rPr>
          <w:rFonts w:ascii="Times New Roman" w:hAnsi="Times New Roman" w:cs="Times New Roman"/>
          <w:color w:val="auto"/>
          <w:sz w:val="24"/>
          <w:szCs w:val="24"/>
          <w:lang w:val="en-GB"/>
        </w:rPr>
        <w:t xml:space="preserve"> argue</w:t>
      </w:r>
      <w:r w:rsidR="00D625F3" w:rsidRPr="00A03898">
        <w:rPr>
          <w:rFonts w:ascii="Times New Roman" w:hAnsi="Times New Roman" w:cs="Times New Roman"/>
          <w:color w:val="auto"/>
          <w:sz w:val="24"/>
          <w:szCs w:val="24"/>
          <w:lang w:val="en-GB"/>
        </w:rPr>
        <w:t>d</w:t>
      </w:r>
      <w:r w:rsidR="004E0193" w:rsidRPr="00A03898">
        <w:rPr>
          <w:rFonts w:ascii="Times New Roman" w:hAnsi="Times New Roman" w:cs="Times New Roman"/>
          <w:color w:val="auto"/>
          <w:sz w:val="24"/>
          <w:szCs w:val="24"/>
          <w:lang w:val="en-GB"/>
        </w:rPr>
        <w:t xml:space="preserve"> that start</w:t>
      </w:r>
      <w:r w:rsidR="00820BCB" w:rsidRPr="00A03898">
        <w:rPr>
          <w:rFonts w:ascii="Times New Roman" w:hAnsi="Times New Roman" w:cs="Times New Roman"/>
          <w:color w:val="auto"/>
          <w:sz w:val="24"/>
          <w:szCs w:val="24"/>
          <w:lang w:val="en-GB"/>
        </w:rPr>
        <w:t>-</w:t>
      </w:r>
      <w:r w:rsidR="004E0193" w:rsidRPr="00A03898">
        <w:rPr>
          <w:rFonts w:ascii="Times New Roman" w:hAnsi="Times New Roman" w:cs="Times New Roman"/>
          <w:color w:val="auto"/>
          <w:sz w:val="24"/>
          <w:szCs w:val="24"/>
          <w:lang w:val="en-GB"/>
        </w:rPr>
        <w:t xml:space="preserve">ups and HGFs make </w:t>
      </w:r>
      <w:r w:rsidR="00D625F3" w:rsidRPr="00A03898">
        <w:rPr>
          <w:rFonts w:ascii="Times New Roman" w:hAnsi="Times New Roman" w:cs="Times New Roman"/>
          <w:color w:val="auto"/>
          <w:sz w:val="24"/>
          <w:szCs w:val="24"/>
          <w:lang w:val="en-GB"/>
        </w:rPr>
        <w:t>significant</w:t>
      </w:r>
      <w:r w:rsidR="004E0193" w:rsidRPr="00A03898">
        <w:rPr>
          <w:rFonts w:ascii="Times New Roman" w:hAnsi="Times New Roman" w:cs="Times New Roman"/>
          <w:color w:val="auto"/>
          <w:sz w:val="24"/>
          <w:szCs w:val="24"/>
          <w:lang w:val="en-GB"/>
        </w:rPr>
        <w:t xml:space="preserve"> contribution to </w:t>
      </w:r>
      <w:r w:rsidR="00820BCB" w:rsidRPr="00A03898">
        <w:rPr>
          <w:rFonts w:ascii="Times New Roman" w:hAnsi="Times New Roman" w:cs="Times New Roman"/>
          <w:color w:val="auto"/>
          <w:sz w:val="24"/>
          <w:szCs w:val="24"/>
          <w:lang w:val="en-GB"/>
        </w:rPr>
        <w:t xml:space="preserve">the </w:t>
      </w:r>
      <w:r w:rsidR="00D625F3" w:rsidRPr="00A03898">
        <w:rPr>
          <w:rFonts w:ascii="Times New Roman" w:hAnsi="Times New Roman" w:cs="Times New Roman"/>
          <w:color w:val="auto"/>
          <w:sz w:val="24"/>
          <w:szCs w:val="24"/>
          <w:lang w:val="en-GB"/>
        </w:rPr>
        <w:t xml:space="preserve">aggregate </w:t>
      </w:r>
      <w:r w:rsidR="004E0193" w:rsidRPr="00A03898">
        <w:rPr>
          <w:rFonts w:ascii="Times New Roman" w:hAnsi="Times New Roman" w:cs="Times New Roman"/>
          <w:color w:val="auto"/>
          <w:sz w:val="24"/>
          <w:szCs w:val="24"/>
          <w:lang w:val="en-GB"/>
        </w:rPr>
        <w:t>employment and productivity growth (</w:t>
      </w:r>
      <w:proofErr w:type="spellStart"/>
      <w:r w:rsidR="00075281" w:rsidRPr="00A03898">
        <w:rPr>
          <w:rFonts w:ascii="Times New Roman" w:hAnsi="Times New Roman" w:cs="Times New Roman"/>
          <w:color w:val="auto"/>
          <w:sz w:val="24"/>
          <w:szCs w:val="24"/>
          <w:lang w:val="en-GB"/>
        </w:rPr>
        <w:t>Henrekson</w:t>
      </w:r>
      <w:proofErr w:type="spellEnd"/>
      <w:r w:rsidR="00075281" w:rsidRPr="00A03898">
        <w:rPr>
          <w:rFonts w:ascii="Times New Roman" w:hAnsi="Times New Roman" w:cs="Times New Roman"/>
          <w:color w:val="auto"/>
          <w:sz w:val="24"/>
          <w:szCs w:val="24"/>
          <w:lang w:val="en-GB"/>
        </w:rPr>
        <w:t xml:space="preserve"> and Johansson 2010; </w:t>
      </w:r>
      <w:proofErr w:type="spellStart"/>
      <w:r w:rsidR="00D625F3" w:rsidRPr="00A03898">
        <w:rPr>
          <w:rFonts w:ascii="Times New Roman" w:hAnsi="Times New Roman" w:cs="Times New Roman"/>
          <w:color w:val="auto"/>
          <w:sz w:val="24"/>
          <w:szCs w:val="24"/>
          <w:lang w:val="en-GB"/>
        </w:rPr>
        <w:t>Westlund</w:t>
      </w:r>
      <w:proofErr w:type="spellEnd"/>
      <w:r w:rsidR="00D625F3" w:rsidRPr="00A03898">
        <w:rPr>
          <w:rFonts w:ascii="Times New Roman" w:hAnsi="Times New Roman" w:cs="Times New Roman"/>
          <w:color w:val="auto"/>
          <w:sz w:val="24"/>
          <w:szCs w:val="24"/>
          <w:lang w:val="en-GB"/>
        </w:rPr>
        <w:t xml:space="preserve"> and Olsson 2011; </w:t>
      </w:r>
      <w:proofErr w:type="spellStart"/>
      <w:r w:rsidR="00075281" w:rsidRPr="00A03898">
        <w:rPr>
          <w:rFonts w:ascii="Times New Roman" w:hAnsi="Times New Roman" w:cs="Times New Roman"/>
          <w:color w:val="auto"/>
          <w:sz w:val="24"/>
          <w:szCs w:val="24"/>
          <w:lang w:val="en-GB"/>
        </w:rPr>
        <w:t>Audretsch</w:t>
      </w:r>
      <w:proofErr w:type="spellEnd"/>
      <w:r w:rsidR="00075281" w:rsidRPr="00A03898">
        <w:rPr>
          <w:rFonts w:ascii="Times New Roman" w:hAnsi="Times New Roman" w:cs="Times New Roman"/>
          <w:color w:val="auto"/>
          <w:sz w:val="24"/>
          <w:szCs w:val="24"/>
          <w:lang w:val="en-GB"/>
        </w:rPr>
        <w:t xml:space="preserve"> 2012; </w:t>
      </w:r>
      <w:proofErr w:type="spellStart"/>
      <w:r w:rsidR="00075281" w:rsidRPr="00A03898">
        <w:rPr>
          <w:rFonts w:ascii="Times New Roman" w:hAnsi="Times New Roman" w:cs="Times New Roman"/>
          <w:color w:val="auto"/>
          <w:sz w:val="24"/>
          <w:szCs w:val="24"/>
          <w:lang w:val="en-GB"/>
        </w:rPr>
        <w:t>Amat</w:t>
      </w:r>
      <w:proofErr w:type="spellEnd"/>
      <w:r w:rsidR="00075281" w:rsidRPr="00A03898">
        <w:rPr>
          <w:rFonts w:ascii="Times New Roman" w:hAnsi="Times New Roman" w:cs="Times New Roman"/>
          <w:color w:val="auto"/>
          <w:sz w:val="24"/>
          <w:szCs w:val="24"/>
          <w:lang w:val="en-GB"/>
        </w:rPr>
        <w:t xml:space="preserve"> </w:t>
      </w:r>
      <w:r w:rsidR="00846A79" w:rsidRPr="00A03898">
        <w:rPr>
          <w:rFonts w:ascii="Times New Roman" w:hAnsi="Times New Roman" w:cs="Times New Roman"/>
          <w:color w:val="auto"/>
          <w:sz w:val="24"/>
          <w:szCs w:val="24"/>
          <w:lang w:val="en-GB"/>
        </w:rPr>
        <w:t>et al.</w:t>
      </w:r>
      <w:r w:rsidR="003A7E06" w:rsidRPr="00A03898">
        <w:rPr>
          <w:rFonts w:ascii="Times New Roman" w:hAnsi="Times New Roman" w:cs="Times New Roman"/>
          <w:color w:val="auto"/>
          <w:sz w:val="24"/>
          <w:szCs w:val="24"/>
          <w:lang w:val="en-GB"/>
        </w:rPr>
        <w:t xml:space="preserve"> 2013; Lee</w:t>
      </w:r>
      <w:r w:rsidR="004E0193" w:rsidRPr="00A03898">
        <w:rPr>
          <w:rFonts w:ascii="Times New Roman" w:hAnsi="Times New Roman" w:cs="Times New Roman"/>
          <w:color w:val="auto"/>
          <w:sz w:val="24"/>
          <w:szCs w:val="24"/>
          <w:lang w:val="en-GB"/>
        </w:rPr>
        <w:t xml:space="preserve"> 2014; </w:t>
      </w:r>
      <w:proofErr w:type="spellStart"/>
      <w:r w:rsidR="005200D7" w:rsidRPr="00A03898">
        <w:rPr>
          <w:rFonts w:ascii="Times New Roman" w:hAnsi="Times New Roman" w:cs="Times New Roman"/>
          <w:color w:val="auto"/>
          <w:sz w:val="24"/>
          <w:szCs w:val="24"/>
          <w:lang w:val="en-GB"/>
        </w:rPr>
        <w:t>Arrighetti</w:t>
      </w:r>
      <w:proofErr w:type="spellEnd"/>
      <w:r w:rsidR="005200D7" w:rsidRPr="00A03898">
        <w:rPr>
          <w:rFonts w:ascii="Times New Roman" w:hAnsi="Times New Roman" w:cs="Times New Roman"/>
          <w:color w:val="auto"/>
          <w:sz w:val="24"/>
          <w:szCs w:val="24"/>
          <w:lang w:val="en-GB"/>
        </w:rPr>
        <w:t xml:space="preserve"> and </w:t>
      </w:r>
      <w:proofErr w:type="spellStart"/>
      <w:r w:rsidR="005200D7" w:rsidRPr="00A03898">
        <w:rPr>
          <w:rFonts w:ascii="Times New Roman" w:hAnsi="Times New Roman" w:cs="Times New Roman"/>
          <w:color w:val="auto"/>
          <w:sz w:val="24"/>
          <w:szCs w:val="24"/>
          <w:lang w:val="en-GB"/>
        </w:rPr>
        <w:t>Lasagni</w:t>
      </w:r>
      <w:proofErr w:type="spellEnd"/>
      <w:r w:rsidR="007E0780" w:rsidRPr="00A03898">
        <w:rPr>
          <w:rFonts w:ascii="Times New Roman" w:hAnsi="Times New Roman" w:cs="Times New Roman"/>
          <w:color w:val="auto"/>
          <w:sz w:val="24"/>
          <w:szCs w:val="24"/>
          <w:lang w:val="en-GB"/>
        </w:rPr>
        <w:t xml:space="preserve"> 2013; Coad et al.</w:t>
      </w:r>
      <w:r w:rsidR="004E0193" w:rsidRPr="00A03898">
        <w:rPr>
          <w:rFonts w:ascii="Times New Roman" w:hAnsi="Times New Roman" w:cs="Times New Roman"/>
          <w:color w:val="auto"/>
          <w:sz w:val="24"/>
          <w:szCs w:val="24"/>
          <w:lang w:val="en-GB"/>
        </w:rPr>
        <w:t xml:space="preserve"> 2014; </w:t>
      </w:r>
      <w:r w:rsidR="002A73B4" w:rsidRPr="00A03898">
        <w:rPr>
          <w:rFonts w:ascii="Times New Roman" w:hAnsi="Times New Roman" w:cs="Times New Roman"/>
          <w:color w:val="auto"/>
          <w:sz w:val="24"/>
          <w:szCs w:val="24"/>
          <w:lang w:val="en-GB"/>
        </w:rPr>
        <w:t>Coad et al.</w:t>
      </w:r>
      <w:r w:rsidR="004E0193" w:rsidRPr="00A03898">
        <w:rPr>
          <w:rFonts w:ascii="Times New Roman" w:hAnsi="Times New Roman" w:cs="Times New Roman"/>
          <w:color w:val="auto"/>
          <w:sz w:val="24"/>
          <w:szCs w:val="24"/>
          <w:lang w:val="en-GB"/>
        </w:rPr>
        <w:t xml:space="preserve"> 2017; Van </w:t>
      </w:r>
      <w:proofErr w:type="spellStart"/>
      <w:r w:rsidR="004E0193" w:rsidRPr="00A03898">
        <w:rPr>
          <w:rFonts w:ascii="Times New Roman" w:hAnsi="Times New Roman" w:cs="Times New Roman"/>
          <w:color w:val="auto"/>
          <w:sz w:val="24"/>
          <w:szCs w:val="24"/>
          <w:lang w:val="en-GB"/>
        </w:rPr>
        <w:t>Weele</w:t>
      </w:r>
      <w:proofErr w:type="spellEnd"/>
      <w:r w:rsidR="004E0193" w:rsidRPr="00A03898">
        <w:rPr>
          <w:rFonts w:ascii="Times New Roman" w:hAnsi="Times New Roman" w:cs="Times New Roman"/>
          <w:color w:val="auto"/>
          <w:sz w:val="24"/>
          <w:szCs w:val="24"/>
          <w:lang w:val="en-GB"/>
        </w:rPr>
        <w:t xml:space="preserve"> et al., 2018; Coad and </w:t>
      </w:r>
      <w:proofErr w:type="spellStart"/>
      <w:r w:rsidR="004E0193" w:rsidRPr="00A03898">
        <w:rPr>
          <w:rFonts w:ascii="Times New Roman" w:hAnsi="Times New Roman" w:cs="Times New Roman"/>
          <w:color w:val="auto"/>
          <w:sz w:val="24"/>
          <w:szCs w:val="24"/>
          <w:lang w:val="en-GB"/>
        </w:rPr>
        <w:t>Srhoj</w:t>
      </w:r>
      <w:proofErr w:type="spellEnd"/>
      <w:r w:rsidR="004E0193" w:rsidRPr="00A03898">
        <w:rPr>
          <w:rFonts w:ascii="Times New Roman" w:hAnsi="Times New Roman" w:cs="Times New Roman"/>
          <w:color w:val="auto"/>
          <w:sz w:val="24"/>
          <w:szCs w:val="24"/>
          <w:lang w:val="en-GB"/>
        </w:rPr>
        <w:t xml:space="preserve">, 2019). Through demonstration effects, spillovers to upstream suppliers or transfer of advanced production and management skills and </w:t>
      </w:r>
      <w:proofErr w:type="gramStart"/>
      <w:r w:rsidR="004E0193" w:rsidRPr="00A03898">
        <w:rPr>
          <w:rFonts w:ascii="Times New Roman" w:hAnsi="Times New Roman" w:cs="Times New Roman"/>
          <w:color w:val="auto"/>
          <w:sz w:val="24"/>
          <w:szCs w:val="24"/>
          <w:lang w:val="en-GB"/>
        </w:rPr>
        <w:t>high quality</w:t>
      </w:r>
      <w:proofErr w:type="gramEnd"/>
      <w:r w:rsidR="004E0193" w:rsidRPr="00A03898">
        <w:rPr>
          <w:rFonts w:ascii="Times New Roman" w:hAnsi="Times New Roman" w:cs="Times New Roman"/>
          <w:color w:val="auto"/>
          <w:sz w:val="24"/>
          <w:szCs w:val="24"/>
          <w:lang w:val="en-GB"/>
        </w:rPr>
        <w:t xml:space="preserve"> inputs to downstream firms</w:t>
      </w:r>
      <w:r w:rsidR="001A5E25" w:rsidRPr="00A03898">
        <w:rPr>
          <w:rFonts w:ascii="Times New Roman" w:hAnsi="Times New Roman" w:cs="Times New Roman"/>
          <w:color w:val="auto"/>
          <w:sz w:val="24"/>
          <w:szCs w:val="24"/>
          <w:lang w:val="en-GB"/>
        </w:rPr>
        <w:t>,</w:t>
      </w:r>
      <w:r w:rsidR="004E0193" w:rsidRPr="00A03898">
        <w:rPr>
          <w:rFonts w:ascii="Times New Roman" w:hAnsi="Times New Roman" w:cs="Times New Roman"/>
          <w:color w:val="auto"/>
          <w:sz w:val="24"/>
          <w:szCs w:val="24"/>
          <w:lang w:val="en-GB"/>
        </w:rPr>
        <w:t xml:space="preserve"> </w:t>
      </w:r>
      <w:r w:rsidR="00D625F3" w:rsidRPr="00A03898">
        <w:rPr>
          <w:rFonts w:ascii="Times New Roman" w:hAnsi="Times New Roman" w:cs="Times New Roman"/>
          <w:color w:val="auto"/>
          <w:sz w:val="24"/>
          <w:szCs w:val="24"/>
          <w:lang w:val="en-GB"/>
        </w:rPr>
        <w:t xml:space="preserve">these firms increase efficiency of surviving incumbents, facilitate innovations and greater consumer welfare </w:t>
      </w:r>
      <w:r w:rsidR="004E0193" w:rsidRPr="00A03898">
        <w:rPr>
          <w:rFonts w:ascii="Times New Roman" w:hAnsi="Times New Roman" w:cs="Times New Roman"/>
          <w:color w:val="auto"/>
          <w:sz w:val="24"/>
          <w:szCs w:val="24"/>
          <w:lang w:val="en-GB"/>
        </w:rPr>
        <w:t>(</w:t>
      </w:r>
      <w:proofErr w:type="spellStart"/>
      <w:r w:rsidR="004E0193" w:rsidRPr="00A03898">
        <w:rPr>
          <w:rFonts w:ascii="Times New Roman" w:hAnsi="Times New Roman" w:cs="Times New Roman"/>
          <w:color w:val="auto"/>
          <w:sz w:val="24"/>
          <w:szCs w:val="24"/>
          <w:lang w:val="en-GB"/>
        </w:rPr>
        <w:t>Vertesy</w:t>
      </w:r>
      <w:proofErr w:type="spellEnd"/>
      <w:r w:rsidR="004E0193" w:rsidRPr="00A03898">
        <w:rPr>
          <w:rFonts w:ascii="Times New Roman" w:hAnsi="Times New Roman" w:cs="Times New Roman"/>
          <w:color w:val="auto"/>
          <w:sz w:val="24"/>
          <w:szCs w:val="24"/>
          <w:lang w:val="en-GB"/>
        </w:rPr>
        <w:t xml:space="preserve"> et al., 2017; de Nicola et al., 2019). Evidence also suggests that these firms facilitate social inclusion of youth, immigrants or discouraged workers (</w:t>
      </w:r>
      <w:proofErr w:type="spellStart"/>
      <w:r w:rsidR="009D4708" w:rsidRPr="00A03898">
        <w:rPr>
          <w:rFonts w:ascii="Times New Roman" w:hAnsi="Times New Roman" w:cs="Times New Roman"/>
          <w:color w:val="auto"/>
          <w:sz w:val="24"/>
          <w:szCs w:val="24"/>
          <w:lang w:val="en-GB"/>
        </w:rPr>
        <w:t>D</w:t>
      </w:r>
      <w:r w:rsidR="004E0193" w:rsidRPr="00A03898">
        <w:rPr>
          <w:rFonts w:ascii="Times New Roman" w:hAnsi="Times New Roman" w:cs="Times New Roman"/>
          <w:color w:val="auto"/>
          <w:sz w:val="24"/>
          <w:szCs w:val="24"/>
          <w:lang w:val="en-GB"/>
        </w:rPr>
        <w:t>aunfeldt</w:t>
      </w:r>
      <w:proofErr w:type="spellEnd"/>
      <w:r w:rsidR="004E0193" w:rsidRPr="00A03898">
        <w:rPr>
          <w:rFonts w:ascii="Times New Roman" w:hAnsi="Times New Roman" w:cs="Times New Roman"/>
          <w:color w:val="auto"/>
          <w:sz w:val="24"/>
          <w:szCs w:val="24"/>
          <w:lang w:val="en-GB"/>
        </w:rPr>
        <w:t xml:space="preserve"> and </w:t>
      </w:r>
      <w:proofErr w:type="spellStart"/>
      <w:r w:rsidR="004E0193" w:rsidRPr="00A03898">
        <w:rPr>
          <w:rFonts w:ascii="Times New Roman" w:hAnsi="Times New Roman" w:cs="Times New Roman"/>
          <w:color w:val="auto"/>
          <w:sz w:val="24"/>
          <w:szCs w:val="24"/>
          <w:lang w:val="en-GB"/>
        </w:rPr>
        <w:t>Halvarsson</w:t>
      </w:r>
      <w:proofErr w:type="spellEnd"/>
      <w:r w:rsidR="004E0193" w:rsidRPr="00A03898">
        <w:rPr>
          <w:rFonts w:ascii="Times New Roman" w:hAnsi="Times New Roman" w:cs="Times New Roman"/>
          <w:color w:val="auto"/>
          <w:sz w:val="24"/>
          <w:szCs w:val="24"/>
          <w:lang w:val="en-GB"/>
        </w:rPr>
        <w:t xml:space="preserve">, 2015). It </w:t>
      </w:r>
      <w:r w:rsidR="00D625F3" w:rsidRPr="00A03898">
        <w:rPr>
          <w:rFonts w:ascii="Times New Roman" w:hAnsi="Times New Roman" w:cs="Times New Roman"/>
          <w:color w:val="auto"/>
          <w:sz w:val="24"/>
          <w:szCs w:val="24"/>
          <w:lang w:val="en-GB"/>
        </w:rPr>
        <w:t xml:space="preserve">is for these reasons that </w:t>
      </w:r>
      <w:r w:rsidR="004E0193" w:rsidRPr="00A03898">
        <w:rPr>
          <w:rFonts w:ascii="Times New Roman" w:hAnsi="Times New Roman" w:cs="Times New Roman"/>
          <w:color w:val="auto"/>
          <w:sz w:val="24"/>
          <w:szCs w:val="24"/>
          <w:lang w:val="en-GB"/>
        </w:rPr>
        <w:t xml:space="preserve">support to start ups and HGFs is high on the agenda of policy priorities in </w:t>
      </w:r>
      <w:r w:rsidR="00A7573B" w:rsidRPr="00A03898">
        <w:rPr>
          <w:rFonts w:ascii="Times New Roman" w:hAnsi="Times New Roman" w:cs="Times New Roman"/>
          <w:color w:val="auto"/>
          <w:sz w:val="24"/>
          <w:szCs w:val="24"/>
          <w:lang w:val="en-GB"/>
        </w:rPr>
        <w:t xml:space="preserve">the EU </w:t>
      </w:r>
      <w:r w:rsidR="004E0193" w:rsidRPr="00A03898">
        <w:rPr>
          <w:rFonts w:ascii="Times New Roman" w:hAnsi="Times New Roman" w:cs="Times New Roman"/>
          <w:color w:val="auto"/>
          <w:sz w:val="24"/>
          <w:szCs w:val="24"/>
          <w:lang w:val="en-GB"/>
        </w:rPr>
        <w:t xml:space="preserve">and across the world. </w:t>
      </w:r>
    </w:p>
    <w:p w14:paraId="36C30FAC" w14:textId="434DECF9" w:rsidR="004E0193" w:rsidRPr="00A03898" w:rsidRDefault="004E0193" w:rsidP="004E0193">
      <w:pPr>
        <w:pStyle w:val="Body"/>
        <w:spacing w:after="0" w:line="360" w:lineRule="auto"/>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ab/>
        <w:t xml:space="preserve">Our paper extends the existing body of knowledge by offering a novel perspective on </w:t>
      </w:r>
      <w:r w:rsidR="00AB321D" w:rsidRPr="00A03898">
        <w:rPr>
          <w:rFonts w:ascii="Times New Roman" w:hAnsi="Times New Roman" w:cs="Times New Roman"/>
          <w:color w:val="auto"/>
          <w:sz w:val="24"/>
          <w:szCs w:val="24"/>
          <w:lang w:val="en-GB"/>
        </w:rPr>
        <w:t>t</w:t>
      </w:r>
      <w:r w:rsidRPr="00A03898">
        <w:rPr>
          <w:rFonts w:ascii="Times New Roman" w:hAnsi="Times New Roman" w:cs="Times New Roman"/>
          <w:color w:val="auto"/>
          <w:sz w:val="24"/>
          <w:szCs w:val="24"/>
          <w:lang w:val="en-GB"/>
        </w:rPr>
        <w:t xml:space="preserve">he gains from </w:t>
      </w:r>
      <w:r w:rsidR="001A5E25"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market integration, the one focused on the entrepreneurial outcomes. In this way, it bri</w:t>
      </w:r>
      <w:r w:rsidR="00D32912" w:rsidRPr="00A03898">
        <w:rPr>
          <w:rFonts w:ascii="Times New Roman" w:hAnsi="Times New Roman" w:cs="Times New Roman"/>
          <w:color w:val="auto"/>
          <w:sz w:val="24"/>
          <w:szCs w:val="24"/>
          <w:lang w:val="en-GB"/>
        </w:rPr>
        <w:t>dges the gap</w:t>
      </w:r>
      <w:r w:rsidRPr="00A03898">
        <w:rPr>
          <w:rFonts w:ascii="Times New Roman" w:hAnsi="Times New Roman" w:cs="Times New Roman"/>
          <w:color w:val="auto"/>
          <w:sz w:val="24"/>
          <w:szCs w:val="24"/>
          <w:lang w:val="en-GB"/>
        </w:rPr>
        <w:t xml:space="preserve"> </w:t>
      </w:r>
      <w:r w:rsidR="00D32912" w:rsidRPr="00A03898">
        <w:rPr>
          <w:rFonts w:ascii="Times New Roman" w:hAnsi="Times New Roman" w:cs="Times New Roman"/>
          <w:color w:val="auto"/>
          <w:sz w:val="24"/>
          <w:szCs w:val="24"/>
          <w:lang w:val="en-GB"/>
        </w:rPr>
        <w:t>between</w:t>
      </w:r>
      <w:r w:rsidRPr="00A03898">
        <w:rPr>
          <w:rFonts w:ascii="Times New Roman" w:hAnsi="Times New Roman" w:cs="Times New Roman"/>
          <w:color w:val="auto"/>
          <w:sz w:val="24"/>
          <w:szCs w:val="24"/>
          <w:lang w:val="en-GB"/>
        </w:rPr>
        <w:t xml:space="preserve"> the international trade and the entrepreneurship literature. Using </w:t>
      </w:r>
      <w:r w:rsidRPr="00A03898">
        <w:rPr>
          <w:rFonts w:ascii="Times New Roman" w:hAnsi="Times New Roman" w:cs="Times New Roman"/>
          <w:color w:val="auto"/>
          <w:sz w:val="24"/>
          <w:szCs w:val="24"/>
          <w:lang w:val="en-GB"/>
        </w:rPr>
        <w:lastRenderedPageBreak/>
        <w:t xml:space="preserve">the panel of manufacturing industries from eleven CEE countries (Bulgaria, Croatia, Czech Republic, Estonia, Hungary, Latvia, Lithuania, Poland, Romania, Slovakia, and Slovenia), we investigate whether the intra-EU trade flows (exports and imports) and the integration of CEE industries in the forward and backward </w:t>
      </w:r>
      <w:r w:rsidR="00E40A20" w:rsidRPr="00A03898">
        <w:rPr>
          <w:rFonts w:ascii="Times New Roman" w:hAnsi="Times New Roman" w:cs="Times New Roman"/>
          <w:color w:val="auto"/>
          <w:sz w:val="24"/>
          <w:szCs w:val="24"/>
          <w:lang w:val="en-GB"/>
        </w:rPr>
        <w:t xml:space="preserve">EU </w:t>
      </w:r>
      <w:r w:rsidRPr="00A03898">
        <w:rPr>
          <w:rFonts w:ascii="Times New Roman" w:hAnsi="Times New Roman" w:cs="Times New Roman"/>
          <w:color w:val="auto"/>
          <w:sz w:val="24"/>
          <w:szCs w:val="24"/>
          <w:lang w:val="en-GB"/>
        </w:rPr>
        <w:t xml:space="preserve">value chains </w:t>
      </w:r>
      <w:r w:rsidRPr="00A03898">
        <w:rPr>
          <w:rFonts w:ascii="Times New Roman" w:hAnsi="Times New Roman" w:cs="Times New Roman"/>
          <w:iCs/>
          <w:color w:val="auto"/>
          <w:sz w:val="24"/>
          <w:szCs w:val="24"/>
          <w:lang w:val="en-GB"/>
        </w:rPr>
        <w:t>(GVC participation)</w:t>
      </w:r>
      <w:r w:rsidRPr="00A03898">
        <w:rPr>
          <w:rFonts w:ascii="Times New Roman" w:hAnsi="Times New Roman" w:cs="Times New Roman"/>
          <w:color w:val="auto"/>
          <w:sz w:val="24"/>
          <w:szCs w:val="24"/>
          <w:lang w:val="en-GB"/>
        </w:rPr>
        <w:t xml:space="preserve"> increase the share of entrants and high-growth firms in the total population of firms in </w:t>
      </w:r>
      <w:r w:rsidR="001A5E25"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 xml:space="preserve">analysed countries. The analysis takes into account the technological intensity of individual industries and the timing of entry to </w:t>
      </w:r>
      <w:r w:rsidR="00820BCB"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 xml:space="preserve">EU, </w:t>
      </w:r>
      <w:r w:rsidR="00652F02" w:rsidRPr="00A03898">
        <w:rPr>
          <w:rFonts w:ascii="Times New Roman" w:hAnsi="Times New Roman" w:cs="Times New Roman"/>
          <w:color w:val="auto"/>
          <w:sz w:val="24"/>
          <w:szCs w:val="24"/>
          <w:lang w:val="en-GB"/>
        </w:rPr>
        <w:t>which are two</w:t>
      </w:r>
      <w:r w:rsidRPr="00A03898">
        <w:rPr>
          <w:rFonts w:ascii="Times New Roman" w:hAnsi="Times New Roman" w:cs="Times New Roman"/>
          <w:color w:val="auto"/>
          <w:sz w:val="24"/>
          <w:szCs w:val="24"/>
          <w:lang w:val="en-GB"/>
        </w:rPr>
        <w:t xml:space="preserve"> issues not previously addressed within </w:t>
      </w:r>
      <w:r w:rsidR="007458E3"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 xml:space="preserve">nexus of </w:t>
      </w:r>
      <w:r w:rsidR="00760601" w:rsidRPr="00A03898">
        <w:rPr>
          <w:rFonts w:ascii="Times New Roman" w:hAnsi="Times New Roman" w:cs="Times New Roman"/>
          <w:color w:val="auto"/>
          <w:sz w:val="24"/>
          <w:szCs w:val="24"/>
          <w:lang w:val="en-GB"/>
        </w:rPr>
        <w:t xml:space="preserve">literature covering both the </w:t>
      </w:r>
      <w:r w:rsidRPr="00A03898">
        <w:rPr>
          <w:rFonts w:ascii="Times New Roman" w:hAnsi="Times New Roman" w:cs="Times New Roman"/>
          <w:color w:val="auto"/>
          <w:sz w:val="24"/>
          <w:szCs w:val="24"/>
          <w:lang w:val="en-GB"/>
        </w:rPr>
        <w:t xml:space="preserve">international trade and </w:t>
      </w:r>
      <w:r w:rsidR="00760601"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 xml:space="preserve">entrepreneurship. </w:t>
      </w:r>
    </w:p>
    <w:p w14:paraId="743CFB91" w14:textId="263F554D" w:rsidR="004E0193" w:rsidRPr="00A03898" w:rsidRDefault="004E0193" w:rsidP="00E40A20">
      <w:pPr>
        <w:pStyle w:val="Body"/>
        <w:spacing w:after="0" w:line="360" w:lineRule="auto"/>
        <w:ind w:firstLine="708"/>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 xml:space="preserve">Overall, our findings show that being inside economic integrations yields entrepreneurial gains </w:t>
      </w:r>
      <w:r w:rsidR="00820BCB" w:rsidRPr="00A03898">
        <w:rPr>
          <w:rFonts w:ascii="Times New Roman" w:hAnsi="Times New Roman" w:cs="Times New Roman"/>
          <w:color w:val="auto"/>
          <w:sz w:val="24"/>
          <w:szCs w:val="24"/>
          <w:lang w:val="en-GB"/>
        </w:rPr>
        <w:t xml:space="preserve">across low and high technology intensive sectors but these gains seem stronger among early entrants to the EU. </w:t>
      </w:r>
      <w:r w:rsidR="00E40A20" w:rsidRPr="00A03898">
        <w:rPr>
          <w:rFonts w:ascii="Times New Roman" w:hAnsi="Times New Roman" w:cs="Times New Roman"/>
          <w:color w:val="auto"/>
          <w:sz w:val="24"/>
          <w:szCs w:val="24"/>
          <w:lang w:val="en-GB"/>
        </w:rPr>
        <w:t xml:space="preserve">Exports to and forward integration in GVC networks of advanced EU economies exhibit strongest effects on increase in the share of start-ups and high growth firms. </w:t>
      </w:r>
      <w:r w:rsidR="00A3234E" w:rsidRPr="00A03898">
        <w:rPr>
          <w:rFonts w:ascii="Times New Roman" w:hAnsi="Times New Roman" w:cs="Times New Roman"/>
          <w:color w:val="auto"/>
          <w:sz w:val="24"/>
          <w:szCs w:val="24"/>
          <w:lang w:val="en-GB"/>
        </w:rPr>
        <w:t>Thus, i</w:t>
      </w:r>
      <w:r w:rsidR="00E40A20" w:rsidRPr="00A03898">
        <w:rPr>
          <w:rFonts w:ascii="Times New Roman" w:hAnsi="Times New Roman" w:cs="Times New Roman"/>
          <w:color w:val="auto"/>
          <w:sz w:val="24"/>
          <w:szCs w:val="24"/>
          <w:lang w:val="en-GB"/>
        </w:rPr>
        <w:t>t can be concluded that the gains from integrations mainly take place through easier access to more sophisticated and advanced markets. T</w:t>
      </w:r>
      <w:r w:rsidRPr="00A03898">
        <w:rPr>
          <w:rFonts w:ascii="Times New Roman" w:hAnsi="Times New Roman" w:cs="Times New Roman"/>
          <w:color w:val="auto"/>
          <w:sz w:val="24"/>
          <w:szCs w:val="24"/>
          <w:lang w:val="en-GB"/>
        </w:rPr>
        <w:t>he results</w:t>
      </w:r>
      <w:r w:rsidR="00E40A20" w:rsidRPr="00A03898">
        <w:rPr>
          <w:rFonts w:ascii="Times New Roman" w:hAnsi="Times New Roman" w:cs="Times New Roman"/>
          <w:color w:val="auto"/>
          <w:sz w:val="24"/>
          <w:szCs w:val="24"/>
          <w:lang w:val="en-GB"/>
        </w:rPr>
        <w:t>, th</w:t>
      </w:r>
      <w:r w:rsidR="00A3234E" w:rsidRPr="00A03898">
        <w:rPr>
          <w:rFonts w:ascii="Times New Roman" w:hAnsi="Times New Roman" w:cs="Times New Roman"/>
          <w:color w:val="auto"/>
          <w:sz w:val="24"/>
          <w:szCs w:val="24"/>
          <w:lang w:val="en-GB"/>
        </w:rPr>
        <w:t>erefore</w:t>
      </w:r>
      <w:r w:rsidR="00E40A20" w:rsidRPr="00A03898">
        <w:rPr>
          <w:rFonts w:ascii="Times New Roman" w:hAnsi="Times New Roman" w:cs="Times New Roman"/>
          <w:color w:val="auto"/>
          <w:sz w:val="24"/>
          <w:szCs w:val="24"/>
          <w:lang w:val="en-GB"/>
        </w:rPr>
        <w:t>,</w:t>
      </w:r>
      <w:r w:rsidRPr="00A03898">
        <w:rPr>
          <w:rFonts w:ascii="Times New Roman" w:hAnsi="Times New Roman" w:cs="Times New Roman"/>
          <w:color w:val="auto"/>
          <w:sz w:val="24"/>
          <w:szCs w:val="24"/>
          <w:lang w:val="en-GB"/>
        </w:rPr>
        <w:t xml:space="preserve"> question the existing industrial strategies of these countries. CEE are characterised by deep backward integration in global value chains (i.e. foreign value added embodied in domestic products) while our study finds strong effects of the forward GVC integration (domestic value added embodied in foreign products) on </w:t>
      </w:r>
      <w:r w:rsidR="00E40A20" w:rsidRPr="00A03898">
        <w:rPr>
          <w:rFonts w:ascii="Times New Roman" w:hAnsi="Times New Roman" w:cs="Times New Roman"/>
          <w:color w:val="auto"/>
          <w:sz w:val="24"/>
          <w:szCs w:val="24"/>
          <w:lang w:val="en-GB"/>
        </w:rPr>
        <w:t>both entrepreneurial outcomes</w:t>
      </w:r>
      <w:r w:rsidRPr="00A03898">
        <w:rPr>
          <w:rFonts w:ascii="Times New Roman" w:hAnsi="Times New Roman" w:cs="Times New Roman"/>
          <w:color w:val="auto"/>
          <w:sz w:val="24"/>
          <w:szCs w:val="24"/>
          <w:lang w:val="en-GB"/>
        </w:rPr>
        <w:t>.</w:t>
      </w:r>
    </w:p>
    <w:p w14:paraId="2DC8E0C7" w14:textId="6367D8F5" w:rsidR="004E0193" w:rsidRPr="00A03898" w:rsidRDefault="004E0193" w:rsidP="004E0193">
      <w:pPr>
        <w:pStyle w:val="Body"/>
        <w:spacing w:after="0" w:line="360" w:lineRule="auto"/>
        <w:ind w:firstLine="708"/>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 xml:space="preserve">Our findings may help those policymakers interested in the impact of economic integrations on entrepreneurial outcomes to enhance growth opportunities and create new jobs, but also to raise public awareness in EU member states about the benefits of European integrations. Over past decades </w:t>
      </w:r>
      <w:r w:rsidR="001B14C1"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EU started losing its pace with global competitors in generation of firms capable of setting global compe</w:t>
      </w:r>
      <w:r w:rsidR="00D87A50" w:rsidRPr="00A03898">
        <w:rPr>
          <w:rFonts w:ascii="Times New Roman" w:hAnsi="Times New Roman" w:cs="Times New Roman"/>
          <w:color w:val="auto"/>
          <w:sz w:val="24"/>
          <w:szCs w:val="24"/>
          <w:lang w:val="en-GB"/>
        </w:rPr>
        <w:t>titive frontiers (</w:t>
      </w:r>
      <w:proofErr w:type="spellStart"/>
      <w:r w:rsidR="00D87A50" w:rsidRPr="00A03898">
        <w:rPr>
          <w:rFonts w:ascii="Times New Roman" w:hAnsi="Times New Roman" w:cs="Times New Roman"/>
          <w:color w:val="auto"/>
          <w:sz w:val="24"/>
          <w:szCs w:val="24"/>
          <w:lang w:val="en-GB"/>
        </w:rPr>
        <w:t>Vertesy</w:t>
      </w:r>
      <w:proofErr w:type="spellEnd"/>
      <w:r w:rsidR="00D87A50" w:rsidRPr="00A03898">
        <w:rPr>
          <w:rFonts w:ascii="Times New Roman" w:hAnsi="Times New Roman" w:cs="Times New Roman"/>
          <w:color w:val="auto"/>
          <w:sz w:val="24"/>
          <w:szCs w:val="24"/>
          <w:lang w:val="en-GB"/>
        </w:rPr>
        <w:t xml:space="preserve"> et al.</w:t>
      </w:r>
      <w:r w:rsidRPr="00A03898">
        <w:rPr>
          <w:rFonts w:ascii="Times New Roman" w:hAnsi="Times New Roman" w:cs="Times New Roman"/>
          <w:color w:val="auto"/>
          <w:sz w:val="24"/>
          <w:szCs w:val="24"/>
          <w:lang w:val="en-GB"/>
        </w:rPr>
        <w:t xml:space="preserve"> 2017). Its policy makers (but also those of other parts of the world) are in need of evidence</w:t>
      </w:r>
      <w:r w:rsidR="00D32912" w:rsidRPr="00A03898">
        <w:rPr>
          <w:rFonts w:ascii="Times New Roman" w:hAnsi="Times New Roman" w:cs="Times New Roman"/>
          <w:color w:val="auto"/>
          <w:sz w:val="24"/>
          <w:szCs w:val="24"/>
          <w:lang w:val="en-GB"/>
        </w:rPr>
        <w:t>-</w:t>
      </w:r>
      <w:r w:rsidRPr="00A03898">
        <w:rPr>
          <w:rFonts w:ascii="Times New Roman" w:hAnsi="Times New Roman" w:cs="Times New Roman"/>
          <w:color w:val="auto"/>
          <w:sz w:val="24"/>
          <w:szCs w:val="24"/>
          <w:lang w:val="en-GB"/>
        </w:rPr>
        <w:t>based inputs that can help formulation of policies for fostering creation of start</w:t>
      </w:r>
      <w:r w:rsidR="00820BCB" w:rsidRPr="00A03898">
        <w:rPr>
          <w:rFonts w:ascii="Times New Roman" w:hAnsi="Times New Roman" w:cs="Times New Roman"/>
          <w:color w:val="auto"/>
          <w:sz w:val="24"/>
          <w:szCs w:val="24"/>
          <w:lang w:val="en-GB"/>
        </w:rPr>
        <w:t>-</w:t>
      </w:r>
      <w:r w:rsidRPr="00A03898">
        <w:rPr>
          <w:rFonts w:ascii="Times New Roman" w:hAnsi="Times New Roman" w:cs="Times New Roman"/>
          <w:color w:val="auto"/>
          <w:sz w:val="24"/>
          <w:szCs w:val="24"/>
          <w:lang w:val="en-GB"/>
        </w:rPr>
        <w:t xml:space="preserve">ups and high growth firms. In the light of the future European enlargement, the output of our study might raise the awareness of policymakers and public opinion in candidate countries about the prospective benefits and caveats of the EU accession. </w:t>
      </w:r>
    </w:p>
    <w:p w14:paraId="054EB01E" w14:textId="66B824D1" w:rsidR="00663088" w:rsidRPr="00A03898" w:rsidRDefault="004E0193" w:rsidP="00D20FD3">
      <w:pPr>
        <w:pStyle w:val="Body"/>
        <w:spacing w:after="0" w:line="360" w:lineRule="auto"/>
        <w:ind w:firstLine="708"/>
        <w:jc w:val="both"/>
        <w:rPr>
          <w:rFonts w:ascii="Times New Roman" w:hAnsi="Times New Roman" w:cs="Times New Roman"/>
          <w:color w:val="auto"/>
          <w:sz w:val="28"/>
          <w:szCs w:val="28"/>
          <w:lang w:val="en-GB"/>
        </w:rPr>
      </w:pPr>
      <w:r w:rsidRPr="00A03898">
        <w:rPr>
          <w:rFonts w:ascii="Times New Roman" w:hAnsi="Times New Roman" w:cs="Times New Roman"/>
          <w:color w:val="auto"/>
          <w:sz w:val="24"/>
          <w:szCs w:val="24"/>
          <w:lang w:val="en-GB"/>
        </w:rPr>
        <w:t xml:space="preserve">The rest of </w:t>
      </w:r>
      <w:r w:rsidR="00FB230C"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 xml:space="preserve">paper is organized as follows. Section two provides a conceptual framework of research. Section three contains discussion about data and methodology, which is followed by </w:t>
      </w:r>
      <w:r w:rsidR="003A2C7F"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 xml:space="preserve">discussion of findings in section four. Section five concludes and provides implications for policymakers, the limitations of this research and </w:t>
      </w:r>
      <w:r w:rsidR="00FB230C" w:rsidRPr="00A03898">
        <w:rPr>
          <w:rFonts w:ascii="Times New Roman" w:hAnsi="Times New Roman" w:cs="Times New Roman"/>
          <w:color w:val="auto"/>
          <w:sz w:val="24"/>
          <w:szCs w:val="24"/>
          <w:lang w:val="en-GB"/>
        </w:rPr>
        <w:t>guidelines</w:t>
      </w:r>
      <w:r w:rsidRPr="00A03898">
        <w:rPr>
          <w:rFonts w:ascii="Times New Roman" w:hAnsi="Times New Roman" w:cs="Times New Roman"/>
          <w:color w:val="auto"/>
          <w:sz w:val="24"/>
          <w:szCs w:val="24"/>
          <w:lang w:val="en-GB"/>
        </w:rPr>
        <w:t xml:space="preserve"> for future research.</w:t>
      </w:r>
    </w:p>
    <w:p w14:paraId="0F1BCC2E" w14:textId="5246B858" w:rsidR="000C4CFE" w:rsidRPr="00A03898" w:rsidRDefault="007F31F6" w:rsidP="00A462F9">
      <w:pPr>
        <w:pStyle w:val="Body"/>
        <w:numPr>
          <w:ilvl w:val="0"/>
          <w:numId w:val="5"/>
        </w:numPr>
        <w:spacing w:before="120" w:after="120" w:line="360" w:lineRule="auto"/>
        <w:ind w:left="357" w:hanging="357"/>
        <w:rPr>
          <w:rFonts w:ascii="Times New Roman" w:hAnsi="Times New Roman" w:cs="Times New Roman"/>
          <w:b/>
          <w:bCs/>
          <w:color w:val="auto"/>
          <w:sz w:val="24"/>
          <w:szCs w:val="24"/>
          <w:lang w:val="en-GB"/>
        </w:rPr>
      </w:pPr>
      <w:r w:rsidRPr="00A03898">
        <w:rPr>
          <w:rFonts w:ascii="Times New Roman" w:hAnsi="Times New Roman" w:cs="Times New Roman"/>
          <w:b/>
          <w:bCs/>
          <w:color w:val="auto"/>
          <w:sz w:val="24"/>
          <w:szCs w:val="24"/>
          <w:lang w:val="en-GB"/>
        </w:rPr>
        <w:t>Conceptual framework</w:t>
      </w:r>
    </w:p>
    <w:p w14:paraId="0D46B2D1" w14:textId="77617A09" w:rsidR="00A462F9" w:rsidRPr="00A03898" w:rsidRDefault="00684964" w:rsidP="00684964">
      <w:pPr>
        <w:pStyle w:val="Body"/>
        <w:spacing w:line="360" w:lineRule="auto"/>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lastRenderedPageBreak/>
        <w:t xml:space="preserve">Recent decades have witnessed a surge of academic interest in start-ups and rapidly growing enterprises. Theoretical propositions and empirical evidence of the beneficial effects of entrepreneurship on job creation </w:t>
      </w:r>
      <w:r w:rsidR="00E11894" w:rsidRPr="00A03898">
        <w:rPr>
          <w:rFonts w:ascii="Times New Roman" w:hAnsi="Times New Roman" w:cs="Times New Roman"/>
          <w:color w:val="auto"/>
          <w:sz w:val="24"/>
          <w:szCs w:val="24"/>
          <w:lang w:val="en-GB"/>
        </w:rPr>
        <w:t>and economic growth (</w:t>
      </w:r>
      <w:proofErr w:type="spellStart"/>
      <w:r w:rsidR="00E11894" w:rsidRPr="00A03898">
        <w:rPr>
          <w:rFonts w:ascii="Times New Roman" w:hAnsi="Times New Roman" w:cs="Times New Roman"/>
          <w:color w:val="auto"/>
          <w:sz w:val="24"/>
          <w:szCs w:val="24"/>
          <w:lang w:val="en-GB"/>
        </w:rPr>
        <w:t>Acs</w:t>
      </w:r>
      <w:proofErr w:type="spellEnd"/>
      <w:r w:rsidR="00E11894" w:rsidRPr="00A03898">
        <w:rPr>
          <w:rFonts w:ascii="Times New Roman" w:hAnsi="Times New Roman" w:cs="Times New Roman"/>
          <w:color w:val="auto"/>
          <w:sz w:val="24"/>
          <w:szCs w:val="24"/>
          <w:lang w:val="en-GB"/>
        </w:rPr>
        <w:t xml:space="preserve"> et al. 2009; </w:t>
      </w:r>
      <w:proofErr w:type="spellStart"/>
      <w:r w:rsidR="00E11894" w:rsidRPr="00A03898">
        <w:rPr>
          <w:rFonts w:ascii="Times New Roman" w:hAnsi="Times New Roman" w:cs="Times New Roman"/>
          <w:color w:val="auto"/>
          <w:sz w:val="24"/>
          <w:szCs w:val="24"/>
          <w:lang w:val="en-GB"/>
        </w:rPr>
        <w:t>Audretsch</w:t>
      </w:r>
      <w:proofErr w:type="spellEnd"/>
      <w:r w:rsidRPr="00A03898">
        <w:rPr>
          <w:rFonts w:ascii="Times New Roman" w:hAnsi="Times New Roman" w:cs="Times New Roman"/>
          <w:color w:val="auto"/>
          <w:sz w:val="24"/>
          <w:szCs w:val="24"/>
          <w:lang w:val="en-GB"/>
        </w:rPr>
        <w:t xml:space="preserve"> 2012) have fallen on fertile ground among policy makers in need for solutions for pressing societal challenges such as unemployment or weak economic growth. In a parallel development, start-ups have been recognised as agents of restructuring that take risks, improve market efficiency, introduce innovations and increase overall consumer welfare through a greater var</w:t>
      </w:r>
      <w:r w:rsidR="00E11894" w:rsidRPr="00A03898">
        <w:rPr>
          <w:rFonts w:ascii="Times New Roman" w:hAnsi="Times New Roman" w:cs="Times New Roman"/>
          <w:color w:val="auto"/>
          <w:sz w:val="24"/>
          <w:szCs w:val="24"/>
          <w:lang w:val="en-GB"/>
        </w:rPr>
        <w:t>iety of goods (</w:t>
      </w:r>
      <w:proofErr w:type="spellStart"/>
      <w:r w:rsidR="00E11894" w:rsidRPr="00A03898">
        <w:rPr>
          <w:rFonts w:ascii="Times New Roman" w:hAnsi="Times New Roman" w:cs="Times New Roman"/>
          <w:color w:val="auto"/>
          <w:sz w:val="24"/>
          <w:szCs w:val="24"/>
          <w:lang w:val="en-GB"/>
        </w:rPr>
        <w:t>Audretsch</w:t>
      </w:r>
      <w:proofErr w:type="spellEnd"/>
      <w:r w:rsidR="00E11894" w:rsidRPr="00A03898">
        <w:rPr>
          <w:rFonts w:ascii="Times New Roman" w:hAnsi="Times New Roman" w:cs="Times New Roman"/>
          <w:color w:val="auto"/>
          <w:sz w:val="24"/>
          <w:szCs w:val="24"/>
          <w:lang w:val="en-GB"/>
        </w:rPr>
        <w:t xml:space="preserve"> et al. 1999; Fritsch</w:t>
      </w:r>
      <w:r w:rsidRPr="00A03898">
        <w:rPr>
          <w:rFonts w:ascii="Times New Roman" w:hAnsi="Times New Roman" w:cs="Times New Roman"/>
          <w:color w:val="auto"/>
          <w:sz w:val="24"/>
          <w:szCs w:val="24"/>
          <w:lang w:val="en-GB"/>
        </w:rPr>
        <w:t xml:space="preserve"> 2008; </w:t>
      </w:r>
      <w:r w:rsidR="00E11894" w:rsidRPr="00A03898">
        <w:rPr>
          <w:rFonts w:ascii="Times New Roman" w:hAnsi="Times New Roman" w:cs="Times New Roman"/>
          <w:color w:val="auto"/>
          <w:sz w:val="24"/>
          <w:szCs w:val="24"/>
          <w:lang w:val="en-GB"/>
        </w:rPr>
        <w:t>Doran et al.</w:t>
      </w:r>
      <w:r w:rsidRPr="00A03898">
        <w:rPr>
          <w:rFonts w:ascii="Times New Roman" w:hAnsi="Times New Roman" w:cs="Times New Roman"/>
          <w:color w:val="auto"/>
          <w:sz w:val="24"/>
          <w:szCs w:val="24"/>
          <w:lang w:val="en-GB"/>
        </w:rPr>
        <w:t xml:space="preserve"> 2016).</w:t>
      </w:r>
    </w:p>
    <w:p w14:paraId="761C2B88" w14:textId="41694875" w:rsidR="00951B48" w:rsidRPr="00A03898" w:rsidRDefault="00684964" w:rsidP="00951B48">
      <w:pPr>
        <w:pStyle w:val="Body"/>
        <w:spacing w:line="360" w:lineRule="auto"/>
        <w:ind w:firstLine="708"/>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 xml:space="preserve">The empirical literature investigated the relevance of individual factors for the creation of start-ups and HGFs from two perspectives. The first perspective is concerned with individual and organizational characteristics. From the labour economics </w:t>
      </w:r>
      <w:r w:rsidR="00703852" w:rsidRPr="00A03898">
        <w:rPr>
          <w:rFonts w:ascii="Times New Roman" w:hAnsi="Times New Roman" w:cs="Times New Roman"/>
          <w:color w:val="auto"/>
          <w:sz w:val="24"/>
          <w:szCs w:val="24"/>
          <w:lang w:val="en-GB"/>
        </w:rPr>
        <w:t>point of view</w:t>
      </w:r>
      <w:r w:rsidRPr="00A03898">
        <w:rPr>
          <w:rFonts w:ascii="Times New Roman" w:hAnsi="Times New Roman" w:cs="Times New Roman"/>
          <w:color w:val="auto"/>
          <w:sz w:val="24"/>
          <w:szCs w:val="24"/>
          <w:lang w:val="en-GB"/>
        </w:rPr>
        <w:t xml:space="preserve">, </w:t>
      </w:r>
      <w:r w:rsidR="00267A5E"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formation of new enterprises is seen as an occupational choice between employment and self</w:t>
      </w:r>
      <w:r w:rsidR="00D32912" w:rsidRPr="00A03898">
        <w:rPr>
          <w:rFonts w:ascii="Times New Roman" w:hAnsi="Times New Roman" w:cs="Times New Roman"/>
          <w:color w:val="auto"/>
          <w:sz w:val="24"/>
          <w:szCs w:val="24"/>
          <w:lang w:val="en-GB"/>
        </w:rPr>
        <w:t>-</w:t>
      </w:r>
      <w:r w:rsidRPr="00A03898">
        <w:rPr>
          <w:rFonts w:ascii="Times New Roman" w:hAnsi="Times New Roman" w:cs="Times New Roman"/>
          <w:color w:val="auto"/>
          <w:sz w:val="24"/>
          <w:szCs w:val="24"/>
          <w:lang w:val="en-GB"/>
        </w:rPr>
        <w:t xml:space="preserve">employment </w:t>
      </w:r>
      <w:r w:rsidR="003141F3" w:rsidRPr="00A03898">
        <w:rPr>
          <w:rFonts w:ascii="Times New Roman" w:hAnsi="Times New Roman" w:cs="Times New Roman"/>
          <w:color w:val="auto"/>
          <w:sz w:val="24"/>
          <w:szCs w:val="24"/>
          <w:lang w:val="en-GB"/>
        </w:rPr>
        <w:t>(</w:t>
      </w:r>
      <w:proofErr w:type="spellStart"/>
      <w:r w:rsidR="003141F3" w:rsidRPr="00A03898">
        <w:rPr>
          <w:rFonts w:ascii="Times New Roman" w:hAnsi="Times New Roman" w:cs="Times New Roman"/>
          <w:color w:val="auto"/>
          <w:sz w:val="24"/>
          <w:szCs w:val="24"/>
          <w:lang w:val="en-GB"/>
        </w:rPr>
        <w:t>Santarelli</w:t>
      </w:r>
      <w:proofErr w:type="spellEnd"/>
      <w:r w:rsidR="003141F3" w:rsidRPr="00A03898">
        <w:rPr>
          <w:rFonts w:ascii="Times New Roman" w:hAnsi="Times New Roman" w:cs="Times New Roman"/>
          <w:color w:val="auto"/>
          <w:sz w:val="24"/>
          <w:szCs w:val="24"/>
          <w:lang w:val="en-GB"/>
        </w:rPr>
        <w:t xml:space="preserve"> and </w:t>
      </w:r>
      <w:proofErr w:type="spellStart"/>
      <w:r w:rsidR="003141F3" w:rsidRPr="00A03898">
        <w:rPr>
          <w:rFonts w:ascii="Times New Roman" w:hAnsi="Times New Roman" w:cs="Times New Roman"/>
          <w:color w:val="auto"/>
          <w:sz w:val="24"/>
          <w:szCs w:val="24"/>
          <w:lang w:val="en-GB"/>
        </w:rPr>
        <w:t>Vivarelli</w:t>
      </w:r>
      <w:proofErr w:type="spellEnd"/>
      <w:r w:rsidR="003141F3" w:rsidRPr="00A03898">
        <w:rPr>
          <w:rFonts w:ascii="Times New Roman" w:hAnsi="Times New Roman" w:cs="Times New Roman"/>
          <w:color w:val="auto"/>
          <w:sz w:val="24"/>
          <w:szCs w:val="24"/>
          <w:lang w:val="en-GB"/>
        </w:rPr>
        <w:t xml:space="preserve"> 2007</w:t>
      </w:r>
      <w:r w:rsidRPr="00A03898">
        <w:rPr>
          <w:rFonts w:ascii="Times New Roman" w:hAnsi="Times New Roman" w:cs="Times New Roman"/>
          <w:color w:val="auto"/>
          <w:sz w:val="24"/>
          <w:szCs w:val="24"/>
          <w:lang w:val="en-GB"/>
        </w:rPr>
        <w:t>)</w:t>
      </w:r>
      <w:r w:rsidR="00EF3B92" w:rsidRPr="00A03898">
        <w:rPr>
          <w:rFonts w:ascii="Times New Roman" w:hAnsi="Times New Roman" w:cs="Times New Roman"/>
          <w:color w:val="auto"/>
          <w:sz w:val="24"/>
          <w:szCs w:val="24"/>
          <w:lang w:val="en-GB"/>
        </w:rPr>
        <w:t>,</w:t>
      </w:r>
      <w:r w:rsidRPr="00A03898">
        <w:rPr>
          <w:rFonts w:ascii="Times New Roman" w:hAnsi="Times New Roman" w:cs="Times New Roman"/>
          <w:color w:val="auto"/>
          <w:sz w:val="24"/>
          <w:szCs w:val="24"/>
          <w:lang w:val="en-GB"/>
        </w:rPr>
        <w:t xml:space="preserve"> while the knowledge spillover theory of entrepreneurship relates </w:t>
      </w:r>
      <w:r w:rsidR="00BA2CE4"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inclination of individuals towards self-employment with the exploitation of knowledge deemed as irrelevant by incumb</w:t>
      </w:r>
      <w:r w:rsidR="003141F3" w:rsidRPr="00A03898">
        <w:rPr>
          <w:rFonts w:ascii="Times New Roman" w:hAnsi="Times New Roman" w:cs="Times New Roman"/>
          <w:color w:val="auto"/>
          <w:sz w:val="24"/>
          <w:szCs w:val="24"/>
          <w:lang w:val="en-GB"/>
        </w:rPr>
        <w:t>ent organizations (</w:t>
      </w:r>
      <w:proofErr w:type="spellStart"/>
      <w:r w:rsidR="003141F3" w:rsidRPr="00A03898">
        <w:rPr>
          <w:rFonts w:ascii="Times New Roman" w:hAnsi="Times New Roman" w:cs="Times New Roman"/>
          <w:color w:val="auto"/>
          <w:sz w:val="24"/>
          <w:szCs w:val="24"/>
          <w:lang w:val="en-GB"/>
        </w:rPr>
        <w:t>Acs</w:t>
      </w:r>
      <w:proofErr w:type="spellEnd"/>
      <w:r w:rsidR="003141F3" w:rsidRPr="00A03898">
        <w:rPr>
          <w:rFonts w:ascii="Times New Roman" w:hAnsi="Times New Roman" w:cs="Times New Roman"/>
          <w:color w:val="auto"/>
          <w:sz w:val="24"/>
          <w:szCs w:val="24"/>
          <w:lang w:val="en-GB"/>
        </w:rPr>
        <w:t xml:space="preserve"> et al. 2009; </w:t>
      </w:r>
      <w:proofErr w:type="spellStart"/>
      <w:r w:rsidR="003141F3" w:rsidRPr="00A03898">
        <w:rPr>
          <w:rFonts w:ascii="Times New Roman" w:hAnsi="Times New Roman" w:cs="Times New Roman"/>
          <w:color w:val="auto"/>
          <w:sz w:val="24"/>
          <w:szCs w:val="24"/>
          <w:lang w:val="en-GB"/>
        </w:rPr>
        <w:t>Audretsch</w:t>
      </w:r>
      <w:proofErr w:type="spellEnd"/>
      <w:r w:rsidRPr="00A03898">
        <w:rPr>
          <w:rFonts w:ascii="Times New Roman" w:hAnsi="Times New Roman" w:cs="Times New Roman"/>
          <w:color w:val="auto"/>
          <w:sz w:val="24"/>
          <w:szCs w:val="24"/>
          <w:lang w:val="en-GB"/>
        </w:rPr>
        <w:t xml:space="preserve"> 2012). Other contributions have related start-ups and high growth firms</w:t>
      </w:r>
      <w:r w:rsidR="00F35B6E" w:rsidRPr="00A03898">
        <w:rPr>
          <w:rFonts w:ascii="Times New Roman" w:hAnsi="Times New Roman" w:cs="Times New Roman"/>
          <w:color w:val="auto"/>
          <w:sz w:val="24"/>
          <w:szCs w:val="24"/>
          <w:lang w:val="en-GB"/>
        </w:rPr>
        <w:t>’</w:t>
      </w:r>
      <w:r w:rsidRPr="00A03898">
        <w:rPr>
          <w:rFonts w:ascii="Times New Roman" w:hAnsi="Times New Roman" w:cs="Times New Roman"/>
          <w:color w:val="auto"/>
          <w:sz w:val="24"/>
          <w:szCs w:val="24"/>
          <w:lang w:val="en-GB"/>
        </w:rPr>
        <w:t xml:space="preserve"> occurrence with</w:t>
      </w:r>
      <w:r w:rsidR="003141F3" w:rsidRPr="00A03898">
        <w:rPr>
          <w:rFonts w:ascii="Times New Roman" w:hAnsi="Times New Roman" w:cs="Times New Roman"/>
          <w:color w:val="auto"/>
          <w:sz w:val="24"/>
          <w:szCs w:val="24"/>
          <w:lang w:val="en-GB"/>
        </w:rPr>
        <w:t xml:space="preserve"> firm size and age (</w:t>
      </w:r>
      <w:proofErr w:type="spellStart"/>
      <w:r w:rsidR="009D4708" w:rsidRPr="00A03898">
        <w:rPr>
          <w:rFonts w:ascii="Times New Roman" w:hAnsi="Times New Roman" w:cs="Times New Roman"/>
          <w:color w:val="auto"/>
          <w:sz w:val="24"/>
          <w:szCs w:val="24"/>
          <w:lang w:val="en-GB"/>
        </w:rPr>
        <w:t>A</w:t>
      </w:r>
      <w:r w:rsidR="003141F3" w:rsidRPr="00A03898">
        <w:rPr>
          <w:rFonts w:ascii="Times New Roman" w:hAnsi="Times New Roman" w:cs="Times New Roman"/>
          <w:color w:val="auto"/>
          <w:sz w:val="24"/>
          <w:szCs w:val="24"/>
          <w:lang w:val="en-GB"/>
        </w:rPr>
        <w:t>rrighetti</w:t>
      </w:r>
      <w:proofErr w:type="spellEnd"/>
      <w:r w:rsidR="003141F3" w:rsidRPr="00A03898">
        <w:rPr>
          <w:rFonts w:ascii="Times New Roman" w:hAnsi="Times New Roman" w:cs="Times New Roman"/>
          <w:color w:val="auto"/>
          <w:sz w:val="24"/>
          <w:szCs w:val="24"/>
          <w:lang w:val="en-GB"/>
        </w:rPr>
        <w:t xml:space="preserve"> and </w:t>
      </w:r>
      <w:proofErr w:type="spellStart"/>
      <w:r w:rsidR="003141F3" w:rsidRPr="00A03898">
        <w:rPr>
          <w:rFonts w:ascii="Times New Roman" w:hAnsi="Times New Roman" w:cs="Times New Roman"/>
          <w:color w:val="auto"/>
          <w:sz w:val="24"/>
          <w:szCs w:val="24"/>
          <w:lang w:val="en-GB"/>
        </w:rPr>
        <w:t>Lasagni</w:t>
      </w:r>
      <w:proofErr w:type="spellEnd"/>
      <w:r w:rsidRPr="00A03898">
        <w:rPr>
          <w:rFonts w:ascii="Times New Roman" w:hAnsi="Times New Roman" w:cs="Times New Roman"/>
          <w:color w:val="auto"/>
          <w:sz w:val="24"/>
          <w:szCs w:val="24"/>
          <w:lang w:val="en-GB"/>
        </w:rPr>
        <w:t xml:space="preserve"> 2013; </w:t>
      </w:r>
      <w:proofErr w:type="spellStart"/>
      <w:r w:rsidRPr="00A03898">
        <w:rPr>
          <w:rFonts w:ascii="Times New Roman" w:hAnsi="Times New Roman" w:cs="Times New Roman"/>
          <w:color w:val="auto"/>
          <w:sz w:val="24"/>
          <w:szCs w:val="24"/>
          <w:lang w:val="en-GB"/>
        </w:rPr>
        <w:t>Moschella</w:t>
      </w:r>
      <w:proofErr w:type="spellEnd"/>
      <w:r w:rsidRPr="00A03898">
        <w:rPr>
          <w:rFonts w:ascii="Times New Roman" w:hAnsi="Times New Roman" w:cs="Times New Roman"/>
          <w:color w:val="auto"/>
          <w:sz w:val="24"/>
          <w:szCs w:val="24"/>
          <w:lang w:val="en-GB"/>
        </w:rPr>
        <w:t xml:space="preserve"> et al</w:t>
      </w:r>
      <w:r w:rsidR="003141F3" w:rsidRPr="00A03898">
        <w:rPr>
          <w:rFonts w:ascii="Times New Roman" w:hAnsi="Times New Roman" w:cs="Times New Roman"/>
          <w:color w:val="auto"/>
          <w:sz w:val="24"/>
          <w:szCs w:val="24"/>
          <w:lang w:val="en-GB"/>
        </w:rPr>
        <w:t>.</w:t>
      </w:r>
      <w:r w:rsidRPr="00A03898">
        <w:rPr>
          <w:rFonts w:ascii="Times New Roman" w:hAnsi="Times New Roman" w:cs="Times New Roman"/>
          <w:color w:val="auto"/>
          <w:sz w:val="24"/>
          <w:szCs w:val="24"/>
          <w:lang w:val="en-GB"/>
        </w:rPr>
        <w:t xml:space="preserve"> 2019), R&amp;D expenditure and innovations (Coad and Rao</w:t>
      </w:r>
      <w:r w:rsidR="00D32912" w:rsidRPr="00A03898">
        <w:rPr>
          <w:rFonts w:ascii="Times New Roman" w:hAnsi="Times New Roman" w:cs="Times New Roman"/>
          <w:color w:val="auto"/>
          <w:sz w:val="24"/>
          <w:szCs w:val="24"/>
          <w:lang w:val="en-GB"/>
        </w:rPr>
        <w:t>-Nicholson</w:t>
      </w:r>
      <w:r w:rsidRPr="00A03898">
        <w:rPr>
          <w:rFonts w:ascii="Times New Roman" w:hAnsi="Times New Roman" w:cs="Times New Roman"/>
          <w:color w:val="auto"/>
          <w:sz w:val="24"/>
          <w:szCs w:val="24"/>
          <w:lang w:val="en-GB"/>
        </w:rPr>
        <w:t xml:space="preserve"> 2008)</w:t>
      </w:r>
      <w:r w:rsidR="00187508" w:rsidRPr="00A03898">
        <w:rPr>
          <w:rFonts w:ascii="Times New Roman" w:hAnsi="Times New Roman" w:cs="Times New Roman"/>
          <w:color w:val="auto"/>
          <w:sz w:val="24"/>
          <w:szCs w:val="24"/>
          <w:lang w:val="en-GB"/>
        </w:rPr>
        <w:t>,</w:t>
      </w:r>
      <w:r w:rsidRPr="00A03898">
        <w:rPr>
          <w:rFonts w:ascii="Times New Roman" w:hAnsi="Times New Roman" w:cs="Times New Roman"/>
          <w:color w:val="auto"/>
          <w:sz w:val="24"/>
          <w:szCs w:val="24"/>
          <w:lang w:val="en-GB"/>
        </w:rPr>
        <w:t xml:space="preserve"> as well as access to resources and individual characterist</w:t>
      </w:r>
      <w:r w:rsidR="003141F3" w:rsidRPr="00A03898">
        <w:rPr>
          <w:rFonts w:ascii="Times New Roman" w:hAnsi="Times New Roman" w:cs="Times New Roman"/>
          <w:color w:val="auto"/>
          <w:sz w:val="24"/>
          <w:szCs w:val="24"/>
          <w:lang w:val="en-GB"/>
        </w:rPr>
        <w:t>ics of entrepreneurs (</w:t>
      </w:r>
      <w:proofErr w:type="spellStart"/>
      <w:r w:rsidR="003141F3" w:rsidRPr="00A03898">
        <w:rPr>
          <w:rFonts w:ascii="Times New Roman" w:hAnsi="Times New Roman" w:cs="Times New Roman"/>
          <w:color w:val="auto"/>
          <w:sz w:val="24"/>
          <w:szCs w:val="24"/>
          <w:lang w:val="en-GB"/>
        </w:rPr>
        <w:t>Audretsch</w:t>
      </w:r>
      <w:proofErr w:type="spellEnd"/>
      <w:r w:rsidRPr="00A03898">
        <w:rPr>
          <w:rFonts w:ascii="Times New Roman" w:hAnsi="Times New Roman" w:cs="Times New Roman"/>
          <w:color w:val="auto"/>
          <w:sz w:val="24"/>
          <w:szCs w:val="24"/>
          <w:lang w:val="en-GB"/>
        </w:rPr>
        <w:t xml:space="preserve"> 2012). </w:t>
      </w:r>
    </w:p>
    <w:p w14:paraId="220877E1" w14:textId="3D562586" w:rsidR="00EC2E3D" w:rsidRPr="00A03898" w:rsidRDefault="00684964" w:rsidP="00E11311">
      <w:pPr>
        <w:pStyle w:val="Body"/>
        <w:spacing w:line="360" w:lineRule="auto"/>
        <w:ind w:firstLine="708"/>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The second research perspective is concerned with the contextual determinants of entrepreneurial outcomes. Several studies highlighted the relevance of the quality of inst</w:t>
      </w:r>
      <w:r w:rsidR="00C604EB" w:rsidRPr="00A03898">
        <w:rPr>
          <w:rFonts w:ascii="Times New Roman" w:hAnsi="Times New Roman" w:cs="Times New Roman"/>
          <w:color w:val="auto"/>
          <w:sz w:val="24"/>
          <w:szCs w:val="24"/>
          <w:lang w:val="en-GB"/>
        </w:rPr>
        <w:t>itutional framework (</w:t>
      </w:r>
      <w:proofErr w:type="spellStart"/>
      <w:r w:rsidR="00C604EB" w:rsidRPr="00A03898">
        <w:rPr>
          <w:rFonts w:ascii="Times New Roman" w:hAnsi="Times New Roman" w:cs="Times New Roman"/>
          <w:color w:val="auto"/>
          <w:sz w:val="24"/>
          <w:szCs w:val="24"/>
          <w:lang w:val="en-GB"/>
        </w:rPr>
        <w:t>Acs</w:t>
      </w:r>
      <w:proofErr w:type="spellEnd"/>
      <w:r w:rsidR="00C604EB" w:rsidRPr="00A03898">
        <w:rPr>
          <w:rFonts w:ascii="Times New Roman" w:hAnsi="Times New Roman" w:cs="Times New Roman"/>
          <w:color w:val="auto"/>
          <w:sz w:val="24"/>
          <w:szCs w:val="24"/>
          <w:lang w:val="en-GB"/>
        </w:rPr>
        <w:t xml:space="preserve"> et al.</w:t>
      </w:r>
      <w:r w:rsidRPr="00A03898">
        <w:rPr>
          <w:rFonts w:ascii="Times New Roman" w:hAnsi="Times New Roman" w:cs="Times New Roman"/>
          <w:color w:val="auto"/>
          <w:sz w:val="24"/>
          <w:szCs w:val="24"/>
          <w:lang w:val="en-GB"/>
        </w:rPr>
        <w:t xml:space="preserve"> 2009; </w:t>
      </w:r>
      <w:proofErr w:type="spellStart"/>
      <w:r w:rsidR="00C604EB" w:rsidRPr="00A03898">
        <w:rPr>
          <w:rFonts w:ascii="Times New Roman" w:hAnsi="Times New Roman" w:cs="Times New Roman"/>
          <w:color w:val="auto"/>
          <w:sz w:val="24"/>
          <w:szCs w:val="24"/>
          <w:lang w:val="en-GB"/>
        </w:rPr>
        <w:t>Davidsson</w:t>
      </w:r>
      <w:proofErr w:type="spellEnd"/>
      <w:r w:rsidR="00C604EB" w:rsidRPr="00A03898">
        <w:rPr>
          <w:rFonts w:ascii="Times New Roman" w:hAnsi="Times New Roman" w:cs="Times New Roman"/>
          <w:color w:val="auto"/>
          <w:sz w:val="24"/>
          <w:szCs w:val="24"/>
          <w:lang w:val="en-GB"/>
        </w:rPr>
        <w:t xml:space="preserve"> and </w:t>
      </w:r>
      <w:proofErr w:type="spellStart"/>
      <w:r w:rsidR="00C604EB" w:rsidRPr="00A03898">
        <w:rPr>
          <w:rFonts w:ascii="Times New Roman" w:hAnsi="Times New Roman" w:cs="Times New Roman"/>
          <w:color w:val="auto"/>
          <w:sz w:val="24"/>
          <w:szCs w:val="24"/>
          <w:lang w:val="en-GB"/>
        </w:rPr>
        <w:t>Henrekson</w:t>
      </w:r>
      <w:proofErr w:type="spellEnd"/>
      <w:r w:rsidR="00C604EB" w:rsidRPr="00A03898">
        <w:rPr>
          <w:rFonts w:ascii="Times New Roman" w:hAnsi="Times New Roman" w:cs="Times New Roman"/>
          <w:color w:val="auto"/>
          <w:sz w:val="24"/>
          <w:szCs w:val="24"/>
          <w:lang w:val="en-GB"/>
        </w:rPr>
        <w:t xml:space="preserve"> 2002; </w:t>
      </w:r>
      <w:proofErr w:type="spellStart"/>
      <w:r w:rsidR="00C604EB" w:rsidRPr="00A03898">
        <w:rPr>
          <w:rFonts w:ascii="Times New Roman" w:hAnsi="Times New Roman" w:cs="Times New Roman"/>
          <w:color w:val="auto"/>
          <w:sz w:val="24"/>
          <w:szCs w:val="24"/>
          <w:lang w:val="en-GB"/>
        </w:rPr>
        <w:t>Krasniqi</w:t>
      </w:r>
      <w:proofErr w:type="spellEnd"/>
      <w:r w:rsidR="00C604EB" w:rsidRPr="00A03898">
        <w:rPr>
          <w:rFonts w:ascii="Times New Roman" w:hAnsi="Times New Roman" w:cs="Times New Roman"/>
          <w:color w:val="auto"/>
          <w:sz w:val="24"/>
          <w:szCs w:val="24"/>
          <w:lang w:val="en-GB"/>
        </w:rPr>
        <w:t xml:space="preserve"> and </w:t>
      </w:r>
      <w:proofErr w:type="spellStart"/>
      <w:r w:rsidR="00C604EB" w:rsidRPr="00A03898">
        <w:rPr>
          <w:rFonts w:ascii="Times New Roman" w:hAnsi="Times New Roman" w:cs="Times New Roman"/>
          <w:color w:val="auto"/>
          <w:sz w:val="24"/>
          <w:szCs w:val="24"/>
          <w:lang w:val="en-GB"/>
        </w:rPr>
        <w:t>Dessai</w:t>
      </w:r>
      <w:proofErr w:type="spellEnd"/>
      <w:r w:rsidR="00C604EB" w:rsidRPr="00A03898">
        <w:rPr>
          <w:rFonts w:ascii="Times New Roman" w:hAnsi="Times New Roman" w:cs="Times New Roman"/>
          <w:color w:val="auto"/>
          <w:sz w:val="24"/>
          <w:szCs w:val="24"/>
          <w:lang w:val="en-GB"/>
        </w:rPr>
        <w:t xml:space="preserve"> 2016; </w:t>
      </w:r>
      <w:r w:rsidR="00EF17F6" w:rsidRPr="00A03898">
        <w:rPr>
          <w:rFonts w:ascii="Times New Roman" w:hAnsi="Times New Roman" w:cs="Times New Roman"/>
          <w:color w:val="auto"/>
          <w:sz w:val="24"/>
          <w:szCs w:val="24"/>
          <w:lang w:val="en-GB"/>
        </w:rPr>
        <w:t>Segarra-</w:t>
      </w:r>
      <w:proofErr w:type="spellStart"/>
      <w:r w:rsidR="00EF17F6" w:rsidRPr="00A03898">
        <w:rPr>
          <w:rFonts w:ascii="Times New Roman" w:hAnsi="Times New Roman" w:cs="Times New Roman"/>
          <w:color w:val="auto"/>
          <w:sz w:val="24"/>
          <w:szCs w:val="24"/>
          <w:lang w:val="en-GB"/>
        </w:rPr>
        <w:t>Blasco</w:t>
      </w:r>
      <w:proofErr w:type="spellEnd"/>
      <w:r w:rsidR="00C604EB" w:rsidRPr="00A03898">
        <w:rPr>
          <w:rFonts w:ascii="Times New Roman" w:hAnsi="Times New Roman" w:cs="Times New Roman"/>
          <w:color w:val="auto"/>
          <w:sz w:val="24"/>
          <w:szCs w:val="24"/>
          <w:lang w:val="en-GB"/>
        </w:rPr>
        <w:t xml:space="preserve"> et al.</w:t>
      </w:r>
      <w:r w:rsidRPr="00A03898">
        <w:rPr>
          <w:rFonts w:ascii="Times New Roman" w:hAnsi="Times New Roman" w:cs="Times New Roman"/>
          <w:color w:val="auto"/>
          <w:sz w:val="24"/>
          <w:szCs w:val="24"/>
          <w:lang w:val="en-GB"/>
        </w:rPr>
        <w:t xml:space="preserve"> 2018). In others, the knowledge and technology sharing between firms </w:t>
      </w:r>
      <w:r w:rsidR="00D32912" w:rsidRPr="00A03898">
        <w:rPr>
          <w:rFonts w:ascii="Times New Roman" w:hAnsi="Times New Roman" w:cs="Times New Roman"/>
          <w:color w:val="auto"/>
          <w:sz w:val="24"/>
          <w:szCs w:val="24"/>
          <w:lang w:val="en-GB"/>
        </w:rPr>
        <w:t>due to</w:t>
      </w:r>
      <w:r w:rsidRPr="00A03898">
        <w:rPr>
          <w:rFonts w:ascii="Times New Roman" w:hAnsi="Times New Roman" w:cs="Times New Roman"/>
          <w:color w:val="auto"/>
          <w:sz w:val="24"/>
          <w:szCs w:val="24"/>
          <w:lang w:val="en-GB"/>
        </w:rPr>
        <w:t xml:space="preserve"> geographical proximity, social capital or governance linkages have been rec</w:t>
      </w:r>
      <w:r w:rsidR="00C604EB" w:rsidRPr="00A03898">
        <w:rPr>
          <w:rFonts w:ascii="Times New Roman" w:hAnsi="Times New Roman" w:cs="Times New Roman"/>
          <w:color w:val="auto"/>
          <w:sz w:val="24"/>
          <w:szCs w:val="24"/>
          <w:lang w:val="en-GB"/>
        </w:rPr>
        <w:t>ognised as important (</w:t>
      </w:r>
      <w:proofErr w:type="spellStart"/>
      <w:r w:rsidR="00C604EB" w:rsidRPr="00A03898">
        <w:rPr>
          <w:rFonts w:ascii="Times New Roman" w:hAnsi="Times New Roman" w:cs="Times New Roman"/>
          <w:color w:val="auto"/>
          <w:sz w:val="24"/>
          <w:szCs w:val="24"/>
          <w:lang w:val="en-GB"/>
        </w:rPr>
        <w:t>Audretsch</w:t>
      </w:r>
      <w:proofErr w:type="spellEnd"/>
      <w:r w:rsidR="00C604EB" w:rsidRPr="00A03898">
        <w:rPr>
          <w:rFonts w:ascii="Times New Roman" w:hAnsi="Times New Roman" w:cs="Times New Roman"/>
          <w:color w:val="auto"/>
          <w:sz w:val="24"/>
          <w:szCs w:val="24"/>
          <w:lang w:val="en-GB"/>
        </w:rPr>
        <w:t xml:space="preserve"> 2012; Mohr et al.</w:t>
      </w:r>
      <w:r w:rsidRPr="00A03898">
        <w:rPr>
          <w:rFonts w:ascii="Times New Roman" w:hAnsi="Times New Roman" w:cs="Times New Roman"/>
          <w:color w:val="auto"/>
          <w:sz w:val="24"/>
          <w:szCs w:val="24"/>
          <w:lang w:val="en-GB"/>
        </w:rPr>
        <w:t xml:space="preserve"> 2014). Finally, </w:t>
      </w:r>
      <w:r w:rsidR="00D32912" w:rsidRPr="00A03898">
        <w:rPr>
          <w:rFonts w:ascii="Times New Roman" w:hAnsi="Times New Roman" w:cs="Times New Roman"/>
          <w:color w:val="auto"/>
          <w:sz w:val="24"/>
          <w:szCs w:val="24"/>
          <w:lang w:val="en-GB"/>
        </w:rPr>
        <w:t xml:space="preserve">it was suggested </w:t>
      </w:r>
      <w:r w:rsidRPr="00A03898">
        <w:rPr>
          <w:rFonts w:ascii="Times New Roman" w:hAnsi="Times New Roman" w:cs="Times New Roman"/>
          <w:color w:val="auto"/>
          <w:sz w:val="24"/>
          <w:szCs w:val="24"/>
          <w:lang w:val="en-GB"/>
        </w:rPr>
        <w:t>that technology intensive environments offer more business opportunities, greater potential for differentiation and as such may be conducive to formation of new and rapidly growing businesses. However, empirical findings only partially support such thesis ranging from negative, over insignificant to non-linear and positive results (</w:t>
      </w:r>
      <w:proofErr w:type="spellStart"/>
      <w:r w:rsidRPr="00A03898">
        <w:rPr>
          <w:rFonts w:ascii="Times New Roman" w:hAnsi="Times New Roman" w:cs="Times New Roman"/>
          <w:color w:val="auto"/>
          <w:sz w:val="24"/>
          <w:szCs w:val="24"/>
          <w:lang w:val="en-GB"/>
        </w:rPr>
        <w:t>Henre</w:t>
      </w:r>
      <w:r w:rsidR="00C604EB" w:rsidRPr="00A03898">
        <w:rPr>
          <w:rFonts w:ascii="Times New Roman" w:hAnsi="Times New Roman" w:cs="Times New Roman"/>
          <w:color w:val="auto"/>
          <w:sz w:val="24"/>
          <w:szCs w:val="24"/>
          <w:lang w:val="en-GB"/>
        </w:rPr>
        <w:t>kson</w:t>
      </w:r>
      <w:proofErr w:type="spellEnd"/>
      <w:r w:rsidR="00C604EB" w:rsidRPr="00A03898">
        <w:rPr>
          <w:rFonts w:ascii="Times New Roman" w:hAnsi="Times New Roman" w:cs="Times New Roman"/>
          <w:color w:val="auto"/>
          <w:sz w:val="24"/>
          <w:szCs w:val="24"/>
          <w:lang w:val="en-GB"/>
        </w:rPr>
        <w:t xml:space="preserve"> and Johansson 2010; </w:t>
      </w:r>
      <w:proofErr w:type="spellStart"/>
      <w:r w:rsidR="00C604EB" w:rsidRPr="00A03898">
        <w:rPr>
          <w:rFonts w:ascii="Times New Roman" w:hAnsi="Times New Roman" w:cs="Times New Roman"/>
          <w:color w:val="auto"/>
          <w:sz w:val="24"/>
          <w:szCs w:val="24"/>
          <w:lang w:val="en-GB"/>
        </w:rPr>
        <w:t>Wywrich</w:t>
      </w:r>
      <w:proofErr w:type="spellEnd"/>
      <w:r w:rsidR="00C604EB" w:rsidRPr="00A03898">
        <w:rPr>
          <w:rFonts w:ascii="Times New Roman" w:hAnsi="Times New Roman" w:cs="Times New Roman"/>
          <w:color w:val="auto"/>
          <w:sz w:val="24"/>
          <w:szCs w:val="24"/>
          <w:lang w:val="en-GB"/>
        </w:rPr>
        <w:t xml:space="preserve"> 2010; </w:t>
      </w:r>
      <w:proofErr w:type="spellStart"/>
      <w:r w:rsidR="00C604EB" w:rsidRPr="00A03898">
        <w:rPr>
          <w:rFonts w:ascii="Times New Roman" w:hAnsi="Times New Roman" w:cs="Times New Roman"/>
          <w:color w:val="auto"/>
          <w:sz w:val="24"/>
          <w:szCs w:val="24"/>
          <w:lang w:val="en-GB"/>
        </w:rPr>
        <w:t>Audretsch</w:t>
      </w:r>
      <w:proofErr w:type="spellEnd"/>
      <w:r w:rsidR="00C604EB" w:rsidRPr="00A03898">
        <w:rPr>
          <w:rFonts w:ascii="Times New Roman" w:hAnsi="Times New Roman" w:cs="Times New Roman"/>
          <w:color w:val="auto"/>
          <w:sz w:val="24"/>
          <w:szCs w:val="24"/>
          <w:lang w:val="en-GB"/>
        </w:rPr>
        <w:t xml:space="preserve"> 2012; </w:t>
      </w:r>
      <w:proofErr w:type="spellStart"/>
      <w:r w:rsidR="00C604EB" w:rsidRPr="00A03898">
        <w:rPr>
          <w:rFonts w:ascii="Times New Roman" w:hAnsi="Times New Roman" w:cs="Times New Roman"/>
          <w:color w:val="auto"/>
          <w:sz w:val="24"/>
          <w:szCs w:val="24"/>
          <w:lang w:val="en-GB"/>
        </w:rPr>
        <w:t>Arighetti</w:t>
      </w:r>
      <w:proofErr w:type="spellEnd"/>
      <w:r w:rsidR="00C604EB" w:rsidRPr="00A03898">
        <w:rPr>
          <w:rFonts w:ascii="Times New Roman" w:hAnsi="Times New Roman" w:cs="Times New Roman"/>
          <w:color w:val="auto"/>
          <w:sz w:val="24"/>
          <w:szCs w:val="24"/>
          <w:lang w:val="en-GB"/>
        </w:rPr>
        <w:t xml:space="preserve"> and </w:t>
      </w:r>
      <w:proofErr w:type="spellStart"/>
      <w:r w:rsidR="00C604EB" w:rsidRPr="00A03898">
        <w:rPr>
          <w:rFonts w:ascii="Times New Roman" w:hAnsi="Times New Roman" w:cs="Times New Roman"/>
          <w:color w:val="auto"/>
          <w:sz w:val="24"/>
          <w:szCs w:val="24"/>
          <w:lang w:val="en-GB"/>
        </w:rPr>
        <w:t>Lasagni</w:t>
      </w:r>
      <w:proofErr w:type="spellEnd"/>
      <w:r w:rsidR="00C604EB" w:rsidRPr="00A03898">
        <w:rPr>
          <w:rFonts w:ascii="Times New Roman" w:hAnsi="Times New Roman" w:cs="Times New Roman"/>
          <w:color w:val="auto"/>
          <w:sz w:val="24"/>
          <w:szCs w:val="24"/>
          <w:lang w:val="en-GB"/>
        </w:rPr>
        <w:t xml:space="preserve"> 2013; </w:t>
      </w:r>
      <w:proofErr w:type="spellStart"/>
      <w:r w:rsidR="00C604EB" w:rsidRPr="00A03898">
        <w:rPr>
          <w:rFonts w:ascii="Times New Roman" w:hAnsi="Times New Roman" w:cs="Times New Roman"/>
          <w:color w:val="auto"/>
          <w:sz w:val="24"/>
          <w:szCs w:val="24"/>
          <w:lang w:val="en-GB"/>
        </w:rPr>
        <w:t>Daunfeldt</w:t>
      </w:r>
      <w:proofErr w:type="spellEnd"/>
      <w:r w:rsidR="00C604EB" w:rsidRPr="00A03898">
        <w:rPr>
          <w:rFonts w:ascii="Times New Roman" w:hAnsi="Times New Roman" w:cs="Times New Roman"/>
          <w:color w:val="auto"/>
          <w:sz w:val="24"/>
          <w:szCs w:val="24"/>
          <w:lang w:val="en-GB"/>
        </w:rPr>
        <w:t xml:space="preserve"> et al.</w:t>
      </w:r>
      <w:r w:rsidRPr="00A03898">
        <w:rPr>
          <w:rFonts w:ascii="Times New Roman" w:hAnsi="Times New Roman" w:cs="Times New Roman"/>
          <w:color w:val="auto"/>
          <w:sz w:val="24"/>
          <w:szCs w:val="24"/>
          <w:lang w:val="en-GB"/>
        </w:rPr>
        <w:t xml:space="preserve"> 2016). </w:t>
      </w:r>
    </w:p>
    <w:p w14:paraId="525BC029" w14:textId="4B5EFC52" w:rsidR="00E11311" w:rsidRPr="00A03898" w:rsidRDefault="00684964" w:rsidP="00E11311">
      <w:pPr>
        <w:pStyle w:val="Body"/>
        <w:spacing w:line="360" w:lineRule="auto"/>
        <w:ind w:firstLine="708"/>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 xml:space="preserve">An area that was largely neglected in existing studies is the international context in which firm entry and growth take place. This is surprising if one knows that most of studies reported positive effects from exposure to different internationalization channels such as </w:t>
      </w:r>
      <w:r w:rsidRPr="00A03898">
        <w:rPr>
          <w:rFonts w:ascii="Times New Roman" w:hAnsi="Times New Roman" w:cs="Times New Roman"/>
          <w:color w:val="auto"/>
          <w:sz w:val="24"/>
          <w:szCs w:val="24"/>
          <w:lang w:val="en-GB"/>
        </w:rPr>
        <w:lastRenderedPageBreak/>
        <w:t>exports, imports, foreign investment or participation in gl</w:t>
      </w:r>
      <w:r w:rsidR="00D75C62" w:rsidRPr="00A03898">
        <w:rPr>
          <w:rFonts w:ascii="Times New Roman" w:hAnsi="Times New Roman" w:cs="Times New Roman"/>
          <w:color w:val="auto"/>
          <w:sz w:val="24"/>
          <w:szCs w:val="24"/>
          <w:lang w:val="en-GB"/>
        </w:rPr>
        <w:t>obal value chains (GVC) (</w:t>
      </w:r>
      <w:proofErr w:type="spellStart"/>
      <w:r w:rsidR="00D75C62" w:rsidRPr="00A03898">
        <w:rPr>
          <w:rFonts w:ascii="Times New Roman" w:hAnsi="Times New Roman" w:cs="Times New Roman"/>
          <w:color w:val="auto"/>
          <w:sz w:val="24"/>
          <w:szCs w:val="24"/>
          <w:lang w:val="en-GB"/>
        </w:rPr>
        <w:t>Hagemejer</w:t>
      </w:r>
      <w:proofErr w:type="spellEnd"/>
      <w:r w:rsidR="00D75C62" w:rsidRPr="00A03898">
        <w:rPr>
          <w:rFonts w:ascii="Times New Roman" w:hAnsi="Times New Roman" w:cs="Times New Roman"/>
          <w:color w:val="auto"/>
          <w:sz w:val="24"/>
          <w:szCs w:val="24"/>
          <w:lang w:val="en-GB"/>
        </w:rPr>
        <w:t xml:space="preserve"> 201</w:t>
      </w:r>
      <w:r w:rsidR="00212658" w:rsidRPr="00A03898">
        <w:rPr>
          <w:rFonts w:ascii="Times New Roman" w:hAnsi="Times New Roman" w:cs="Times New Roman"/>
          <w:color w:val="auto"/>
          <w:sz w:val="24"/>
          <w:szCs w:val="24"/>
          <w:lang w:val="en-GB"/>
        </w:rPr>
        <w:t>8</w:t>
      </w:r>
      <w:r w:rsidR="00D75C62" w:rsidRPr="00A03898">
        <w:rPr>
          <w:rFonts w:ascii="Times New Roman" w:hAnsi="Times New Roman" w:cs="Times New Roman"/>
          <w:color w:val="auto"/>
          <w:sz w:val="24"/>
          <w:szCs w:val="24"/>
          <w:lang w:val="en-GB"/>
        </w:rPr>
        <w:t xml:space="preserve">; </w:t>
      </w:r>
      <w:r w:rsidR="00123022" w:rsidRPr="00A03898">
        <w:rPr>
          <w:rFonts w:ascii="Times New Roman" w:hAnsi="Times New Roman" w:cs="Times New Roman"/>
          <w:color w:val="auto"/>
          <w:sz w:val="24"/>
          <w:szCs w:val="24"/>
          <w:lang w:val="en-GB"/>
        </w:rPr>
        <w:t>Segarra-</w:t>
      </w:r>
      <w:proofErr w:type="spellStart"/>
      <w:r w:rsidR="00123022" w:rsidRPr="00A03898">
        <w:rPr>
          <w:rFonts w:ascii="Times New Roman" w:hAnsi="Times New Roman" w:cs="Times New Roman"/>
          <w:color w:val="auto"/>
          <w:sz w:val="24"/>
          <w:szCs w:val="24"/>
          <w:lang w:val="en-GB"/>
        </w:rPr>
        <w:t>Blasco</w:t>
      </w:r>
      <w:proofErr w:type="spellEnd"/>
      <w:r w:rsidR="00123022" w:rsidRPr="00A03898">
        <w:rPr>
          <w:rFonts w:ascii="Times New Roman" w:hAnsi="Times New Roman" w:cs="Times New Roman"/>
          <w:color w:val="auto"/>
          <w:sz w:val="24"/>
          <w:szCs w:val="24"/>
          <w:lang w:val="en-GB"/>
        </w:rPr>
        <w:t xml:space="preserve"> </w:t>
      </w:r>
      <w:r w:rsidR="00D75C62" w:rsidRPr="00A03898">
        <w:rPr>
          <w:rFonts w:ascii="Times New Roman" w:hAnsi="Times New Roman" w:cs="Times New Roman"/>
          <w:color w:val="auto"/>
          <w:sz w:val="24"/>
          <w:szCs w:val="24"/>
          <w:lang w:val="en-GB"/>
        </w:rPr>
        <w:t>et al. 2018; Coad and Srhoj</w:t>
      </w:r>
      <w:r w:rsidRPr="00A03898">
        <w:rPr>
          <w:rFonts w:ascii="Times New Roman" w:hAnsi="Times New Roman" w:cs="Times New Roman"/>
          <w:color w:val="auto"/>
          <w:sz w:val="24"/>
          <w:szCs w:val="24"/>
          <w:lang w:val="en-GB"/>
        </w:rPr>
        <w:t xml:space="preserve"> 2019). While GVC participation enables transfer of knowledge and technology (Tan</w:t>
      </w:r>
      <w:r w:rsidR="00D32912" w:rsidRPr="00A03898">
        <w:rPr>
          <w:rFonts w:ascii="Times New Roman" w:hAnsi="Times New Roman" w:cs="Times New Roman"/>
          <w:color w:val="auto"/>
          <w:sz w:val="24"/>
          <w:szCs w:val="24"/>
          <w:lang w:val="en-GB"/>
        </w:rPr>
        <w:t xml:space="preserve"> et al.</w:t>
      </w:r>
      <w:r w:rsidRPr="00A03898">
        <w:rPr>
          <w:rFonts w:ascii="Times New Roman" w:hAnsi="Times New Roman" w:cs="Times New Roman"/>
          <w:color w:val="auto"/>
          <w:sz w:val="24"/>
          <w:szCs w:val="24"/>
          <w:lang w:val="en-GB"/>
        </w:rPr>
        <w:t xml:space="preserve"> 2018), the entrepreneurial opportunities seem also related to sourcing of superior inputs and technology fro</w:t>
      </w:r>
      <w:r w:rsidR="00D75C62" w:rsidRPr="00A03898">
        <w:rPr>
          <w:rFonts w:ascii="Times New Roman" w:hAnsi="Times New Roman" w:cs="Times New Roman"/>
          <w:color w:val="auto"/>
          <w:sz w:val="24"/>
          <w:szCs w:val="24"/>
          <w:lang w:val="en-GB"/>
        </w:rPr>
        <w:t>m foreign upstream firms (Reyes</w:t>
      </w:r>
      <w:r w:rsidRPr="00A03898">
        <w:rPr>
          <w:rFonts w:ascii="Times New Roman" w:hAnsi="Times New Roman" w:cs="Times New Roman"/>
          <w:color w:val="auto"/>
          <w:sz w:val="24"/>
          <w:szCs w:val="24"/>
          <w:lang w:val="en-GB"/>
        </w:rPr>
        <w:t xml:space="preserve"> 2018), demonstration effects and import competition effects on domestic market efficiency (</w:t>
      </w:r>
      <w:r w:rsidR="00D75C62" w:rsidRPr="00A03898">
        <w:rPr>
          <w:rFonts w:ascii="Times New Roman" w:hAnsi="Times New Roman" w:cs="Times New Roman"/>
          <w:color w:val="auto"/>
          <w:sz w:val="24"/>
          <w:szCs w:val="24"/>
          <w:lang w:val="en-GB"/>
        </w:rPr>
        <w:t>Goswami et al.</w:t>
      </w:r>
      <w:r w:rsidRPr="00A03898">
        <w:rPr>
          <w:rFonts w:ascii="Times New Roman" w:hAnsi="Times New Roman" w:cs="Times New Roman"/>
          <w:color w:val="auto"/>
          <w:sz w:val="24"/>
          <w:szCs w:val="24"/>
          <w:lang w:val="en-GB"/>
        </w:rPr>
        <w:t xml:space="preserve"> 2019). </w:t>
      </w:r>
    </w:p>
    <w:p w14:paraId="2F8B9D62" w14:textId="064E0993" w:rsidR="00287E33" w:rsidRPr="00A03898" w:rsidRDefault="00684964" w:rsidP="00287E33">
      <w:pPr>
        <w:pStyle w:val="Body"/>
        <w:spacing w:line="360" w:lineRule="auto"/>
        <w:ind w:firstLine="708"/>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 xml:space="preserve">All of the above effects are more pronounced in relationships taking place within economic integrations. Integration of national markets into </w:t>
      </w:r>
      <w:r w:rsidR="00597685" w:rsidRPr="00A03898">
        <w:rPr>
          <w:rFonts w:ascii="Times New Roman" w:hAnsi="Times New Roman" w:cs="Times New Roman"/>
          <w:color w:val="auto"/>
          <w:sz w:val="24"/>
          <w:szCs w:val="24"/>
          <w:lang w:val="en-GB"/>
        </w:rPr>
        <w:t xml:space="preserve">a </w:t>
      </w:r>
      <w:r w:rsidRPr="00A03898">
        <w:rPr>
          <w:rFonts w:ascii="Times New Roman" w:hAnsi="Times New Roman" w:cs="Times New Roman"/>
          <w:color w:val="auto"/>
          <w:sz w:val="24"/>
          <w:szCs w:val="24"/>
          <w:lang w:val="en-GB"/>
        </w:rPr>
        <w:t xml:space="preserve">single common market facilitates </w:t>
      </w:r>
      <w:r w:rsidR="00956399"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formation of new and rapidly growing enterprises through increased market size, easier access to resources, greater opportunities for learning and knowledge and</w:t>
      </w:r>
      <w:r w:rsidR="00D73C6F" w:rsidRPr="00A03898">
        <w:rPr>
          <w:rFonts w:ascii="Times New Roman" w:hAnsi="Times New Roman" w:cs="Times New Roman"/>
          <w:color w:val="auto"/>
          <w:sz w:val="24"/>
          <w:szCs w:val="24"/>
          <w:lang w:val="en-GB"/>
        </w:rPr>
        <w:t xml:space="preserve"> technology spillovers (</w:t>
      </w:r>
      <w:proofErr w:type="spellStart"/>
      <w:r w:rsidR="00D73C6F" w:rsidRPr="00A03898">
        <w:rPr>
          <w:rFonts w:ascii="Times New Roman" w:hAnsi="Times New Roman" w:cs="Times New Roman"/>
          <w:color w:val="auto"/>
          <w:sz w:val="24"/>
          <w:szCs w:val="24"/>
          <w:lang w:val="en-GB"/>
        </w:rPr>
        <w:t>Tarabar</w:t>
      </w:r>
      <w:proofErr w:type="spellEnd"/>
      <w:r w:rsidRPr="00A03898">
        <w:rPr>
          <w:rFonts w:ascii="Times New Roman" w:hAnsi="Times New Roman" w:cs="Times New Roman"/>
          <w:color w:val="auto"/>
          <w:sz w:val="24"/>
          <w:szCs w:val="24"/>
          <w:lang w:val="en-GB"/>
        </w:rPr>
        <w:t xml:space="preserve"> 2018). Common market also opens opportunities for building of </w:t>
      </w:r>
      <w:r w:rsidR="00551746" w:rsidRPr="00A03898">
        <w:rPr>
          <w:rFonts w:ascii="Times New Roman" w:hAnsi="Times New Roman" w:cs="Times New Roman"/>
          <w:color w:val="auto"/>
          <w:sz w:val="24"/>
          <w:szCs w:val="24"/>
          <w:lang w:val="en-GB"/>
        </w:rPr>
        <w:t xml:space="preserve">a </w:t>
      </w:r>
      <w:r w:rsidRPr="00A03898">
        <w:rPr>
          <w:rFonts w:ascii="Times New Roman" w:hAnsi="Times New Roman" w:cs="Times New Roman"/>
          <w:color w:val="auto"/>
          <w:sz w:val="24"/>
          <w:szCs w:val="24"/>
          <w:lang w:val="en-GB"/>
        </w:rPr>
        <w:t>greater social, institutional and cultural proximity between members of integration</w:t>
      </w:r>
      <w:r w:rsidR="006A2E60" w:rsidRPr="00A03898">
        <w:rPr>
          <w:rFonts w:ascii="Times New Roman" w:hAnsi="Times New Roman" w:cs="Times New Roman"/>
          <w:color w:val="auto"/>
          <w:sz w:val="24"/>
          <w:szCs w:val="24"/>
          <w:lang w:val="en-GB"/>
        </w:rPr>
        <w:t>,</w:t>
      </w:r>
      <w:r w:rsidRPr="00A03898">
        <w:rPr>
          <w:rFonts w:ascii="Times New Roman" w:hAnsi="Times New Roman" w:cs="Times New Roman"/>
          <w:color w:val="auto"/>
          <w:sz w:val="24"/>
          <w:szCs w:val="24"/>
          <w:lang w:val="en-GB"/>
        </w:rPr>
        <w:t xml:space="preserve"> but at the same time leads to </w:t>
      </w:r>
      <w:r w:rsidR="004E6076"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reallocation of resources from inefficient use to more productive opportunities within existing sectors and in newly emergin</w:t>
      </w:r>
      <w:r w:rsidR="00287E33" w:rsidRPr="00A03898">
        <w:rPr>
          <w:rFonts w:ascii="Times New Roman" w:hAnsi="Times New Roman" w:cs="Times New Roman"/>
          <w:color w:val="auto"/>
          <w:sz w:val="24"/>
          <w:szCs w:val="24"/>
          <w:lang w:val="en-GB"/>
        </w:rPr>
        <w:t>g industries (</w:t>
      </w:r>
      <w:proofErr w:type="spellStart"/>
      <w:r w:rsidR="00287E33" w:rsidRPr="00A03898">
        <w:rPr>
          <w:rFonts w:ascii="Times New Roman" w:hAnsi="Times New Roman" w:cs="Times New Roman"/>
          <w:color w:val="auto"/>
          <w:sz w:val="24"/>
          <w:szCs w:val="24"/>
          <w:lang w:val="en-GB"/>
        </w:rPr>
        <w:t>Cuaresma</w:t>
      </w:r>
      <w:proofErr w:type="spellEnd"/>
      <w:r w:rsidR="00287E33" w:rsidRPr="00A03898">
        <w:rPr>
          <w:rFonts w:ascii="Times New Roman" w:hAnsi="Times New Roman" w:cs="Times New Roman"/>
          <w:color w:val="auto"/>
          <w:sz w:val="24"/>
          <w:szCs w:val="24"/>
          <w:lang w:val="en-GB"/>
        </w:rPr>
        <w:t xml:space="preserve"> and </w:t>
      </w:r>
      <w:proofErr w:type="spellStart"/>
      <w:r w:rsidR="00287E33" w:rsidRPr="00A03898">
        <w:rPr>
          <w:rFonts w:ascii="Times New Roman" w:hAnsi="Times New Roman" w:cs="Times New Roman"/>
          <w:color w:val="auto"/>
          <w:sz w:val="24"/>
          <w:szCs w:val="24"/>
          <w:lang w:val="en-GB"/>
        </w:rPr>
        <w:t>W</w:t>
      </w:r>
      <w:r w:rsidR="00D01631" w:rsidRPr="00A03898">
        <w:rPr>
          <w:color w:val="auto"/>
          <w:lang w:val="en-GB"/>
        </w:rPr>
        <w:t>ö</w:t>
      </w:r>
      <w:r w:rsidR="00287E33" w:rsidRPr="00A03898">
        <w:rPr>
          <w:rFonts w:ascii="Times New Roman" w:hAnsi="Times New Roman" w:cs="Times New Roman"/>
          <w:color w:val="auto"/>
          <w:sz w:val="24"/>
          <w:szCs w:val="24"/>
          <w:lang w:val="en-GB"/>
        </w:rPr>
        <w:t>rz</w:t>
      </w:r>
      <w:proofErr w:type="spellEnd"/>
      <w:r w:rsidR="00287E33" w:rsidRPr="00A03898">
        <w:rPr>
          <w:rFonts w:ascii="Times New Roman" w:hAnsi="Times New Roman" w:cs="Times New Roman"/>
          <w:color w:val="auto"/>
          <w:sz w:val="24"/>
          <w:szCs w:val="24"/>
          <w:lang w:val="en-GB"/>
        </w:rPr>
        <w:t xml:space="preserve"> 2005). </w:t>
      </w:r>
      <w:r w:rsidRPr="00A03898">
        <w:rPr>
          <w:rFonts w:ascii="Times New Roman" w:hAnsi="Times New Roman" w:cs="Times New Roman"/>
          <w:color w:val="auto"/>
          <w:sz w:val="24"/>
          <w:szCs w:val="24"/>
          <w:lang w:val="en-GB"/>
        </w:rPr>
        <w:t xml:space="preserve">In a parallel development, integration in global value chains and exporting opens up above-average opportunities for growth (Du and </w:t>
      </w:r>
      <w:proofErr w:type="spellStart"/>
      <w:r w:rsidRPr="00A03898">
        <w:rPr>
          <w:rFonts w:ascii="Times New Roman" w:hAnsi="Times New Roman" w:cs="Times New Roman"/>
          <w:color w:val="auto"/>
          <w:sz w:val="24"/>
          <w:szCs w:val="24"/>
          <w:lang w:val="en-GB"/>
        </w:rPr>
        <w:t>Temouri</w:t>
      </w:r>
      <w:proofErr w:type="spellEnd"/>
      <w:r w:rsidRPr="00A03898">
        <w:rPr>
          <w:rFonts w:ascii="Times New Roman" w:hAnsi="Times New Roman" w:cs="Times New Roman"/>
          <w:color w:val="auto"/>
          <w:sz w:val="24"/>
          <w:szCs w:val="24"/>
          <w:lang w:val="en-GB"/>
        </w:rPr>
        <w:t xml:space="preserve"> 2015; </w:t>
      </w:r>
      <w:proofErr w:type="spellStart"/>
      <w:r w:rsidRPr="00A03898">
        <w:rPr>
          <w:rFonts w:ascii="Times New Roman" w:hAnsi="Times New Roman" w:cs="Times New Roman"/>
          <w:color w:val="auto"/>
          <w:sz w:val="24"/>
          <w:szCs w:val="24"/>
          <w:lang w:val="en-GB"/>
        </w:rPr>
        <w:t>Grazzi</w:t>
      </w:r>
      <w:proofErr w:type="spellEnd"/>
      <w:r w:rsidRPr="00A03898">
        <w:rPr>
          <w:rFonts w:ascii="Times New Roman" w:hAnsi="Times New Roman" w:cs="Times New Roman"/>
          <w:color w:val="auto"/>
          <w:sz w:val="24"/>
          <w:szCs w:val="24"/>
          <w:lang w:val="en-GB"/>
        </w:rPr>
        <w:t xml:space="preserve"> and </w:t>
      </w:r>
      <w:proofErr w:type="spellStart"/>
      <w:r w:rsidRPr="00A03898">
        <w:rPr>
          <w:rFonts w:ascii="Times New Roman" w:hAnsi="Times New Roman" w:cs="Times New Roman"/>
          <w:color w:val="auto"/>
          <w:sz w:val="24"/>
          <w:szCs w:val="24"/>
          <w:lang w:val="en-GB"/>
        </w:rPr>
        <w:t>Moschella</w:t>
      </w:r>
      <w:proofErr w:type="spellEnd"/>
      <w:r w:rsidRPr="00A03898">
        <w:rPr>
          <w:rFonts w:ascii="Times New Roman" w:hAnsi="Times New Roman" w:cs="Times New Roman"/>
          <w:color w:val="auto"/>
          <w:sz w:val="24"/>
          <w:szCs w:val="24"/>
          <w:lang w:val="en-GB"/>
        </w:rPr>
        <w:t xml:space="preserve"> 2018; </w:t>
      </w:r>
      <w:proofErr w:type="spellStart"/>
      <w:r w:rsidRPr="00A03898">
        <w:rPr>
          <w:rFonts w:ascii="Times New Roman" w:hAnsi="Times New Roman" w:cs="Times New Roman"/>
          <w:color w:val="auto"/>
          <w:sz w:val="24"/>
          <w:szCs w:val="24"/>
          <w:lang w:val="en-GB"/>
        </w:rPr>
        <w:t>Moschella</w:t>
      </w:r>
      <w:proofErr w:type="spellEnd"/>
      <w:r w:rsidRPr="00A03898">
        <w:rPr>
          <w:rFonts w:ascii="Times New Roman" w:hAnsi="Times New Roman" w:cs="Times New Roman"/>
          <w:color w:val="auto"/>
          <w:sz w:val="24"/>
          <w:szCs w:val="24"/>
          <w:lang w:val="en-GB"/>
        </w:rPr>
        <w:t xml:space="preserve"> 2019). Domestic firms have to produce more efficiently, which leads to lower prices, larger variety and better product quality (</w:t>
      </w:r>
      <w:proofErr w:type="spellStart"/>
      <w:r w:rsidRPr="00A03898">
        <w:rPr>
          <w:rFonts w:ascii="Times New Roman" w:hAnsi="Times New Roman" w:cs="Times New Roman"/>
          <w:color w:val="auto"/>
          <w:sz w:val="24"/>
          <w:szCs w:val="24"/>
          <w:lang w:val="en-GB"/>
        </w:rPr>
        <w:t>König</w:t>
      </w:r>
      <w:proofErr w:type="spellEnd"/>
      <w:r w:rsidRPr="00A03898">
        <w:rPr>
          <w:rFonts w:ascii="Times New Roman" w:hAnsi="Times New Roman" w:cs="Times New Roman"/>
          <w:color w:val="auto"/>
          <w:sz w:val="24"/>
          <w:szCs w:val="24"/>
          <w:lang w:val="en-GB"/>
        </w:rPr>
        <w:t xml:space="preserve"> 2015).</w:t>
      </w:r>
    </w:p>
    <w:p w14:paraId="333CCB4E" w14:textId="0C604DB4" w:rsidR="00515638" w:rsidRPr="00A03898" w:rsidRDefault="00684964" w:rsidP="00515638">
      <w:pPr>
        <w:pStyle w:val="Body"/>
        <w:spacing w:line="360" w:lineRule="auto"/>
        <w:ind w:firstLine="708"/>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 xml:space="preserve">Building on previous insights, we propose a research framework that bridges a gap between entrepreneurship and economic integrations literature. </w:t>
      </w:r>
      <w:r w:rsidR="00597685" w:rsidRPr="00A03898">
        <w:rPr>
          <w:rFonts w:ascii="Times New Roman" w:hAnsi="Times New Roman" w:cs="Times New Roman"/>
          <w:color w:val="auto"/>
          <w:sz w:val="24"/>
          <w:szCs w:val="24"/>
          <w:lang w:val="en-GB"/>
        </w:rPr>
        <w:t>Empirical literature found that formation and enlargement of economic integrations such as EU have brought along intra-EU trade diversion</w:t>
      </w:r>
      <w:r w:rsidR="00515638" w:rsidRPr="00A03898">
        <w:rPr>
          <w:rFonts w:ascii="Times New Roman" w:hAnsi="Times New Roman" w:cs="Times New Roman"/>
          <w:color w:val="auto"/>
          <w:sz w:val="24"/>
          <w:szCs w:val="24"/>
          <w:lang w:val="en-GB"/>
        </w:rPr>
        <w:t xml:space="preserve"> effects (Egger and </w:t>
      </w:r>
      <w:proofErr w:type="spellStart"/>
      <w:r w:rsidR="00515638" w:rsidRPr="00A03898">
        <w:rPr>
          <w:rFonts w:ascii="Times New Roman" w:hAnsi="Times New Roman" w:cs="Times New Roman"/>
          <w:color w:val="auto"/>
          <w:sz w:val="24"/>
          <w:szCs w:val="24"/>
          <w:lang w:val="en-GB"/>
        </w:rPr>
        <w:t>Pfaffermayr</w:t>
      </w:r>
      <w:proofErr w:type="spellEnd"/>
      <w:r w:rsidR="00597685" w:rsidRPr="00A03898">
        <w:rPr>
          <w:rFonts w:ascii="Times New Roman" w:hAnsi="Times New Roman" w:cs="Times New Roman"/>
          <w:color w:val="auto"/>
          <w:sz w:val="24"/>
          <w:szCs w:val="24"/>
          <w:lang w:val="en-GB"/>
        </w:rPr>
        <w:t xml:space="preserve"> 2013). </w:t>
      </w:r>
      <w:r w:rsidR="00EC2E3D" w:rsidRPr="00A03898">
        <w:rPr>
          <w:rFonts w:ascii="Times New Roman" w:hAnsi="Times New Roman" w:cs="Times New Roman"/>
          <w:color w:val="auto"/>
          <w:sz w:val="24"/>
          <w:szCs w:val="24"/>
          <w:lang w:val="en-GB"/>
        </w:rPr>
        <w:t>W</w:t>
      </w:r>
      <w:r w:rsidR="00287E33" w:rsidRPr="00A03898">
        <w:rPr>
          <w:rFonts w:ascii="Times New Roman" w:hAnsi="Times New Roman" w:cs="Times New Roman"/>
          <w:color w:val="auto"/>
          <w:sz w:val="24"/>
          <w:szCs w:val="24"/>
          <w:lang w:val="en-GB"/>
        </w:rPr>
        <w:t>e explore whether</w:t>
      </w:r>
      <w:r w:rsidR="00597685" w:rsidRPr="00A03898">
        <w:rPr>
          <w:rFonts w:ascii="Times New Roman" w:hAnsi="Times New Roman" w:cs="Times New Roman"/>
          <w:color w:val="auto"/>
          <w:sz w:val="24"/>
          <w:szCs w:val="24"/>
          <w:lang w:val="en-GB"/>
        </w:rPr>
        <w:t xml:space="preserve"> </w:t>
      </w:r>
      <w:r w:rsidRPr="00A03898">
        <w:rPr>
          <w:rFonts w:ascii="Times New Roman" w:hAnsi="Times New Roman" w:cs="Times New Roman"/>
          <w:color w:val="auto"/>
          <w:sz w:val="24"/>
          <w:szCs w:val="24"/>
          <w:lang w:val="en-GB"/>
        </w:rPr>
        <w:t>diversion of trade and GVC participation towards other members of integration at the expense of the rest of the world facilitates increases in shares of start-ups and HGFs in the total population of firms. Social, cultural and institutional proximity between members of integration makes it easier to exploit gains from increased demand, access to resources and knowledge and</w:t>
      </w:r>
      <w:r w:rsidR="00515638" w:rsidRPr="00A03898">
        <w:rPr>
          <w:rFonts w:ascii="Times New Roman" w:hAnsi="Times New Roman" w:cs="Times New Roman"/>
          <w:color w:val="auto"/>
          <w:sz w:val="24"/>
          <w:szCs w:val="24"/>
          <w:lang w:val="en-GB"/>
        </w:rPr>
        <w:t xml:space="preserve"> technology spillovers (</w:t>
      </w:r>
      <w:proofErr w:type="spellStart"/>
      <w:r w:rsidR="00515638" w:rsidRPr="00A03898">
        <w:rPr>
          <w:rFonts w:ascii="Times New Roman" w:hAnsi="Times New Roman" w:cs="Times New Roman"/>
          <w:color w:val="auto"/>
          <w:sz w:val="24"/>
          <w:szCs w:val="24"/>
          <w:lang w:val="en-GB"/>
        </w:rPr>
        <w:t>Tarabar</w:t>
      </w:r>
      <w:proofErr w:type="spellEnd"/>
      <w:r w:rsidRPr="00A03898">
        <w:rPr>
          <w:rFonts w:ascii="Times New Roman" w:hAnsi="Times New Roman" w:cs="Times New Roman"/>
          <w:color w:val="auto"/>
          <w:sz w:val="24"/>
          <w:szCs w:val="24"/>
          <w:lang w:val="en-GB"/>
        </w:rPr>
        <w:t xml:space="preserve"> 2018). These effects may be particularly relevant for firms from less advanced members of integration such as Central and Eastern European (CEE) member states of the EU. As such countries are characterised with weak entrepreneurial and innovation</w:t>
      </w:r>
      <w:r w:rsidR="00515638" w:rsidRPr="00A03898">
        <w:rPr>
          <w:rFonts w:ascii="Times New Roman" w:hAnsi="Times New Roman" w:cs="Times New Roman"/>
          <w:color w:val="auto"/>
          <w:sz w:val="24"/>
          <w:szCs w:val="24"/>
          <w:lang w:val="en-GB"/>
        </w:rPr>
        <w:t xml:space="preserve"> systems (Segarra-</w:t>
      </w:r>
      <w:proofErr w:type="spellStart"/>
      <w:r w:rsidR="00515638" w:rsidRPr="00A03898">
        <w:rPr>
          <w:rFonts w:ascii="Times New Roman" w:hAnsi="Times New Roman" w:cs="Times New Roman"/>
          <w:color w:val="auto"/>
          <w:sz w:val="24"/>
          <w:szCs w:val="24"/>
          <w:lang w:val="en-GB"/>
        </w:rPr>
        <w:t>Blasco</w:t>
      </w:r>
      <w:proofErr w:type="spellEnd"/>
      <w:r w:rsidR="00515638" w:rsidRPr="00A03898">
        <w:rPr>
          <w:rFonts w:ascii="Times New Roman" w:hAnsi="Times New Roman" w:cs="Times New Roman"/>
          <w:color w:val="auto"/>
          <w:sz w:val="24"/>
          <w:szCs w:val="24"/>
          <w:lang w:val="en-GB"/>
        </w:rPr>
        <w:t xml:space="preserve"> et al.</w:t>
      </w:r>
      <w:r w:rsidRPr="00A03898">
        <w:rPr>
          <w:rFonts w:ascii="Times New Roman" w:hAnsi="Times New Roman" w:cs="Times New Roman"/>
          <w:color w:val="auto"/>
          <w:sz w:val="24"/>
          <w:szCs w:val="24"/>
          <w:lang w:val="en-GB"/>
        </w:rPr>
        <w:t xml:space="preserve"> 2018) trade and GVC participation may turn into the most important source of entrepreneurial opportunities for their businesses. </w:t>
      </w:r>
    </w:p>
    <w:p w14:paraId="311DD2CE" w14:textId="7F0D84DF" w:rsidR="00684964" w:rsidRPr="00A03898" w:rsidRDefault="00B95EE2" w:rsidP="00515638">
      <w:pPr>
        <w:pStyle w:val="Body"/>
        <w:spacing w:line="360" w:lineRule="auto"/>
        <w:ind w:firstLine="708"/>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lastRenderedPageBreak/>
        <w:t>W</w:t>
      </w:r>
      <w:r w:rsidR="00684964" w:rsidRPr="00A03898">
        <w:rPr>
          <w:rFonts w:ascii="Times New Roman" w:hAnsi="Times New Roman" w:cs="Times New Roman"/>
          <w:color w:val="auto"/>
          <w:sz w:val="24"/>
          <w:szCs w:val="24"/>
          <w:lang w:val="en-GB"/>
        </w:rPr>
        <w:t xml:space="preserve">e consider the exports from individual country to </w:t>
      </w:r>
      <w:r w:rsidR="00597685" w:rsidRPr="00A03898">
        <w:rPr>
          <w:rFonts w:ascii="Times New Roman" w:hAnsi="Times New Roman" w:cs="Times New Roman"/>
          <w:color w:val="auto"/>
          <w:sz w:val="24"/>
          <w:szCs w:val="24"/>
          <w:lang w:val="en-GB"/>
        </w:rPr>
        <w:t>the</w:t>
      </w:r>
      <w:r w:rsidR="00684964" w:rsidRPr="00A03898">
        <w:rPr>
          <w:rFonts w:ascii="Times New Roman" w:hAnsi="Times New Roman" w:cs="Times New Roman"/>
          <w:color w:val="auto"/>
          <w:sz w:val="24"/>
          <w:szCs w:val="24"/>
          <w:lang w:val="en-GB"/>
        </w:rPr>
        <w:t xml:space="preserve"> common EU market</w:t>
      </w:r>
      <w:r w:rsidRPr="00A03898">
        <w:rPr>
          <w:rFonts w:ascii="Times New Roman" w:hAnsi="Times New Roman" w:cs="Times New Roman"/>
          <w:color w:val="auto"/>
          <w:sz w:val="24"/>
          <w:szCs w:val="24"/>
          <w:lang w:val="en-GB"/>
        </w:rPr>
        <w:t xml:space="preserve"> to be the first channel of influence</w:t>
      </w:r>
      <w:r w:rsidR="00684964" w:rsidRPr="00A03898">
        <w:rPr>
          <w:rFonts w:ascii="Times New Roman" w:hAnsi="Times New Roman" w:cs="Times New Roman"/>
          <w:color w:val="auto"/>
          <w:sz w:val="24"/>
          <w:szCs w:val="24"/>
          <w:lang w:val="en-GB"/>
        </w:rPr>
        <w:t xml:space="preserve">. </w:t>
      </w:r>
      <w:r w:rsidR="00597685" w:rsidRPr="00A03898">
        <w:rPr>
          <w:rFonts w:ascii="Times New Roman" w:hAnsi="Times New Roman" w:cs="Times New Roman"/>
          <w:color w:val="auto"/>
          <w:sz w:val="24"/>
          <w:szCs w:val="24"/>
          <w:lang w:val="en-GB"/>
        </w:rPr>
        <w:t>A p</w:t>
      </w:r>
      <w:r w:rsidR="00684964" w:rsidRPr="00A03898">
        <w:rPr>
          <w:rFonts w:ascii="Times New Roman" w:hAnsi="Times New Roman" w:cs="Times New Roman"/>
          <w:color w:val="auto"/>
          <w:sz w:val="24"/>
          <w:szCs w:val="24"/>
          <w:lang w:val="en-GB"/>
        </w:rPr>
        <w:t>ositive effect of exports on firm growth has already been recogniz</w:t>
      </w:r>
      <w:r w:rsidR="00C01745" w:rsidRPr="00A03898">
        <w:rPr>
          <w:rFonts w:ascii="Times New Roman" w:hAnsi="Times New Roman" w:cs="Times New Roman"/>
          <w:color w:val="auto"/>
          <w:sz w:val="24"/>
          <w:szCs w:val="24"/>
          <w:lang w:val="en-GB"/>
        </w:rPr>
        <w:t>ed in the literature (</w:t>
      </w:r>
      <w:proofErr w:type="spellStart"/>
      <w:r w:rsidR="00C01745" w:rsidRPr="00A03898">
        <w:rPr>
          <w:rFonts w:ascii="Times New Roman" w:hAnsi="Times New Roman" w:cs="Times New Roman"/>
          <w:color w:val="auto"/>
          <w:sz w:val="24"/>
          <w:szCs w:val="24"/>
          <w:lang w:val="en-GB"/>
        </w:rPr>
        <w:t>Moschella</w:t>
      </w:r>
      <w:proofErr w:type="spellEnd"/>
      <w:r w:rsidR="00C01745" w:rsidRPr="00A03898">
        <w:rPr>
          <w:rFonts w:ascii="Times New Roman" w:hAnsi="Times New Roman" w:cs="Times New Roman"/>
          <w:color w:val="auto"/>
          <w:sz w:val="24"/>
          <w:szCs w:val="24"/>
          <w:lang w:val="en-GB"/>
        </w:rPr>
        <w:t xml:space="preserve"> 2019; Coad and Srhoj</w:t>
      </w:r>
      <w:r w:rsidR="00684964" w:rsidRPr="00A03898">
        <w:rPr>
          <w:rFonts w:ascii="Times New Roman" w:hAnsi="Times New Roman" w:cs="Times New Roman"/>
          <w:color w:val="auto"/>
          <w:sz w:val="24"/>
          <w:szCs w:val="24"/>
          <w:lang w:val="en-GB"/>
        </w:rPr>
        <w:t xml:space="preserve"> 2019). Earlier findings reveal that greater market coverage creates more business opportunities for start-ups and facilitates growth of firms (</w:t>
      </w:r>
      <w:proofErr w:type="spellStart"/>
      <w:r w:rsidR="00684964" w:rsidRPr="00A03898">
        <w:rPr>
          <w:rFonts w:ascii="Times New Roman" w:hAnsi="Times New Roman" w:cs="Times New Roman"/>
          <w:color w:val="auto"/>
          <w:sz w:val="24"/>
          <w:szCs w:val="24"/>
          <w:lang w:val="en-GB"/>
        </w:rPr>
        <w:t>Colantone</w:t>
      </w:r>
      <w:proofErr w:type="spellEnd"/>
      <w:r w:rsidR="00684964" w:rsidRPr="00A03898">
        <w:rPr>
          <w:rFonts w:ascii="Times New Roman" w:hAnsi="Times New Roman" w:cs="Times New Roman"/>
          <w:color w:val="auto"/>
          <w:sz w:val="24"/>
          <w:szCs w:val="24"/>
          <w:lang w:val="en-GB"/>
        </w:rPr>
        <w:t xml:space="preserve"> and </w:t>
      </w:r>
      <w:proofErr w:type="spellStart"/>
      <w:r w:rsidR="00684964" w:rsidRPr="00A03898">
        <w:rPr>
          <w:rFonts w:ascii="Times New Roman" w:hAnsi="Times New Roman" w:cs="Times New Roman"/>
          <w:color w:val="auto"/>
          <w:sz w:val="24"/>
          <w:szCs w:val="24"/>
          <w:lang w:val="en-GB"/>
        </w:rPr>
        <w:t>Sleuwaegen</w:t>
      </w:r>
      <w:proofErr w:type="spellEnd"/>
      <w:r w:rsidR="00684964" w:rsidRPr="00A03898">
        <w:rPr>
          <w:rFonts w:ascii="Times New Roman" w:hAnsi="Times New Roman" w:cs="Times New Roman"/>
          <w:color w:val="auto"/>
          <w:sz w:val="24"/>
          <w:szCs w:val="24"/>
          <w:lang w:val="en-GB"/>
        </w:rPr>
        <w:t xml:space="preserve"> 2008). </w:t>
      </w:r>
      <w:r w:rsidR="00B43636" w:rsidRPr="00A03898">
        <w:rPr>
          <w:rFonts w:ascii="Times New Roman" w:hAnsi="Times New Roman" w:cs="Times New Roman"/>
          <w:color w:val="auto"/>
          <w:sz w:val="24"/>
          <w:szCs w:val="24"/>
          <w:lang w:val="en-GB"/>
        </w:rPr>
        <w:t>A w</w:t>
      </w:r>
      <w:r w:rsidR="00684964" w:rsidRPr="00A03898">
        <w:rPr>
          <w:rFonts w:ascii="Times New Roman" w:hAnsi="Times New Roman" w:cs="Times New Roman"/>
          <w:color w:val="auto"/>
          <w:sz w:val="24"/>
          <w:szCs w:val="24"/>
          <w:lang w:val="en-GB"/>
        </w:rPr>
        <w:t>ider customer base of common market enhances such effects</w:t>
      </w:r>
      <w:r w:rsidR="005330CA" w:rsidRPr="00A03898">
        <w:rPr>
          <w:rFonts w:ascii="Times New Roman" w:hAnsi="Times New Roman" w:cs="Times New Roman"/>
          <w:color w:val="auto"/>
          <w:sz w:val="24"/>
          <w:szCs w:val="24"/>
          <w:lang w:val="en-GB"/>
        </w:rPr>
        <w:t>,</w:t>
      </w:r>
      <w:r w:rsidR="00684964" w:rsidRPr="00A03898">
        <w:rPr>
          <w:rFonts w:ascii="Times New Roman" w:hAnsi="Times New Roman" w:cs="Times New Roman"/>
          <w:color w:val="auto"/>
          <w:sz w:val="24"/>
          <w:szCs w:val="24"/>
          <w:lang w:val="en-GB"/>
        </w:rPr>
        <w:t xml:space="preserve"> as integration assumes </w:t>
      </w:r>
      <w:r w:rsidR="00A7118D" w:rsidRPr="00A03898">
        <w:rPr>
          <w:rFonts w:ascii="Times New Roman" w:hAnsi="Times New Roman" w:cs="Times New Roman"/>
          <w:color w:val="auto"/>
          <w:sz w:val="24"/>
          <w:szCs w:val="24"/>
          <w:lang w:val="en-GB"/>
        </w:rPr>
        <w:t>presence</w:t>
      </w:r>
      <w:r w:rsidR="00684964" w:rsidRPr="00A03898">
        <w:rPr>
          <w:rFonts w:ascii="Times New Roman" w:hAnsi="Times New Roman" w:cs="Times New Roman"/>
          <w:color w:val="auto"/>
          <w:sz w:val="24"/>
          <w:szCs w:val="24"/>
          <w:lang w:val="en-GB"/>
        </w:rPr>
        <w:t xml:space="preserve"> of greater social and cultural proximity between agents and the absence of trade barriers. Exporting also provides learning-by-exporting effect (Wagner 2012; </w:t>
      </w:r>
      <w:proofErr w:type="spellStart"/>
      <w:r w:rsidR="00684964" w:rsidRPr="00A03898">
        <w:rPr>
          <w:rFonts w:ascii="Times New Roman" w:hAnsi="Times New Roman" w:cs="Times New Roman"/>
          <w:color w:val="auto"/>
          <w:sz w:val="24"/>
          <w:szCs w:val="24"/>
          <w:lang w:val="en-GB"/>
        </w:rPr>
        <w:t>Ipinnaiye</w:t>
      </w:r>
      <w:proofErr w:type="spellEnd"/>
      <w:r w:rsidR="00684964" w:rsidRPr="00A03898">
        <w:rPr>
          <w:rFonts w:ascii="Times New Roman" w:hAnsi="Times New Roman" w:cs="Times New Roman"/>
          <w:color w:val="auto"/>
          <w:sz w:val="24"/>
          <w:szCs w:val="24"/>
          <w:lang w:val="en-GB"/>
        </w:rPr>
        <w:t xml:space="preserve"> et al. 2017) that may be magnified within common market due to previously described proximities. New firm formation may also be triggered by enhanced innovative potentials and new knowledge spillovers on the larger markets (</w:t>
      </w:r>
      <w:proofErr w:type="spellStart"/>
      <w:r w:rsidR="00684964" w:rsidRPr="00A03898">
        <w:rPr>
          <w:rFonts w:ascii="Times New Roman" w:hAnsi="Times New Roman" w:cs="Times New Roman"/>
          <w:color w:val="auto"/>
          <w:sz w:val="24"/>
          <w:szCs w:val="24"/>
          <w:lang w:val="en-GB"/>
        </w:rPr>
        <w:t>Tarabar</w:t>
      </w:r>
      <w:proofErr w:type="spellEnd"/>
      <w:r w:rsidR="00684964" w:rsidRPr="00A03898">
        <w:rPr>
          <w:rFonts w:ascii="Times New Roman" w:hAnsi="Times New Roman" w:cs="Times New Roman"/>
          <w:color w:val="auto"/>
          <w:sz w:val="24"/>
          <w:szCs w:val="24"/>
          <w:lang w:val="en-GB"/>
        </w:rPr>
        <w:t xml:space="preserve"> 2018). </w:t>
      </w:r>
    </w:p>
    <w:p w14:paraId="38FD81D5" w14:textId="44AF4D15" w:rsidR="00684964" w:rsidRPr="00A03898" w:rsidRDefault="00684964" w:rsidP="00314A35">
      <w:pPr>
        <w:pStyle w:val="Body"/>
        <w:spacing w:line="360" w:lineRule="auto"/>
        <w:ind w:firstLine="708"/>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 xml:space="preserve">Imports from common EU market is the second channel that </w:t>
      </w:r>
      <w:r w:rsidR="00B33EB7" w:rsidRPr="00A03898">
        <w:rPr>
          <w:rFonts w:ascii="Times New Roman" w:hAnsi="Times New Roman" w:cs="Times New Roman"/>
          <w:color w:val="auto"/>
          <w:sz w:val="24"/>
          <w:szCs w:val="24"/>
          <w:lang w:val="en-GB"/>
        </w:rPr>
        <w:t xml:space="preserve">might </w:t>
      </w:r>
      <w:r w:rsidRPr="00A03898">
        <w:rPr>
          <w:rFonts w:ascii="Times New Roman" w:hAnsi="Times New Roman" w:cs="Times New Roman"/>
          <w:color w:val="auto"/>
          <w:sz w:val="24"/>
          <w:szCs w:val="24"/>
          <w:lang w:val="en-GB"/>
        </w:rPr>
        <w:t xml:space="preserve">influence local business dynamics. Imports are </w:t>
      </w:r>
      <w:r w:rsidR="00410CF1" w:rsidRPr="00A03898">
        <w:rPr>
          <w:rFonts w:ascii="Times New Roman" w:hAnsi="Times New Roman" w:cs="Times New Roman"/>
          <w:color w:val="auto"/>
          <w:sz w:val="24"/>
          <w:szCs w:val="24"/>
          <w:lang w:val="en-GB"/>
        </w:rPr>
        <w:t xml:space="preserve">an </w:t>
      </w:r>
      <w:r w:rsidRPr="00A03898">
        <w:rPr>
          <w:rFonts w:ascii="Times New Roman" w:hAnsi="Times New Roman" w:cs="Times New Roman"/>
          <w:color w:val="auto"/>
          <w:sz w:val="24"/>
          <w:szCs w:val="24"/>
          <w:lang w:val="en-GB"/>
        </w:rPr>
        <w:t>important driver of knowledge and technology transfer (Wagner 2012), which contributes to firms’ growth and new firm formation as well (</w:t>
      </w:r>
      <w:proofErr w:type="spellStart"/>
      <w:r w:rsidRPr="00A03898">
        <w:rPr>
          <w:rFonts w:ascii="Times New Roman" w:hAnsi="Times New Roman" w:cs="Times New Roman"/>
          <w:color w:val="auto"/>
          <w:sz w:val="24"/>
          <w:szCs w:val="24"/>
          <w:lang w:val="en-GB"/>
        </w:rPr>
        <w:t>Acs</w:t>
      </w:r>
      <w:proofErr w:type="spellEnd"/>
      <w:r w:rsidRPr="00A03898">
        <w:rPr>
          <w:rFonts w:ascii="Times New Roman" w:hAnsi="Times New Roman" w:cs="Times New Roman"/>
          <w:color w:val="auto"/>
          <w:sz w:val="24"/>
          <w:szCs w:val="24"/>
          <w:lang w:val="en-GB"/>
        </w:rPr>
        <w:t xml:space="preserve"> et al. 2009). Importing in countries such as CEE enables</w:t>
      </w:r>
      <w:r w:rsidR="00410CF1" w:rsidRPr="00A03898">
        <w:rPr>
          <w:rFonts w:ascii="Times New Roman" w:hAnsi="Times New Roman" w:cs="Times New Roman"/>
          <w:color w:val="auto"/>
          <w:sz w:val="24"/>
          <w:szCs w:val="24"/>
          <w:lang w:val="en-GB"/>
        </w:rPr>
        <w:t xml:space="preserve"> the</w:t>
      </w:r>
      <w:r w:rsidRPr="00A03898">
        <w:rPr>
          <w:rFonts w:ascii="Times New Roman" w:hAnsi="Times New Roman" w:cs="Times New Roman"/>
          <w:color w:val="auto"/>
          <w:sz w:val="24"/>
          <w:szCs w:val="24"/>
          <w:lang w:val="en-GB"/>
        </w:rPr>
        <w:t xml:space="preserve"> use of higher quality foreign inputs than local ones, </w:t>
      </w:r>
      <w:r w:rsidR="00410CF1"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 xml:space="preserve">adoption of higher quality standards and </w:t>
      </w:r>
      <w:r w:rsidR="00410CF1"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extraction of technology embodied in imported intermediates and capital goods</w:t>
      </w:r>
      <w:r w:rsidR="00C01745" w:rsidRPr="00A03898">
        <w:rPr>
          <w:rFonts w:ascii="Times New Roman" w:hAnsi="Times New Roman" w:cs="Times New Roman"/>
          <w:color w:val="auto"/>
          <w:sz w:val="24"/>
          <w:szCs w:val="24"/>
          <w:lang w:val="en-GB"/>
        </w:rPr>
        <w:t xml:space="preserve"> </w:t>
      </w:r>
      <w:r w:rsidRPr="00A03898">
        <w:rPr>
          <w:rFonts w:ascii="Times New Roman" w:hAnsi="Times New Roman" w:cs="Times New Roman"/>
          <w:color w:val="auto"/>
          <w:sz w:val="24"/>
          <w:szCs w:val="24"/>
          <w:lang w:val="en-GB"/>
        </w:rPr>
        <w:t xml:space="preserve">(Wagner 2012; </w:t>
      </w:r>
      <w:proofErr w:type="spellStart"/>
      <w:r w:rsidRPr="00A03898">
        <w:rPr>
          <w:rFonts w:ascii="Times New Roman" w:hAnsi="Times New Roman" w:cs="Times New Roman"/>
          <w:color w:val="auto"/>
          <w:sz w:val="24"/>
          <w:szCs w:val="24"/>
          <w:lang w:val="en-GB"/>
        </w:rPr>
        <w:t>Ipinnaiye</w:t>
      </w:r>
      <w:proofErr w:type="spellEnd"/>
      <w:r w:rsidRPr="00A03898">
        <w:rPr>
          <w:rFonts w:ascii="Times New Roman" w:hAnsi="Times New Roman" w:cs="Times New Roman"/>
          <w:color w:val="auto"/>
          <w:sz w:val="24"/>
          <w:szCs w:val="24"/>
          <w:lang w:val="en-GB"/>
        </w:rPr>
        <w:t xml:space="preserve"> et al. 2017). While these effects are common to trade between most pairs of partners, they are likely to be more pronounced within economic integration due to </w:t>
      </w:r>
      <w:r w:rsidR="00410CF1"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absence of impediments to imports and previously described proximities between agents. Furthermore, if trade complementarities in a sector are rising as a result of increasing sourcing of intermediates from abroad,</w:t>
      </w:r>
      <w:r w:rsidR="00410CF1" w:rsidRPr="00A03898">
        <w:rPr>
          <w:rFonts w:ascii="Times New Roman" w:hAnsi="Times New Roman" w:cs="Times New Roman"/>
          <w:color w:val="auto"/>
          <w:sz w:val="24"/>
          <w:szCs w:val="24"/>
          <w:lang w:val="en-GB"/>
        </w:rPr>
        <w:t xml:space="preserve"> then</w:t>
      </w:r>
      <w:r w:rsidRPr="00A03898">
        <w:rPr>
          <w:rFonts w:ascii="Times New Roman" w:hAnsi="Times New Roman" w:cs="Times New Roman"/>
          <w:color w:val="auto"/>
          <w:sz w:val="24"/>
          <w:szCs w:val="24"/>
          <w:lang w:val="en-GB"/>
        </w:rPr>
        <w:t xml:space="preserve"> relatively more new businesses are formed (</w:t>
      </w:r>
      <w:proofErr w:type="spellStart"/>
      <w:r w:rsidRPr="00A03898">
        <w:rPr>
          <w:rFonts w:ascii="Times New Roman" w:hAnsi="Times New Roman" w:cs="Times New Roman"/>
          <w:color w:val="auto"/>
          <w:sz w:val="24"/>
          <w:szCs w:val="24"/>
          <w:lang w:val="en-GB"/>
        </w:rPr>
        <w:t>Colantone</w:t>
      </w:r>
      <w:proofErr w:type="spellEnd"/>
      <w:r w:rsidRPr="00A03898">
        <w:rPr>
          <w:rFonts w:ascii="Times New Roman" w:hAnsi="Times New Roman" w:cs="Times New Roman"/>
          <w:color w:val="auto"/>
          <w:sz w:val="24"/>
          <w:szCs w:val="24"/>
          <w:lang w:val="en-GB"/>
        </w:rPr>
        <w:t xml:space="preserve"> and </w:t>
      </w:r>
      <w:proofErr w:type="spellStart"/>
      <w:r w:rsidRPr="00A03898">
        <w:rPr>
          <w:rFonts w:ascii="Times New Roman" w:hAnsi="Times New Roman" w:cs="Times New Roman"/>
          <w:color w:val="auto"/>
          <w:sz w:val="24"/>
          <w:szCs w:val="24"/>
          <w:lang w:val="en-GB"/>
        </w:rPr>
        <w:t>Sleuwaegen</w:t>
      </w:r>
      <w:proofErr w:type="spellEnd"/>
      <w:r w:rsidRPr="00A03898">
        <w:rPr>
          <w:rFonts w:ascii="Times New Roman" w:hAnsi="Times New Roman" w:cs="Times New Roman"/>
          <w:color w:val="auto"/>
          <w:sz w:val="24"/>
          <w:szCs w:val="24"/>
          <w:lang w:val="en-GB"/>
        </w:rPr>
        <w:t xml:space="preserve"> 2008).</w:t>
      </w:r>
    </w:p>
    <w:p w14:paraId="4445E261" w14:textId="77777777" w:rsidR="00684964" w:rsidRPr="00A03898" w:rsidRDefault="00684964" w:rsidP="00684964">
      <w:pPr>
        <w:pStyle w:val="Body"/>
        <w:spacing w:line="360" w:lineRule="auto"/>
        <w:jc w:val="both"/>
        <w:rPr>
          <w:rFonts w:ascii="Times New Roman" w:hAnsi="Times New Roman" w:cs="Times New Roman"/>
          <w:i/>
          <w:iCs/>
          <w:color w:val="auto"/>
          <w:sz w:val="24"/>
          <w:szCs w:val="24"/>
          <w:lang w:val="en-GB"/>
        </w:rPr>
      </w:pPr>
      <w:r w:rsidRPr="00A03898">
        <w:rPr>
          <w:rFonts w:ascii="Times New Roman" w:hAnsi="Times New Roman" w:cs="Times New Roman"/>
          <w:i/>
          <w:iCs/>
          <w:color w:val="auto"/>
          <w:sz w:val="24"/>
          <w:szCs w:val="24"/>
          <w:lang w:val="en-GB"/>
        </w:rPr>
        <w:t xml:space="preserve">H1: Diversion of exports (H1a) and imports (H1b) of final and intermediate products to the EU market increases the share of new businesses and high-growth firms in the total population of enterprises in CEE countries. </w:t>
      </w:r>
    </w:p>
    <w:p w14:paraId="71DE45EE" w14:textId="5645527D" w:rsidR="00F503DC" w:rsidRPr="00A03898" w:rsidRDefault="00684964" w:rsidP="00E75D32">
      <w:pPr>
        <w:pStyle w:val="Body"/>
        <w:spacing w:line="360" w:lineRule="auto"/>
        <w:ind w:firstLine="708"/>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Integrations create opportunities for start-ups and high growth firms also through participation in global value chains of industries from their member states. Commonly, two channels of GVC integration are distinguished as b</w:t>
      </w:r>
      <w:r w:rsidR="00C01745" w:rsidRPr="00A03898">
        <w:rPr>
          <w:rFonts w:ascii="Times New Roman" w:hAnsi="Times New Roman" w:cs="Times New Roman"/>
          <w:color w:val="auto"/>
          <w:sz w:val="24"/>
          <w:szCs w:val="24"/>
          <w:lang w:val="en-GB"/>
        </w:rPr>
        <w:t>ackward and forward ones (Banga</w:t>
      </w:r>
      <w:r w:rsidR="00F503DC" w:rsidRPr="00A03898">
        <w:rPr>
          <w:rFonts w:ascii="Times New Roman" w:hAnsi="Times New Roman" w:cs="Times New Roman"/>
          <w:color w:val="auto"/>
          <w:sz w:val="24"/>
          <w:szCs w:val="24"/>
          <w:lang w:val="en-GB"/>
        </w:rPr>
        <w:t xml:space="preserve"> 2013; </w:t>
      </w:r>
      <w:proofErr w:type="spellStart"/>
      <w:r w:rsidR="00F503DC" w:rsidRPr="00A03898">
        <w:rPr>
          <w:rFonts w:ascii="Times New Roman" w:hAnsi="Times New Roman" w:cs="Times New Roman"/>
          <w:color w:val="auto"/>
          <w:sz w:val="24"/>
          <w:szCs w:val="24"/>
          <w:lang w:val="en-GB"/>
        </w:rPr>
        <w:t>Fauceglia</w:t>
      </w:r>
      <w:proofErr w:type="spellEnd"/>
      <w:r w:rsidR="00F503DC" w:rsidRPr="00A03898">
        <w:rPr>
          <w:rFonts w:ascii="Times New Roman" w:hAnsi="Times New Roman" w:cs="Times New Roman"/>
          <w:color w:val="auto"/>
          <w:sz w:val="24"/>
          <w:szCs w:val="24"/>
          <w:lang w:val="en-GB"/>
        </w:rPr>
        <w:t xml:space="preserve"> et al.</w:t>
      </w:r>
      <w:r w:rsidRPr="00A03898">
        <w:rPr>
          <w:rFonts w:ascii="Times New Roman" w:hAnsi="Times New Roman" w:cs="Times New Roman"/>
          <w:color w:val="auto"/>
          <w:sz w:val="24"/>
          <w:szCs w:val="24"/>
          <w:lang w:val="en-GB"/>
        </w:rPr>
        <w:t xml:space="preserve"> 2018). Backward channel refers to the integration of foreign producers into exports of indigenous industries. It is characterised by </w:t>
      </w:r>
      <w:r w:rsidR="00B24900" w:rsidRPr="00A03898">
        <w:rPr>
          <w:rFonts w:ascii="Times New Roman" w:hAnsi="Times New Roman" w:cs="Times New Roman"/>
          <w:color w:val="auto"/>
          <w:sz w:val="24"/>
          <w:szCs w:val="24"/>
          <w:lang w:val="en-GB"/>
        </w:rPr>
        <w:t xml:space="preserve">a </w:t>
      </w:r>
      <w:r w:rsidRPr="00A03898">
        <w:rPr>
          <w:rFonts w:ascii="Times New Roman" w:hAnsi="Times New Roman" w:cs="Times New Roman"/>
          <w:color w:val="auto"/>
          <w:sz w:val="24"/>
          <w:szCs w:val="24"/>
          <w:lang w:val="en-GB"/>
        </w:rPr>
        <w:t xml:space="preserve">relatively high share of foreign value added embodied in domestic exports and typical for advancing countries whose producers perform standardised segments of production within value chains. The entrepreneurial opportunities within backward GVC integration arise from the access to the larger variety and quality of foreign inputs, demonstration effects and improvements in technological </w:t>
      </w:r>
      <w:r w:rsidRPr="00A03898">
        <w:rPr>
          <w:rFonts w:ascii="Times New Roman" w:hAnsi="Times New Roman" w:cs="Times New Roman"/>
          <w:color w:val="auto"/>
          <w:sz w:val="24"/>
          <w:szCs w:val="24"/>
          <w:lang w:val="en-GB"/>
        </w:rPr>
        <w:lastRenderedPageBreak/>
        <w:t>sophistication of domestic expo</w:t>
      </w:r>
      <w:r w:rsidR="00F503DC" w:rsidRPr="00A03898">
        <w:rPr>
          <w:rFonts w:ascii="Times New Roman" w:hAnsi="Times New Roman" w:cs="Times New Roman"/>
          <w:color w:val="auto"/>
          <w:sz w:val="24"/>
          <w:szCs w:val="24"/>
          <w:lang w:val="en-GB"/>
        </w:rPr>
        <w:t xml:space="preserve">rters (Gehl </w:t>
      </w:r>
      <w:r w:rsidR="0044657E" w:rsidRPr="00A03898">
        <w:rPr>
          <w:rFonts w:ascii="Times New Roman" w:hAnsi="Times New Roman" w:cs="Times New Roman"/>
          <w:color w:val="auto"/>
          <w:sz w:val="24"/>
          <w:szCs w:val="24"/>
          <w:lang w:val="en-GB"/>
        </w:rPr>
        <w:t xml:space="preserve">et al. </w:t>
      </w:r>
      <w:r w:rsidRPr="00A03898">
        <w:rPr>
          <w:rFonts w:ascii="Times New Roman" w:hAnsi="Times New Roman" w:cs="Times New Roman"/>
          <w:color w:val="auto"/>
          <w:sz w:val="24"/>
          <w:szCs w:val="24"/>
          <w:lang w:val="en-GB"/>
        </w:rPr>
        <w:t xml:space="preserve">2018). Forward integration in GVC takes place through the embodiment of the domestic value-added to the exports of the other countries. As such it implies climbing along ladders of quality and technological sophistication as well as </w:t>
      </w:r>
      <w:r w:rsidR="00F503DC" w:rsidRPr="00A03898">
        <w:rPr>
          <w:rFonts w:ascii="Times New Roman" w:hAnsi="Times New Roman" w:cs="Times New Roman"/>
          <w:color w:val="auto"/>
          <w:sz w:val="24"/>
          <w:szCs w:val="24"/>
          <w:lang w:val="en-GB"/>
        </w:rPr>
        <w:t xml:space="preserve">the demand for domestic inputs </w:t>
      </w:r>
      <w:r w:rsidRPr="00A03898">
        <w:rPr>
          <w:rFonts w:ascii="Times New Roman" w:hAnsi="Times New Roman" w:cs="Times New Roman"/>
          <w:color w:val="auto"/>
          <w:sz w:val="24"/>
          <w:szCs w:val="24"/>
          <w:lang w:val="en-GB"/>
        </w:rPr>
        <w:t>that opens opportunities for</w:t>
      </w:r>
      <w:r w:rsidR="00F503DC" w:rsidRPr="00A03898">
        <w:rPr>
          <w:rFonts w:ascii="Times New Roman" w:hAnsi="Times New Roman" w:cs="Times New Roman"/>
          <w:color w:val="auto"/>
          <w:sz w:val="24"/>
          <w:szCs w:val="24"/>
          <w:lang w:val="en-GB"/>
        </w:rPr>
        <w:t xml:space="preserve"> growth and entry (</w:t>
      </w:r>
      <w:proofErr w:type="spellStart"/>
      <w:r w:rsidR="00F503DC" w:rsidRPr="00A03898">
        <w:rPr>
          <w:rFonts w:ascii="Times New Roman" w:hAnsi="Times New Roman" w:cs="Times New Roman"/>
          <w:color w:val="auto"/>
          <w:sz w:val="24"/>
          <w:szCs w:val="24"/>
          <w:lang w:val="en-GB"/>
        </w:rPr>
        <w:t>Vrh</w:t>
      </w:r>
      <w:proofErr w:type="spellEnd"/>
      <w:r w:rsidR="00F503DC" w:rsidRPr="00A03898">
        <w:rPr>
          <w:rFonts w:ascii="Times New Roman" w:hAnsi="Times New Roman" w:cs="Times New Roman"/>
          <w:color w:val="auto"/>
          <w:sz w:val="24"/>
          <w:szCs w:val="24"/>
          <w:lang w:val="en-GB"/>
        </w:rPr>
        <w:t xml:space="preserve"> 2018).</w:t>
      </w:r>
    </w:p>
    <w:p w14:paraId="396E9983" w14:textId="17D26DCA" w:rsidR="00E66261" w:rsidRPr="00A03898" w:rsidRDefault="000770CE" w:rsidP="00E66261">
      <w:pPr>
        <w:pStyle w:val="Body"/>
        <w:spacing w:line="360" w:lineRule="auto"/>
        <w:ind w:firstLine="708"/>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 xml:space="preserve">While being argued in theoretical and empirical literature, the beneficial effects of GVC participation are not always warranted for at least two reasons. Lee (2019) provides examples of technologically superior organizations being reluctant to disclose and share their strategically important knowledge to the upstream and downstream firms within the same market even in cases when high social, cultural, institutional and cognitive proximity of common market create space for such flow of resources to take place. Along similar lines, Alfaro et al. (2019) develop and empirically test the model that shows how contractual frictions, the productivity of final goods and the position of inputs in the GVC ladder may act as barriers to </w:t>
      </w:r>
      <w:r w:rsidR="00D22B0C"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 xml:space="preserve">transfer of knowledge between entities in GVC. </w:t>
      </w:r>
      <w:r w:rsidR="00D70BE6" w:rsidRPr="00A03898">
        <w:rPr>
          <w:rFonts w:ascii="Times New Roman" w:hAnsi="Times New Roman" w:cs="Times New Roman"/>
          <w:color w:val="auto"/>
          <w:sz w:val="24"/>
          <w:szCs w:val="24"/>
          <w:lang w:val="en-GB"/>
        </w:rPr>
        <w:t>Analyses also show that technological changes tend to spillover differently</w:t>
      </w:r>
      <w:r w:rsidR="00D22B0C" w:rsidRPr="00A03898">
        <w:rPr>
          <w:rFonts w:ascii="Times New Roman" w:hAnsi="Times New Roman" w:cs="Times New Roman"/>
          <w:color w:val="auto"/>
          <w:sz w:val="24"/>
          <w:szCs w:val="24"/>
          <w:lang w:val="en-GB"/>
        </w:rPr>
        <w:t>,</w:t>
      </w:r>
      <w:r w:rsidR="00D70BE6" w:rsidRPr="00A03898">
        <w:rPr>
          <w:rFonts w:ascii="Times New Roman" w:hAnsi="Times New Roman" w:cs="Times New Roman"/>
          <w:color w:val="auto"/>
          <w:sz w:val="24"/>
          <w:szCs w:val="24"/>
          <w:lang w:val="en-GB"/>
        </w:rPr>
        <w:t xml:space="preserve"> depending on the position of firms in the chain (</w:t>
      </w:r>
      <w:r w:rsidR="00E66261" w:rsidRPr="00A03898">
        <w:rPr>
          <w:rFonts w:ascii="Times New Roman" w:hAnsi="Times New Roman" w:cs="Times New Roman"/>
          <w:color w:val="auto"/>
          <w:sz w:val="24"/>
          <w:szCs w:val="24"/>
          <w:lang w:val="en-GB"/>
        </w:rPr>
        <w:t>Giovannetti et al.</w:t>
      </w:r>
      <w:r w:rsidR="00D70BE6" w:rsidRPr="00A03898">
        <w:rPr>
          <w:rFonts w:ascii="Times New Roman" w:hAnsi="Times New Roman" w:cs="Times New Roman"/>
          <w:color w:val="auto"/>
          <w:sz w:val="24"/>
          <w:szCs w:val="24"/>
          <w:lang w:val="en-GB"/>
        </w:rPr>
        <w:t xml:space="preserve"> 2015). </w:t>
      </w:r>
    </w:p>
    <w:p w14:paraId="79543C9F" w14:textId="12B63774" w:rsidR="00D70BE6" w:rsidRPr="00A03898" w:rsidRDefault="00D70BE6" w:rsidP="00E66261">
      <w:pPr>
        <w:pStyle w:val="Body"/>
        <w:spacing w:line="360" w:lineRule="auto"/>
        <w:ind w:firstLine="708"/>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GVC analyses have argued that value chains could offer local firms from advancing countries the access to new markets, new technologies, provide them the opportunity for learning, and specialization in niche product categories (</w:t>
      </w:r>
      <w:proofErr w:type="spellStart"/>
      <w:r w:rsidRPr="00A03898">
        <w:rPr>
          <w:rFonts w:ascii="Times New Roman" w:hAnsi="Times New Roman" w:cs="Times New Roman"/>
          <w:color w:val="auto"/>
          <w:sz w:val="24"/>
          <w:szCs w:val="24"/>
          <w:lang w:val="en-GB"/>
        </w:rPr>
        <w:t>Pietrobelli</w:t>
      </w:r>
      <w:proofErr w:type="spellEnd"/>
      <w:r w:rsidRPr="00A03898">
        <w:rPr>
          <w:rFonts w:ascii="Times New Roman" w:hAnsi="Times New Roman" w:cs="Times New Roman"/>
          <w:color w:val="auto"/>
          <w:sz w:val="24"/>
          <w:szCs w:val="24"/>
          <w:lang w:val="en-GB"/>
        </w:rPr>
        <w:t xml:space="preserve"> 2008; Mohr et al. 2014; Gehl </w:t>
      </w:r>
      <w:r w:rsidR="00E044CD" w:rsidRPr="00A03898">
        <w:rPr>
          <w:rFonts w:ascii="Times New Roman" w:hAnsi="Times New Roman" w:cs="Times New Roman"/>
          <w:color w:val="auto"/>
          <w:sz w:val="24"/>
          <w:szCs w:val="24"/>
          <w:lang w:val="en-GB"/>
        </w:rPr>
        <w:t xml:space="preserve">et al. </w:t>
      </w:r>
      <w:r w:rsidRPr="00A03898">
        <w:rPr>
          <w:rFonts w:ascii="Times New Roman" w:hAnsi="Times New Roman" w:cs="Times New Roman"/>
          <w:color w:val="auto"/>
          <w:sz w:val="24"/>
          <w:szCs w:val="24"/>
          <w:lang w:val="en-GB"/>
        </w:rPr>
        <w:t>2018). GVC may also provide opportunities for various spillovers from foreign to domestic firms. Several studies also show that HGFs have a larger degree of integration in GVC (Mason and Brown 2010; Mohr et al. 2014</w:t>
      </w:r>
      <w:r w:rsidR="00E66261" w:rsidRPr="00A03898">
        <w:rPr>
          <w:rFonts w:ascii="Times New Roman" w:hAnsi="Times New Roman" w:cs="Times New Roman"/>
          <w:color w:val="auto"/>
          <w:sz w:val="24"/>
          <w:szCs w:val="24"/>
          <w:lang w:val="en-GB"/>
        </w:rPr>
        <w:t>; Segarra-</w:t>
      </w:r>
      <w:proofErr w:type="spellStart"/>
      <w:r w:rsidR="00E66261" w:rsidRPr="00A03898">
        <w:rPr>
          <w:rFonts w:ascii="Times New Roman" w:hAnsi="Times New Roman" w:cs="Times New Roman"/>
          <w:color w:val="auto"/>
          <w:sz w:val="24"/>
          <w:szCs w:val="24"/>
          <w:lang w:val="en-GB"/>
        </w:rPr>
        <w:t>Blasco</w:t>
      </w:r>
      <w:proofErr w:type="spellEnd"/>
      <w:r w:rsidR="00E66261" w:rsidRPr="00A03898">
        <w:rPr>
          <w:rFonts w:ascii="Times New Roman" w:hAnsi="Times New Roman" w:cs="Times New Roman"/>
          <w:color w:val="auto"/>
          <w:sz w:val="24"/>
          <w:szCs w:val="24"/>
          <w:lang w:val="en-GB"/>
        </w:rPr>
        <w:t xml:space="preserve"> et al. 2018).</w:t>
      </w:r>
    </w:p>
    <w:p w14:paraId="6C0CD8EB" w14:textId="79C9F664" w:rsidR="00684964" w:rsidRPr="00A03898" w:rsidRDefault="00684964" w:rsidP="00684964">
      <w:pPr>
        <w:pStyle w:val="Body"/>
        <w:spacing w:line="360" w:lineRule="auto"/>
        <w:jc w:val="both"/>
        <w:rPr>
          <w:rFonts w:ascii="Times New Roman" w:hAnsi="Times New Roman" w:cs="Times New Roman"/>
          <w:i/>
          <w:iCs/>
          <w:color w:val="auto"/>
          <w:sz w:val="24"/>
          <w:szCs w:val="24"/>
          <w:lang w:val="en-GB"/>
        </w:rPr>
      </w:pPr>
      <w:r w:rsidRPr="00A03898">
        <w:rPr>
          <w:rFonts w:ascii="Times New Roman" w:hAnsi="Times New Roman" w:cs="Times New Roman"/>
          <w:i/>
          <w:iCs/>
          <w:color w:val="auto"/>
          <w:sz w:val="24"/>
          <w:szCs w:val="24"/>
          <w:lang w:val="en-GB"/>
        </w:rPr>
        <w:t xml:space="preserve">H2: Forward (H2a) and backward (H2b) participation in the EU GVC increase share of new businesses and high-growth firms in the total population of enterprises in CEECs countries. </w:t>
      </w:r>
    </w:p>
    <w:p w14:paraId="19031E55" w14:textId="41D9CCD6" w:rsidR="00684964" w:rsidRPr="00A03898" w:rsidRDefault="00684964" w:rsidP="0009778A">
      <w:pPr>
        <w:pStyle w:val="Body"/>
        <w:spacing w:line="360" w:lineRule="auto"/>
        <w:ind w:firstLine="708"/>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 xml:space="preserve">As pointed earlier, one of </w:t>
      </w:r>
      <w:r w:rsidR="00D70BE6"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open issues in analyses of start-ups and HGFs is the role of technological intensity (</w:t>
      </w:r>
      <w:proofErr w:type="spellStart"/>
      <w:r w:rsidRPr="00A03898">
        <w:rPr>
          <w:rFonts w:ascii="Times New Roman" w:hAnsi="Times New Roman" w:cs="Times New Roman"/>
          <w:color w:val="auto"/>
          <w:sz w:val="24"/>
          <w:szCs w:val="24"/>
          <w:lang w:val="en-GB"/>
        </w:rPr>
        <w:t>Almus</w:t>
      </w:r>
      <w:proofErr w:type="spellEnd"/>
      <w:r w:rsidRPr="00A03898">
        <w:rPr>
          <w:rFonts w:ascii="Times New Roman" w:hAnsi="Times New Roman" w:cs="Times New Roman"/>
          <w:color w:val="auto"/>
          <w:sz w:val="24"/>
          <w:szCs w:val="24"/>
          <w:lang w:val="en-GB"/>
        </w:rPr>
        <w:t xml:space="preserve"> and </w:t>
      </w:r>
      <w:proofErr w:type="spellStart"/>
      <w:r w:rsidRPr="00A03898">
        <w:rPr>
          <w:rFonts w:ascii="Times New Roman" w:hAnsi="Times New Roman" w:cs="Times New Roman"/>
          <w:color w:val="auto"/>
          <w:sz w:val="24"/>
          <w:szCs w:val="24"/>
          <w:lang w:val="en-GB"/>
        </w:rPr>
        <w:t>Nerlinger</w:t>
      </w:r>
      <w:proofErr w:type="spellEnd"/>
      <w:r w:rsidRPr="00A03898">
        <w:rPr>
          <w:rFonts w:ascii="Times New Roman" w:hAnsi="Times New Roman" w:cs="Times New Roman"/>
          <w:color w:val="auto"/>
          <w:sz w:val="24"/>
          <w:szCs w:val="24"/>
          <w:lang w:val="en-GB"/>
        </w:rPr>
        <w:t xml:space="preserve"> 2000; </w:t>
      </w:r>
      <w:proofErr w:type="spellStart"/>
      <w:r w:rsidRPr="00A03898">
        <w:rPr>
          <w:rFonts w:ascii="Times New Roman" w:hAnsi="Times New Roman" w:cs="Times New Roman"/>
          <w:color w:val="auto"/>
          <w:sz w:val="24"/>
          <w:szCs w:val="24"/>
          <w:lang w:val="en-GB"/>
        </w:rPr>
        <w:t>H</w:t>
      </w:r>
      <w:r w:rsidR="00A257AB" w:rsidRPr="00A03898">
        <w:rPr>
          <w:color w:val="auto"/>
          <w:lang w:val="en-GB"/>
        </w:rPr>
        <w:t>ö</w:t>
      </w:r>
      <w:r w:rsidRPr="00A03898">
        <w:rPr>
          <w:rFonts w:ascii="Times New Roman" w:hAnsi="Times New Roman" w:cs="Times New Roman"/>
          <w:color w:val="auto"/>
          <w:sz w:val="24"/>
          <w:szCs w:val="24"/>
          <w:lang w:val="en-GB"/>
        </w:rPr>
        <w:t>lzl</w:t>
      </w:r>
      <w:proofErr w:type="spellEnd"/>
      <w:r w:rsidRPr="00A03898">
        <w:rPr>
          <w:rFonts w:ascii="Times New Roman" w:hAnsi="Times New Roman" w:cs="Times New Roman"/>
          <w:color w:val="auto"/>
          <w:sz w:val="24"/>
          <w:szCs w:val="24"/>
          <w:lang w:val="en-GB"/>
        </w:rPr>
        <w:t xml:space="preserve"> 2009; </w:t>
      </w:r>
      <w:proofErr w:type="spellStart"/>
      <w:r w:rsidRPr="00A03898">
        <w:rPr>
          <w:rFonts w:ascii="Times New Roman" w:hAnsi="Times New Roman" w:cs="Times New Roman"/>
          <w:color w:val="auto"/>
          <w:sz w:val="24"/>
          <w:szCs w:val="24"/>
          <w:lang w:val="en-GB"/>
        </w:rPr>
        <w:t>Duand</w:t>
      </w:r>
      <w:proofErr w:type="spellEnd"/>
      <w:r w:rsidRPr="00A03898">
        <w:rPr>
          <w:rFonts w:ascii="Times New Roman" w:hAnsi="Times New Roman" w:cs="Times New Roman"/>
          <w:color w:val="auto"/>
          <w:sz w:val="24"/>
          <w:szCs w:val="24"/>
          <w:lang w:val="en-GB"/>
        </w:rPr>
        <w:t xml:space="preserve"> </w:t>
      </w:r>
      <w:proofErr w:type="spellStart"/>
      <w:r w:rsidRPr="00A03898">
        <w:rPr>
          <w:rFonts w:ascii="Times New Roman" w:hAnsi="Times New Roman" w:cs="Times New Roman"/>
          <w:color w:val="auto"/>
          <w:sz w:val="24"/>
          <w:szCs w:val="24"/>
          <w:lang w:val="en-GB"/>
        </w:rPr>
        <w:t>Temouri</w:t>
      </w:r>
      <w:proofErr w:type="spellEnd"/>
      <w:r w:rsidRPr="00A03898">
        <w:rPr>
          <w:rFonts w:ascii="Times New Roman" w:hAnsi="Times New Roman" w:cs="Times New Roman"/>
          <w:color w:val="auto"/>
          <w:sz w:val="24"/>
          <w:szCs w:val="24"/>
          <w:lang w:val="en-GB"/>
        </w:rPr>
        <w:t xml:space="preserve"> 2015; Segarra-</w:t>
      </w:r>
      <w:proofErr w:type="spellStart"/>
      <w:r w:rsidRPr="00A03898">
        <w:rPr>
          <w:rFonts w:ascii="Times New Roman" w:hAnsi="Times New Roman" w:cs="Times New Roman"/>
          <w:color w:val="auto"/>
          <w:sz w:val="24"/>
          <w:szCs w:val="24"/>
          <w:lang w:val="en-GB"/>
        </w:rPr>
        <w:t>Blasco</w:t>
      </w:r>
      <w:proofErr w:type="spellEnd"/>
      <w:r w:rsidRPr="00A03898">
        <w:rPr>
          <w:rFonts w:ascii="Times New Roman" w:hAnsi="Times New Roman" w:cs="Times New Roman"/>
          <w:color w:val="auto"/>
          <w:sz w:val="24"/>
          <w:szCs w:val="24"/>
          <w:lang w:val="en-GB"/>
        </w:rPr>
        <w:t xml:space="preserve"> et al. 2018). It appears that in advanced countries, HGFs are more R&amp;D intensive, while in advancing countries resources other than technology may be more relevant for entrepreneurial opportunities (Braga et </w:t>
      </w:r>
      <w:r w:rsidR="00DC26DD" w:rsidRPr="00A03898">
        <w:rPr>
          <w:rFonts w:ascii="Times New Roman" w:hAnsi="Times New Roman" w:cs="Times New Roman"/>
          <w:color w:val="auto"/>
          <w:sz w:val="24"/>
          <w:szCs w:val="24"/>
          <w:lang w:val="en-GB"/>
        </w:rPr>
        <w:t>al.</w:t>
      </w:r>
      <w:r w:rsidRPr="00A03898">
        <w:rPr>
          <w:rFonts w:ascii="Times New Roman" w:hAnsi="Times New Roman" w:cs="Times New Roman"/>
          <w:color w:val="auto"/>
          <w:sz w:val="24"/>
          <w:szCs w:val="24"/>
          <w:lang w:val="en-GB"/>
        </w:rPr>
        <w:t xml:space="preserve"> 2018; Segarra-</w:t>
      </w:r>
      <w:proofErr w:type="spellStart"/>
      <w:r w:rsidRPr="00A03898">
        <w:rPr>
          <w:rFonts w:ascii="Times New Roman" w:hAnsi="Times New Roman" w:cs="Times New Roman"/>
          <w:color w:val="auto"/>
          <w:sz w:val="24"/>
          <w:szCs w:val="24"/>
          <w:lang w:val="en-GB"/>
        </w:rPr>
        <w:t>Blasco</w:t>
      </w:r>
      <w:proofErr w:type="spellEnd"/>
      <w:r w:rsidRPr="00A03898">
        <w:rPr>
          <w:rFonts w:ascii="Times New Roman" w:hAnsi="Times New Roman" w:cs="Times New Roman"/>
          <w:color w:val="auto"/>
          <w:sz w:val="24"/>
          <w:szCs w:val="24"/>
          <w:lang w:val="en-GB"/>
        </w:rPr>
        <w:t xml:space="preserve"> et al. 2018). Coad and Sr</w:t>
      </w:r>
      <w:r w:rsidR="00D70BE6" w:rsidRPr="00A03898">
        <w:rPr>
          <w:rFonts w:ascii="Times New Roman" w:hAnsi="Times New Roman" w:cs="Times New Roman"/>
          <w:color w:val="auto"/>
          <w:sz w:val="24"/>
          <w:szCs w:val="24"/>
          <w:lang w:val="en-GB"/>
        </w:rPr>
        <w:t>h</w:t>
      </w:r>
      <w:r w:rsidRPr="00A03898">
        <w:rPr>
          <w:rFonts w:ascii="Times New Roman" w:hAnsi="Times New Roman" w:cs="Times New Roman"/>
          <w:color w:val="auto"/>
          <w:sz w:val="24"/>
          <w:szCs w:val="24"/>
          <w:lang w:val="en-GB"/>
        </w:rPr>
        <w:t xml:space="preserve">oj (2019) found that HGFs are less likely to be from high-tech manufacturing sectors in Slovenia and Croatia. However, high technology industries from advancing countries may also benefit from trade and GVC integration if </w:t>
      </w:r>
      <w:r w:rsidR="00A6628F"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share of such firms exceeds minimum threshold for sectoral spillovers to exist (Banga 2013). For this reason, one can expect positive effects to exist in both low and high technology intensive industries.</w:t>
      </w:r>
    </w:p>
    <w:p w14:paraId="0BB35CB1" w14:textId="77777777" w:rsidR="00684964" w:rsidRPr="00A03898" w:rsidRDefault="00684964" w:rsidP="00684964">
      <w:pPr>
        <w:pStyle w:val="Body"/>
        <w:spacing w:line="360" w:lineRule="auto"/>
        <w:jc w:val="both"/>
        <w:rPr>
          <w:rFonts w:ascii="Times New Roman" w:hAnsi="Times New Roman" w:cs="Times New Roman"/>
          <w:i/>
          <w:iCs/>
          <w:color w:val="auto"/>
          <w:sz w:val="24"/>
          <w:szCs w:val="24"/>
          <w:lang w:val="en-GB"/>
        </w:rPr>
      </w:pPr>
      <w:r w:rsidRPr="00A03898">
        <w:rPr>
          <w:rFonts w:ascii="Times New Roman" w:hAnsi="Times New Roman" w:cs="Times New Roman"/>
          <w:i/>
          <w:iCs/>
          <w:color w:val="auto"/>
          <w:sz w:val="24"/>
          <w:szCs w:val="24"/>
          <w:lang w:val="en-GB"/>
        </w:rPr>
        <w:lastRenderedPageBreak/>
        <w:t xml:space="preserve">H3: Intra-EU trade and GVC integration increase share of new businesses and high-growth firms in the total population of enterprises in CEECs countries in low and high technology intensive industries. </w:t>
      </w:r>
    </w:p>
    <w:p w14:paraId="0B1DE3C5" w14:textId="5AD81960" w:rsidR="00684964" w:rsidRPr="00A03898" w:rsidRDefault="00684964" w:rsidP="00DC26DD">
      <w:pPr>
        <w:pStyle w:val="Body"/>
        <w:spacing w:line="360" w:lineRule="auto"/>
        <w:ind w:firstLine="708"/>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Within integrations intra-periphery growth of trade has stronger effects than intra-co</w:t>
      </w:r>
      <w:r w:rsidR="003679D0" w:rsidRPr="00A03898">
        <w:rPr>
          <w:rFonts w:ascii="Times New Roman" w:hAnsi="Times New Roman" w:cs="Times New Roman"/>
          <w:color w:val="auto"/>
          <w:sz w:val="24"/>
          <w:szCs w:val="24"/>
          <w:lang w:val="en-GB"/>
        </w:rPr>
        <w:t xml:space="preserve">re trade (Egger and </w:t>
      </w:r>
      <w:proofErr w:type="spellStart"/>
      <w:r w:rsidR="003679D0" w:rsidRPr="00A03898">
        <w:rPr>
          <w:rFonts w:ascii="Times New Roman" w:hAnsi="Times New Roman" w:cs="Times New Roman"/>
          <w:color w:val="auto"/>
          <w:sz w:val="24"/>
          <w:szCs w:val="24"/>
          <w:lang w:val="en-GB"/>
        </w:rPr>
        <w:t>Pfaffermayr</w:t>
      </w:r>
      <w:proofErr w:type="spellEnd"/>
      <w:r w:rsidRPr="00A03898">
        <w:rPr>
          <w:rFonts w:ascii="Times New Roman" w:hAnsi="Times New Roman" w:cs="Times New Roman"/>
          <w:color w:val="auto"/>
          <w:sz w:val="24"/>
          <w:szCs w:val="24"/>
          <w:lang w:val="en-GB"/>
        </w:rPr>
        <w:t xml:space="preserve"> 2002). The notion of proximity is a multidimensional concept that involves social, cultural and institutional as well as cognitive proximity. Within EU, “old” and “new” CEE EU member states share many elements of institutional proximity, but being at different stages of development their cognitive proximity may be low</w:t>
      </w:r>
      <w:r w:rsidR="00A7118D" w:rsidRPr="00A03898">
        <w:rPr>
          <w:rFonts w:ascii="Times New Roman" w:hAnsi="Times New Roman" w:cs="Times New Roman"/>
          <w:color w:val="auto"/>
          <w:sz w:val="24"/>
          <w:szCs w:val="24"/>
          <w:lang w:val="en-GB"/>
        </w:rPr>
        <w:t xml:space="preserve"> w</w:t>
      </w:r>
      <w:r w:rsidRPr="00A03898">
        <w:rPr>
          <w:rFonts w:ascii="Times New Roman" w:hAnsi="Times New Roman" w:cs="Times New Roman"/>
          <w:color w:val="auto"/>
          <w:sz w:val="24"/>
          <w:szCs w:val="24"/>
          <w:lang w:val="en-GB"/>
        </w:rPr>
        <w:t xml:space="preserve">hile social, cultural and institutional proximity within CEE may act as </w:t>
      </w:r>
      <w:r w:rsidR="00FE5E28" w:rsidRPr="00A03898">
        <w:rPr>
          <w:rFonts w:ascii="Times New Roman" w:hAnsi="Times New Roman" w:cs="Times New Roman"/>
          <w:color w:val="auto"/>
          <w:sz w:val="24"/>
          <w:szCs w:val="24"/>
          <w:lang w:val="en-GB"/>
        </w:rPr>
        <w:t xml:space="preserve">a </w:t>
      </w:r>
      <w:r w:rsidRPr="00A03898">
        <w:rPr>
          <w:rFonts w:ascii="Times New Roman" w:hAnsi="Times New Roman" w:cs="Times New Roman"/>
          <w:color w:val="auto"/>
          <w:sz w:val="24"/>
          <w:szCs w:val="24"/>
          <w:lang w:val="en-GB"/>
        </w:rPr>
        <w:t xml:space="preserve">mediating effect in </w:t>
      </w:r>
      <w:r w:rsidR="00FE5E28"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relationship between trade and GVC integration and entrepreneurial outcomes. On the other hand, within less advanced countries</w:t>
      </w:r>
      <w:r w:rsidR="00FE5E28" w:rsidRPr="00A03898">
        <w:rPr>
          <w:rFonts w:ascii="Times New Roman" w:hAnsi="Times New Roman" w:cs="Times New Roman"/>
          <w:color w:val="auto"/>
          <w:sz w:val="24"/>
          <w:szCs w:val="24"/>
          <w:lang w:val="en-GB"/>
        </w:rPr>
        <w:t>,</w:t>
      </w:r>
      <w:r w:rsidRPr="00A03898">
        <w:rPr>
          <w:rFonts w:ascii="Times New Roman" w:hAnsi="Times New Roman" w:cs="Times New Roman"/>
          <w:color w:val="auto"/>
          <w:sz w:val="24"/>
          <w:szCs w:val="24"/>
          <w:lang w:val="en-GB"/>
        </w:rPr>
        <w:t xml:space="preserve"> such as CEE</w:t>
      </w:r>
      <w:r w:rsidR="00FE5E28" w:rsidRPr="00A03898">
        <w:rPr>
          <w:rFonts w:ascii="Times New Roman" w:hAnsi="Times New Roman" w:cs="Times New Roman"/>
          <w:color w:val="auto"/>
          <w:sz w:val="24"/>
          <w:szCs w:val="24"/>
          <w:lang w:val="en-GB"/>
        </w:rPr>
        <w:t>, the</w:t>
      </w:r>
      <w:r w:rsidRPr="00A03898">
        <w:rPr>
          <w:rFonts w:ascii="Times New Roman" w:hAnsi="Times New Roman" w:cs="Times New Roman"/>
          <w:color w:val="auto"/>
          <w:sz w:val="24"/>
          <w:szCs w:val="24"/>
          <w:lang w:val="en-GB"/>
        </w:rPr>
        <w:t xml:space="preserve"> knowledge resources relevant to meet sophisticated demand and to compete at world economic frontier may be </w:t>
      </w:r>
      <w:r w:rsidR="00384894" w:rsidRPr="00A03898">
        <w:rPr>
          <w:rFonts w:ascii="Times New Roman" w:hAnsi="Times New Roman" w:cs="Times New Roman"/>
          <w:color w:val="auto"/>
          <w:sz w:val="24"/>
          <w:szCs w:val="24"/>
          <w:lang w:val="en-GB"/>
        </w:rPr>
        <w:t>scarcer</w:t>
      </w:r>
      <w:r w:rsidRPr="00A03898">
        <w:rPr>
          <w:rFonts w:ascii="Times New Roman" w:hAnsi="Times New Roman" w:cs="Times New Roman"/>
          <w:color w:val="auto"/>
          <w:sz w:val="24"/>
          <w:szCs w:val="24"/>
          <w:lang w:val="en-GB"/>
        </w:rPr>
        <w:t xml:space="preserve"> than in interactions involving partners from EU15. It is for this reason that one may expect both destinations to be relevant for entry and growth of firms. </w:t>
      </w:r>
    </w:p>
    <w:p w14:paraId="64347B53" w14:textId="2F5269FE" w:rsidR="00684964" w:rsidRPr="00A03898" w:rsidRDefault="00684964" w:rsidP="00684964">
      <w:pPr>
        <w:pStyle w:val="Body"/>
        <w:spacing w:line="360" w:lineRule="auto"/>
        <w:jc w:val="both"/>
        <w:rPr>
          <w:rFonts w:ascii="Times New Roman" w:hAnsi="Times New Roman" w:cs="Times New Roman"/>
          <w:i/>
          <w:iCs/>
          <w:color w:val="auto"/>
          <w:sz w:val="24"/>
          <w:szCs w:val="24"/>
          <w:lang w:val="en-GB"/>
        </w:rPr>
      </w:pPr>
      <w:r w:rsidRPr="00A03898">
        <w:rPr>
          <w:rFonts w:ascii="Times New Roman" w:hAnsi="Times New Roman" w:cs="Times New Roman"/>
          <w:i/>
          <w:iCs/>
          <w:color w:val="auto"/>
          <w:sz w:val="24"/>
          <w:szCs w:val="24"/>
          <w:lang w:val="en-GB"/>
        </w:rPr>
        <w:t xml:space="preserve">H4: Trade linkages and GVC integration involving CEE (H4a) or “old” EU member states (H4b) increase </w:t>
      </w:r>
      <w:r w:rsidR="00793FB6" w:rsidRPr="00A03898">
        <w:rPr>
          <w:rFonts w:ascii="Times New Roman" w:hAnsi="Times New Roman" w:cs="Times New Roman"/>
          <w:i/>
          <w:iCs/>
          <w:color w:val="auto"/>
          <w:sz w:val="24"/>
          <w:szCs w:val="24"/>
          <w:lang w:val="en-GB"/>
        </w:rPr>
        <w:t xml:space="preserve">the </w:t>
      </w:r>
      <w:r w:rsidRPr="00A03898">
        <w:rPr>
          <w:rFonts w:ascii="Times New Roman" w:hAnsi="Times New Roman" w:cs="Times New Roman"/>
          <w:i/>
          <w:iCs/>
          <w:color w:val="auto"/>
          <w:sz w:val="24"/>
          <w:szCs w:val="24"/>
          <w:lang w:val="en-GB"/>
        </w:rPr>
        <w:t xml:space="preserve">share of new businesses and high-growth firms in the total population of enterprises in CEECs countries </w:t>
      </w:r>
    </w:p>
    <w:p w14:paraId="670DA4FE" w14:textId="1B4DB064" w:rsidR="00684964" w:rsidRPr="00A03898" w:rsidRDefault="00684964" w:rsidP="00D37706">
      <w:pPr>
        <w:pStyle w:val="Body"/>
        <w:spacing w:line="360" w:lineRule="auto"/>
        <w:ind w:firstLine="708"/>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The gains from integration may also depend on the timing of entry to an integration. The theory suggests that early entrants are more likely to capture the competences and capabilities relevant for competition (</w:t>
      </w:r>
      <w:proofErr w:type="spellStart"/>
      <w:r w:rsidRPr="00A03898">
        <w:rPr>
          <w:rFonts w:ascii="Times New Roman" w:hAnsi="Times New Roman" w:cs="Times New Roman"/>
          <w:color w:val="auto"/>
          <w:sz w:val="24"/>
          <w:szCs w:val="24"/>
          <w:lang w:val="en-GB"/>
        </w:rPr>
        <w:t>Grazzi</w:t>
      </w:r>
      <w:proofErr w:type="spellEnd"/>
      <w:r w:rsidRPr="00A03898">
        <w:rPr>
          <w:rFonts w:ascii="Times New Roman" w:hAnsi="Times New Roman" w:cs="Times New Roman"/>
          <w:color w:val="auto"/>
          <w:sz w:val="24"/>
          <w:szCs w:val="24"/>
          <w:lang w:val="en-GB"/>
        </w:rPr>
        <w:t xml:space="preserve"> and </w:t>
      </w:r>
      <w:proofErr w:type="spellStart"/>
      <w:r w:rsidRPr="00A03898">
        <w:rPr>
          <w:rFonts w:ascii="Times New Roman" w:hAnsi="Times New Roman" w:cs="Times New Roman"/>
          <w:color w:val="auto"/>
          <w:sz w:val="24"/>
          <w:szCs w:val="24"/>
          <w:lang w:val="en-GB"/>
        </w:rPr>
        <w:t>Moschella</w:t>
      </w:r>
      <w:proofErr w:type="spellEnd"/>
      <w:r w:rsidRPr="00A03898">
        <w:rPr>
          <w:rFonts w:ascii="Times New Roman" w:hAnsi="Times New Roman" w:cs="Times New Roman"/>
          <w:color w:val="auto"/>
          <w:sz w:val="24"/>
          <w:szCs w:val="24"/>
          <w:lang w:val="en-GB"/>
        </w:rPr>
        <w:t xml:space="preserve"> 2018). </w:t>
      </w:r>
      <w:r w:rsidR="00384894" w:rsidRPr="00A03898">
        <w:rPr>
          <w:rFonts w:ascii="Times New Roman" w:hAnsi="Times New Roman" w:cs="Times New Roman"/>
          <w:color w:val="auto"/>
          <w:sz w:val="24"/>
          <w:szCs w:val="24"/>
          <w:lang w:val="en-GB"/>
        </w:rPr>
        <w:t>The f</w:t>
      </w:r>
      <w:r w:rsidRPr="00A03898">
        <w:rPr>
          <w:rFonts w:ascii="Times New Roman" w:hAnsi="Times New Roman" w:cs="Times New Roman"/>
          <w:color w:val="auto"/>
          <w:sz w:val="24"/>
          <w:szCs w:val="24"/>
          <w:lang w:val="en-GB"/>
        </w:rPr>
        <w:t xml:space="preserve">irst cohort of entrants that joined </w:t>
      </w:r>
      <w:r w:rsidR="00384894"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 xml:space="preserve">EU in 2004 succeeded in attracting impressive inflow of FDI and </w:t>
      </w:r>
      <w:r w:rsidR="00AF0B35" w:rsidRPr="00A03898">
        <w:rPr>
          <w:rFonts w:ascii="Times New Roman" w:hAnsi="Times New Roman" w:cs="Times New Roman"/>
          <w:color w:val="auto"/>
          <w:sz w:val="24"/>
          <w:szCs w:val="24"/>
          <w:lang w:val="en-GB"/>
        </w:rPr>
        <w:t>in</w:t>
      </w:r>
      <w:r w:rsidRPr="00A03898">
        <w:rPr>
          <w:rFonts w:ascii="Times New Roman" w:hAnsi="Times New Roman" w:cs="Times New Roman"/>
          <w:color w:val="auto"/>
          <w:sz w:val="24"/>
          <w:szCs w:val="24"/>
          <w:lang w:val="en-GB"/>
        </w:rPr>
        <w:t xml:space="preserve"> integrat</w:t>
      </w:r>
      <w:r w:rsidR="00AF0B35" w:rsidRPr="00A03898">
        <w:rPr>
          <w:rFonts w:ascii="Times New Roman" w:hAnsi="Times New Roman" w:cs="Times New Roman"/>
          <w:color w:val="auto"/>
          <w:sz w:val="24"/>
          <w:szCs w:val="24"/>
          <w:lang w:val="en-GB"/>
        </w:rPr>
        <w:t>ing</w:t>
      </w:r>
      <w:r w:rsidRPr="00A03898">
        <w:rPr>
          <w:rFonts w:ascii="Times New Roman" w:hAnsi="Times New Roman" w:cs="Times New Roman"/>
          <w:color w:val="auto"/>
          <w:sz w:val="24"/>
          <w:szCs w:val="24"/>
          <w:lang w:val="en-GB"/>
        </w:rPr>
        <w:t xml:space="preserve"> in value chains of other EU member states. Latecomers in this process that joined </w:t>
      </w:r>
      <w:r w:rsidR="009F086C"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EU in 2006 and 2013 were less successful in these processes</w:t>
      </w:r>
      <w:r w:rsidR="00D37706" w:rsidRPr="00A03898">
        <w:rPr>
          <w:rFonts w:ascii="Times New Roman" w:hAnsi="Times New Roman" w:cs="Times New Roman"/>
          <w:color w:val="auto"/>
          <w:sz w:val="24"/>
          <w:szCs w:val="24"/>
          <w:lang w:val="en-GB"/>
        </w:rPr>
        <w:t xml:space="preserve"> (Segarra-</w:t>
      </w:r>
      <w:proofErr w:type="spellStart"/>
      <w:r w:rsidR="00D37706" w:rsidRPr="00A03898">
        <w:rPr>
          <w:rFonts w:ascii="Times New Roman" w:hAnsi="Times New Roman" w:cs="Times New Roman"/>
          <w:color w:val="auto"/>
          <w:sz w:val="24"/>
          <w:szCs w:val="24"/>
          <w:lang w:val="en-GB"/>
        </w:rPr>
        <w:t>Blasco</w:t>
      </w:r>
      <w:proofErr w:type="spellEnd"/>
      <w:r w:rsidR="00D37706" w:rsidRPr="00A03898">
        <w:rPr>
          <w:rFonts w:ascii="Times New Roman" w:hAnsi="Times New Roman" w:cs="Times New Roman"/>
          <w:color w:val="auto"/>
          <w:sz w:val="24"/>
          <w:szCs w:val="24"/>
          <w:lang w:val="en-GB"/>
        </w:rPr>
        <w:t xml:space="preserve"> et al. 2018). </w:t>
      </w:r>
      <w:r w:rsidRPr="00A03898">
        <w:rPr>
          <w:rFonts w:ascii="Times New Roman" w:hAnsi="Times New Roman" w:cs="Times New Roman"/>
          <w:color w:val="auto"/>
          <w:sz w:val="24"/>
          <w:szCs w:val="24"/>
          <w:lang w:val="en-GB"/>
        </w:rPr>
        <w:t xml:space="preserve">Therefore, it is possible that the cohort of early CEE entrants to the EU experienced stronger gains from trade and value chain integration than countries that joined </w:t>
      </w:r>
      <w:r w:rsidR="009F086C"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 xml:space="preserve">EU at the later point in time. These advantages can be expressed in terms of learning by exporting and importing, patenting, agreements with local retailers, application of standards. On the other hand, the late mover has the advantage of risk reduction through the “wait and see” approach and avoiding the mistakes early movers experienced. </w:t>
      </w:r>
    </w:p>
    <w:p w14:paraId="66744968" w14:textId="7FB160EB" w:rsidR="00684964" w:rsidRPr="00A03898" w:rsidRDefault="00684964" w:rsidP="00684964">
      <w:pPr>
        <w:pStyle w:val="Body"/>
        <w:spacing w:line="360" w:lineRule="auto"/>
        <w:jc w:val="both"/>
        <w:rPr>
          <w:rFonts w:ascii="Times New Roman" w:hAnsi="Times New Roman" w:cs="Times New Roman"/>
          <w:i/>
          <w:iCs/>
          <w:color w:val="auto"/>
          <w:sz w:val="24"/>
          <w:szCs w:val="24"/>
          <w:lang w:val="en-GB"/>
        </w:rPr>
      </w:pPr>
      <w:r w:rsidRPr="00A03898">
        <w:rPr>
          <w:rFonts w:ascii="Times New Roman" w:hAnsi="Times New Roman" w:cs="Times New Roman"/>
          <w:i/>
          <w:iCs/>
          <w:color w:val="auto"/>
          <w:sz w:val="24"/>
          <w:szCs w:val="24"/>
          <w:lang w:val="en-GB"/>
        </w:rPr>
        <w:t>H5: Timing of entry to the integration has mediating role in the relationship between trade, GVC participation, share of start-ups and high-growth firms in the total population of enterprises in CEE countries</w:t>
      </w:r>
      <w:r w:rsidR="008509F4" w:rsidRPr="00A03898">
        <w:rPr>
          <w:rFonts w:ascii="Times New Roman" w:hAnsi="Times New Roman" w:cs="Times New Roman"/>
          <w:i/>
          <w:iCs/>
          <w:color w:val="auto"/>
          <w:sz w:val="24"/>
          <w:szCs w:val="24"/>
          <w:lang w:val="en-GB"/>
        </w:rPr>
        <w:t>.</w:t>
      </w:r>
    </w:p>
    <w:p w14:paraId="738656FE" w14:textId="0AE11A5B" w:rsidR="00684964" w:rsidRPr="00A03898" w:rsidRDefault="00684964" w:rsidP="00A87875">
      <w:pPr>
        <w:pStyle w:val="Body"/>
        <w:spacing w:line="360" w:lineRule="auto"/>
        <w:ind w:firstLine="708"/>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lastRenderedPageBreak/>
        <w:t>Putting all these pieces together, it can be argued that economic integrations influence entrepreneurial outcomes in CEE through trade and GVC participation. Our study aims to explore in what way each of these individual channels contributes to the entry and growth of businesses in CEE region and whether the technological intensity, origin of partners and the timing of entry to the EU have mediating role in this relationship. To the best of our knowledge, no study prior to ours attempted to investigate the impact of either trade channels or GVC participation on firm entry and growth taking into account any or all of these issues. Our study aims to fill this gap.</w:t>
      </w:r>
    </w:p>
    <w:p w14:paraId="6AA0460C" w14:textId="63BABB2D" w:rsidR="00486814" w:rsidRPr="00A03898" w:rsidRDefault="00E314C9" w:rsidP="004736C5">
      <w:pPr>
        <w:pStyle w:val="Body"/>
        <w:numPr>
          <w:ilvl w:val="0"/>
          <w:numId w:val="5"/>
        </w:numPr>
        <w:spacing w:line="360" w:lineRule="auto"/>
        <w:rPr>
          <w:rFonts w:ascii="Times New Roman" w:hAnsi="Times New Roman" w:cs="Times New Roman"/>
          <w:b/>
          <w:bCs/>
          <w:color w:val="auto"/>
          <w:sz w:val="24"/>
          <w:szCs w:val="24"/>
          <w:lang w:val="en-GB"/>
        </w:rPr>
      </w:pPr>
      <w:r w:rsidRPr="00A03898">
        <w:rPr>
          <w:rFonts w:ascii="Times New Roman" w:hAnsi="Times New Roman" w:cs="Times New Roman"/>
          <w:b/>
          <w:bCs/>
          <w:color w:val="auto"/>
          <w:sz w:val="24"/>
          <w:szCs w:val="24"/>
          <w:lang w:val="en-GB"/>
        </w:rPr>
        <w:t>Model and methodology</w:t>
      </w:r>
    </w:p>
    <w:p w14:paraId="7F4A0C69" w14:textId="07CF0A6B" w:rsidR="00E314C9" w:rsidRPr="00A03898" w:rsidRDefault="00E314C9" w:rsidP="00E314C9">
      <w:pPr>
        <w:pStyle w:val="Body"/>
        <w:spacing w:line="360" w:lineRule="auto"/>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 xml:space="preserve">To investigate the relationship between entrepreneurial outcomes and intra-EU trade and GVC </w:t>
      </w:r>
      <w:r w:rsidR="00D20B88" w:rsidRPr="00A03898">
        <w:rPr>
          <w:rFonts w:ascii="Times New Roman" w:hAnsi="Times New Roman" w:cs="Times New Roman"/>
          <w:color w:val="auto"/>
          <w:sz w:val="24"/>
          <w:szCs w:val="24"/>
          <w:lang w:val="en-GB"/>
        </w:rPr>
        <w:t>participation</w:t>
      </w:r>
      <w:r w:rsidRPr="00A03898">
        <w:rPr>
          <w:rFonts w:ascii="Times New Roman" w:hAnsi="Times New Roman" w:cs="Times New Roman"/>
          <w:color w:val="auto"/>
          <w:sz w:val="24"/>
          <w:szCs w:val="24"/>
          <w:lang w:val="en-GB"/>
        </w:rPr>
        <w:t xml:space="preserve"> a model is developed that takes the following form:</w:t>
      </w:r>
    </w:p>
    <w:p w14:paraId="56CB1AE5" w14:textId="77777777" w:rsidR="00E314C9" w:rsidRPr="00A03898" w:rsidRDefault="009E7EC9" w:rsidP="00E314C9">
      <w:pPr>
        <w:pStyle w:val="Body"/>
        <w:spacing w:line="360" w:lineRule="auto"/>
        <w:jc w:val="both"/>
        <w:rPr>
          <w:rFonts w:ascii="Times New Roman" w:hAnsi="Times New Roman" w:cs="Times New Roman"/>
          <w:color w:val="auto"/>
          <w:sz w:val="24"/>
          <w:szCs w:val="24"/>
          <w:lang w:val="en-GB"/>
        </w:rPr>
      </w:pPr>
      <m:oMath>
        <m:sSub>
          <m:sSubPr>
            <m:ctrlPr>
              <w:rPr>
                <w:rFonts w:ascii="Cambria Math" w:hAnsi="Cambria Math" w:cs="Times New Roman"/>
                <w:i/>
                <w:color w:val="auto"/>
                <w:sz w:val="24"/>
                <w:szCs w:val="24"/>
                <w:lang w:val="en-GB"/>
              </w:rPr>
            </m:ctrlPr>
          </m:sSubPr>
          <m:e>
            <m:r>
              <w:rPr>
                <w:rFonts w:ascii="Cambria Math" w:hAnsi="Cambria Math" w:cs="Times New Roman"/>
                <w:color w:val="auto"/>
                <w:sz w:val="24"/>
                <w:szCs w:val="24"/>
                <w:lang w:val="en-GB"/>
              </w:rPr>
              <m:t>Ent.outcome</m:t>
            </m:r>
          </m:e>
          <m:sub>
            <m:r>
              <w:rPr>
                <w:rFonts w:ascii="Cambria Math" w:hAnsi="Cambria Math" w:cs="Times New Roman"/>
                <w:color w:val="auto"/>
                <w:sz w:val="24"/>
                <w:szCs w:val="24"/>
                <w:lang w:val="en-GB"/>
              </w:rPr>
              <m:t>ijt</m:t>
            </m:r>
          </m:sub>
        </m:sSub>
        <m:r>
          <w:rPr>
            <w:rFonts w:ascii="Cambria Math" w:hAnsi="Cambria Math" w:cs="Times New Roman"/>
            <w:color w:val="auto"/>
            <w:sz w:val="24"/>
            <w:szCs w:val="24"/>
            <w:lang w:val="en-GB"/>
          </w:rPr>
          <m:t>=</m:t>
        </m:r>
        <m:sSub>
          <m:sSubPr>
            <m:ctrlPr>
              <w:rPr>
                <w:rFonts w:ascii="Cambria Math" w:hAnsi="Cambria Math" w:cs="Times New Roman"/>
                <w:i/>
                <w:color w:val="auto"/>
                <w:sz w:val="24"/>
                <w:szCs w:val="24"/>
                <w:lang w:val="en-GB"/>
              </w:rPr>
            </m:ctrlPr>
          </m:sSubPr>
          <m:e>
            <m:r>
              <w:rPr>
                <w:rFonts w:ascii="Cambria Math" w:hAnsi="Cambria Math" w:cs="Times New Roman"/>
                <w:color w:val="auto"/>
                <w:sz w:val="24"/>
                <w:szCs w:val="24"/>
                <w:lang w:val="en-GB"/>
              </w:rPr>
              <m:t>α</m:t>
            </m:r>
          </m:e>
          <m:sub>
            <m:r>
              <w:rPr>
                <w:rFonts w:ascii="Cambria Math" w:hAnsi="Cambria Math" w:cs="Times New Roman"/>
                <w:color w:val="auto"/>
                <w:sz w:val="24"/>
                <w:szCs w:val="24"/>
                <w:lang w:val="en-GB"/>
              </w:rPr>
              <m:t>0</m:t>
            </m:r>
          </m:sub>
        </m:sSub>
        <m:r>
          <w:rPr>
            <w:rFonts w:ascii="Cambria Math" w:hAnsi="Cambria Math" w:cs="Times New Roman"/>
            <w:color w:val="auto"/>
            <w:sz w:val="24"/>
            <w:szCs w:val="24"/>
            <w:lang w:val="en-GB"/>
          </w:rPr>
          <m:t>+</m:t>
        </m:r>
        <m:sSub>
          <m:sSubPr>
            <m:ctrlPr>
              <w:rPr>
                <w:rFonts w:ascii="Cambria Math" w:hAnsi="Cambria Math" w:cs="Times New Roman"/>
                <w:i/>
                <w:color w:val="auto"/>
                <w:sz w:val="24"/>
                <w:szCs w:val="24"/>
                <w:lang w:val="en-GB"/>
              </w:rPr>
            </m:ctrlPr>
          </m:sSubPr>
          <m:e>
            <m:r>
              <w:rPr>
                <w:rFonts w:ascii="Cambria Math" w:hAnsi="Cambria Math" w:cs="Times New Roman"/>
                <w:color w:val="auto"/>
                <w:sz w:val="24"/>
                <w:szCs w:val="24"/>
                <w:lang w:val="en-GB"/>
              </w:rPr>
              <m:t>α</m:t>
            </m:r>
          </m:e>
          <m:sub>
            <m:r>
              <w:rPr>
                <w:rFonts w:ascii="Cambria Math" w:hAnsi="Cambria Math" w:cs="Times New Roman"/>
                <w:color w:val="auto"/>
                <w:sz w:val="24"/>
                <w:szCs w:val="24"/>
                <w:lang w:val="en-GB"/>
              </w:rPr>
              <m:t>1</m:t>
            </m:r>
          </m:sub>
        </m:sSub>
        <m:sSub>
          <m:sSubPr>
            <m:ctrlPr>
              <w:rPr>
                <w:rFonts w:ascii="Cambria Math" w:hAnsi="Cambria Math" w:cs="Times New Roman"/>
                <w:i/>
                <w:color w:val="auto"/>
                <w:sz w:val="24"/>
                <w:szCs w:val="24"/>
                <w:lang w:val="en-GB"/>
              </w:rPr>
            </m:ctrlPr>
          </m:sSubPr>
          <m:e>
            <m:r>
              <w:rPr>
                <w:rFonts w:ascii="Cambria Math" w:hAnsi="Cambria Math" w:cs="Times New Roman"/>
                <w:color w:val="auto"/>
                <w:sz w:val="24"/>
                <w:szCs w:val="24"/>
                <w:lang w:val="en-GB"/>
              </w:rPr>
              <m:t>Ent.outcome</m:t>
            </m:r>
          </m:e>
          <m:sub>
            <m:r>
              <w:rPr>
                <w:rFonts w:ascii="Cambria Math" w:hAnsi="Cambria Math" w:cs="Times New Roman"/>
                <w:color w:val="auto"/>
                <w:sz w:val="24"/>
                <w:szCs w:val="24"/>
                <w:lang w:val="en-GB"/>
              </w:rPr>
              <m:t>ijt-1</m:t>
            </m:r>
          </m:sub>
        </m:sSub>
        <m:r>
          <w:rPr>
            <w:rFonts w:ascii="Cambria Math" w:hAnsi="Cambria Math" w:cs="Times New Roman"/>
            <w:color w:val="auto"/>
            <w:sz w:val="24"/>
            <w:szCs w:val="24"/>
            <w:lang w:val="en-GB"/>
          </w:rPr>
          <m:t>+</m:t>
        </m:r>
        <m:sSub>
          <m:sSubPr>
            <m:ctrlPr>
              <w:rPr>
                <w:rFonts w:ascii="Cambria Math" w:hAnsi="Cambria Math" w:cs="Times New Roman"/>
                <w:i/>
                <w:color w:val="auto"/>
                <w:sz w:val="24"/>
                <w:szCs w:val="24"/>
                <w:lang w:val="en-GB"/>
              </w:rPr>
            </m:ctrlPr>
          </m:sSubPr>
          <m:e>
            <m:r>
              <w:rPr>
                <w:rFonts w:ascii="Cambria Math" w:hAnsi="Cambria Math" w:cs="Times New Roman"/>
                <w:color w:val="auto"/>
                <w:sz w:val="24"/>
                <w:szCs w:val="24"/>
                <w:lang w:val="en-GB"/>
              </w:rPr>
              <m:t>β</m:t>
            </m:r>
          </m:e>
          <m:sub>
            <m:r>
              <w:rPr>
                <w:rFonts w:ascii="Cambria Math" w:hAnsi="Cambria Math" w:cs="Times New Roman"/>
                <w:color w:val="auto"/>
                <w:sz w:val="24"/>
                <w:szCs w:val="24"/>
                <w:lang w:val="en-GB"/>
              </w:rPr>
              <m:t>1</m:t>
            </m:r>
          </m:sub>
        </m:sSub>
        <m:sSub>
          <m:sSubPr>
            <m:ctrlPr>
              <w:rPr>
                <w:rFonts w:ascii="Cambria Math" w:hAnsi="Cambria Math" w:cs="Times New Roman"/>
                <w:i/>
                <w:color w:val="auto"/>
                <w:sz w:val="24"/>
                <w:szCs w:val="24"/>
                <w:lang w:val="en-GB"/>
              </w:rPr>
            </m:ctrlPr>
          </m:sSubPr>
          <m:e>
            <m:r>
              <w:rPr>
                <w:rFonts w:ascii="Cambria Math" w:hAnsi="Cambria Math" w:cs="Times New Roman"/>
                <w:color w:val="auto"/>
                <w:sz w:val="24"/>
                <w:szCs w:val="24"/>
                <w:lang w:val="en-GB"/>
              </w:rPr>
              <m:t>X</m:t>
            </m:r>
          </m:e>
          <m:sub>
            <m:r>
              <w:rPr>
                <w:rFonts w:ascii="Cambria Math" w:hAnsi="Cambria Math" w:cs="Times New Roman"/>
                <w:color w:val="auto"/>
                <w:sz w:val="24"/>
                <w:szCs w:val="24"/>
                <w:lang w:val="en-GB"/>
              </w:rPr>
              <m:t>ijt</m:t>
            </m:r>
          </m:sub>
        </m:sSub>
        <m:r>
          <w:rPr>
            <w:rFonts w:ascii="Cambria Math" w:hAnsi="Cambria Math" w:cs="Times New Roman"/>
            <w:color w:val="auto"/>
            <w:sz w:val="24"/>
            <w:szCs w:val="24"/>
            <w:lang w:val="en-GB"/>
          </w:rPr>
          <m:t>+</m:t>
        </m:r>
        <m:sSub>
          <m:sSubPr>
            <m:ctrlPr>
              <w:rPr>
                <w:rFonts w:ascii="Cambria Math" w:hAnsi="Cambria Math" w:cs="Times New Roman"/>
                <w:i/>
                <w:color w:val="auto"/>
                <w:sz w:val="24"/>
                <w:szCs w:val="24"/>
                <w:lang w:val="en-GB"/>
              </w:rPr>
            </m:ctrlPr>
          </m:sSubPr>
          <m:e>
            <m:r>
              <w:rPr>
                <w:rFonts w:ascii="Cambria Math" w:hAnsi="Cambria Math" w:cs="Times New Roman"/>
                <w:color w:val="auto"/>
                <w:sz w:val="24"/>
                <w:szCs w:val="24"/>
                <w:lang w:val="en-GB"/>
              </w:rPr>
              <m:t>z</m:t>
            </m:r>
          </m:e>
          <m:sub>
            <m:r>
              <w:rPr>
                <w:rFonts w:ascii="Cambria Math" w:hAnsi="Cambria Math" w:cs="Times New Roman"/>
                <w:color w:val="auto"/>
                <w:sz w:val="24"/>
                <w:szCs w:val="24"/>
                <w:lang w:val="en-GB"/>
              </w:rPr>
              <m:t>ijt</m:t>
            </m:r>
          </m:sub>
        </m:sSub>
        <m:r>
          <w:rPr>
            <w:rFonts w:ascii="Cambria Math" w:hAnsi="Cambria Math" w:cs="Times New Roman"/>
            <w:color w:val="auto"/>
            <w:sz w:val="24"/>
            <w:szCs w:val="24"/>
            <w:lang w:val="en-GB"/>
          </w:rPr>
          <m:t>+</m:t>
        </m:r>
        <m:sSub>
          <m:sSubPr>
            <m:ctrlPr>
              <w:rPr>
                <w:rFonts w:ascii="Cambria Math" w:hAnsi="Cambria Math" w:cs="Times New Roman"/>
                <w:i/>
                <w:color w:val="auto"/>
                <w:sz w:val="24"/>
                <w:szCs w:val="24"/>
                <w:lang w:val="en-GB"/>
              </w:rPr>
            </m:ctrlPr>
          </m:sSubPr>
          <m:e>
            <m:r>
              <w:rPr>
                <w:rFonts w:ascii="Cambria Math" w:hAnsi="Cambria Math" w:cs="Times New Roman"/>
                <w:color w:val="auto"/>
                <w:sz w:val="24"/>
                <w:szCs w:val="24"/>
                <w:lang w:val="en-GB"/>
              </w:rPr>
              <m:t>u</m:t>
            </m:r>
          </m:e>
          <m:sub>
            <m:r>
              <w:rPr>
                <w:rFonts w:ascii="Cambria Math" w:hAnsi="Cambria Math" w:cs="Times New Roman"/>
                <w:color w:val="auto"/>
                <w:sz w:val="24"/>
                <w:szCs w:val="24"/>
                <w:lang w:val="en-GB"/>
              </w:rPr>
              <m:t>ijt</m:t>
            </m:r>
          </m:sub>
        </m:sSub>
        <m:r>
          <w:rPr>
            <w:rFonts w:ascii="Cambria Math" w:hAnsi="Cambria Math" w:cs="Times New Roman"/>
            <w:color w:val="auto"/>
            <w:sz w:val="24"/>
            <w:szCs w:val="24"/>
            <w:lang w:val="en-GB"/>
          </w:rPr>
          <m:t>+</m:t>
        </m:r>
        <m:sSub>
          <m:sSubPr>
            <m:ctrlPr>
              <w:rPr>
                <w:rFonts w:ascii="Cambria Math" w:hAnsi="Cambria Math" w:cs="Times New Roman"/>
                <w:i/>
                <w:color w:val="auto"/>
                <w:sz w:val="24"/>
                <w:szCs w:val="24"/>
                <w:lang w:val="en-GB"/>
              </w:rPr>
            </m:ctrlPr>
          </m:sSubPr>
          <m:e>
            <m:r>
              <w:rPr>
                <w:rFonts w:ascii="Cambria Math" w:hAnsi="Cambria Math" w:cs="Times New Roman"/>
                <w:color w:val="auto"/>
                <w:sz w:val="24"/>
                <w:szCs w:val="24"/>
                <w:lang w:val="en-GB"/>
              </w:rPr>
              <m:t>v</m:t>
            </m:r>
          </m:e>
          <m:sub>
            <m:r>
              <w:rPr>
                <w:rFonts w:ascii="Cambria Math" w:hAnsi="Cambria Math" w:cs="Times New Roman"/>
                <w:color w:val="auto"/>
                <w:sz w:val="24"/>
                <w:szCs w:val="24"/>
                <w:lang w:val="en-GB"/>
              </w:rPr>
              <m:t>ij</m:t>
            </m:r>
          </m:sub>
        </m:sSub>
      </m:oMath>
      <w:r w:rsidR="00E314C9" w:rsidRPr="00A03898">
        <w:rPr>
          <w:rFonts w:ascii="Times New Roman" w:hAnsi="Times New Roman" w:cs="Times New Roman"/>
          <w:color w:val="auto"/>
          <w:sz w:val="24"/>
          <w:szCs w:val="24"/>
          <w:lang w:val="en-GB"/>
        </w:rPr>
        <w:tab/>
      </w:r>
      <w:r w:rsidR="00E314C9" w:rsidRPr="00A03898">
        <w:rPr>
          <w:rFonts w:ascii="Times New Roman" w:hAnsi="Times New Roman" w:cs="Times New Roman"/>
          <w:color w:val="auto"/>
          <w:sz w:val="24"/>
          <w:szCs w:val="24"/>
          <w:lang w:val="en-GB"/>
        </w:rPr>
        <w:tab/>
        <w:t>(1)</w:t>
      </w:r>
    </w:p>
    <w:p w14:paraId="55BC8973" w14:textId="7EC57249" w:rsidR="00B032E0" w:rsidRPr="00A03898" w:rsidRDefault="00E314C9" w:rsidP="00E314C9">
      <w:pPr>
        <w:pStyle w:val="Body"/>
        <w:spacing w:after="0" w:line="360" w:lineRule="auto"/>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 xml:space="preserve">where the dependent variable is </w:t>
      </w:r>
      <w:r w:rsidR="00D20B88"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 xml:space="preserve">one of previously introduced entrepreneurial outcomes defined as shares of </w:t>
      </w:r>
      <w:r w:rsidR="00913D40" w:rsidRPr="00A03898">
        <w:rPr>
          <w:rFonts w:ascii="Times New Roman" w:hAnsi="Times New Roman" w:cs="Times New Roman"/>
          <w:color w:val="auto"/>
          <w:sz w:val="24"/>
          <w:szCs w:val="24"/>
          <w:lang w:val="en-GB"/>
        </w:rPr>
        <w:t>start-ups</w:t>
      </w:r>
      <w:r w:rsidRPr="00A03898">
        <w:rPr>
          <w:rFonts w:ascii="Times New Roman" w:hAnsi="Times New Roman" w:cs="Times New Roman"/>
          <w:color w:val="auto"/>
          <w:sz w:val="24"/>
          <w:szCs w:val="24"/>
          <w:lang w:val="en-GB"/>
        </w:rPr>
        <w:t xml:space="preserve"> and high-growth firms (HGFs) in total enterprise population of industry </w:t>
      </w:r>
      <w:r w:rsidRPr="00A03898">
        <w:rPr>
          <w:rFonts w:ascii="Times New Roman" w:hAnsi="Times New Roman" w:cs="Times New Roman"/>
          <w:i/>
          <w:iCs/>
          <w:color w:val="auto"/>
          <w:sz w:val="24"/>
          <w:szCs w:val="24"/>
          <w:lang w:val="en-GB"/>
        </w:rPr>
        <w:t xml:space="preserve">i </w:t>
      </w:r>
      <w:r w:rsidRPr="00A03898">
        <w:rPr>
          <w:rFonts w:ascii="Times New Roman" w:hAnsi="Times New Roman" w:cs="Times New Roman"/>
          <w:color w:val="auto"/>
          <w:sz w:val="24"/>
          <w:szCs w:val="24"/>
          <w:lang w:val="en-GB"/>
        </w:rPr>
        <w:t xml:space="preserve">of country </w:t>
      </w:r>
      <w:r w:rsidRPr="00A03898">
        <w:rPr>
          <w:rFonts w:ascii="Times New Roman" w:hAnsi="Times New Roman" w:cs="Times New Roman"/>
          <w:i/>
          <w:iCs/>
          <w:color w:val="auto"/>
          <w:sz w:val="24"/>
          <w:szCs w:val="24"/>
          <w:lang w:val="en-GB"/>
        </w:rPr>
        <w:t xml:space="preserve">j </w:t>
      </w:r>
      <w:r w:rsidRPr="00A03898">
        <w:rPr>
          <w:rFonts w:ascii="Times New Roman" w:hAnsi="Times New Roman" w:cs="Times New Roman"/>
          <w:color w:val="auto"/>
          <w:sz w:val="24"/>
          <w:szCs w:val="24"/>
          <w:lang w:val="en-GB"/>
        </w:rPr>
        <w:t xml:space="preserve">in period </w:t>
      </w:r>
      <w:r w:rsidRPr="00A03898">
        <w:rPr>
          <w:rFonts w:ascii="Times New Roman" w:hAnsi="Times New Roman" w:cs="Times New Roman"/>
          <w:i/>
          <w:iCs/>
          <w:color w:val="auto"/>
          <w:sz w:val="24"/>
          <w:szCs w:val="24"/>
          <w:lang w:val="en-GB"/>
        </w:rPr>
        <w:t>t</w:t>
      </w:r>
      <w:r w:rsidRPr="00A03898">
        <w:rPr>
          <w:rFonts w:ascii="Times New Roman" w:hAnsi="Times New Roman" w:cs="Times New Roman"/>
          <w:color w:val="auto"/>
          <w:sz w:val="24"/>
          <w:szCs w:val="24"/>
          <w:lang w:val="en-GB"/>
        </w:rPr>
        <w:t xml:space="preserve">. </w:t>
      </w:r>
      <w:r w:rsidR="00D20B88" w:rsidRPr="00A03898">
        <w:rPr>
          <w:rFonts w:ascii="Times New Roman" w:hAnsi="Times New Roman" w:cs="Times New Roman"/>
          <w:color w:val="auto"/>
          <w:sz w:val="24"/>
          <w:szCs w:val="24"/>
          <w:lang w:val="en-GB"/>
        </w:rPr>
        <w:t>C</w:t>
      </w:r>
      <w:r w:rsidR="00291DA4" w:rsidRPr="00A03898">
        <w:rPr>
          <w:rFonts w:ascii="Times New Roman" w:hAnsi="Times New Roman" w:cs="Times New Roman"/>
          <w:color w:val="auto"/>
          <w:sz w:val="24"/>
          <w:szCs w:val="24"/>
          <w:lang w:val="en-GB"/>
        </w:rPr>
        <w:t>onceptually, our study is close to existing research that aimed to answer which factors and forces can facilitate higher share of different firm categories in the total population of enterprises, a question that is at core focus of policy incentives for stimulation of entrepreneurship</w:t>
      </w:r>
      <w:r w:rsidR="00B032E0" w:rsidRPr="00A03898">
        <w:rPr>
          <w:rFonts w:ascii="Times New Roman" w:hAnsi="Times New Roman" w:cs="Times New Roman"/>
          <w:color w:val="auto"/>
          <w:sz w:val="24"/>
          <w:szCs w:val="24"/>
          <w:lang w:val="en-GB"/>
        </w:rPr>
        <w:t xml:space="preserve"> (</w:t>
      </w:r>
      <w:proofErr w:type="spellStart"/>
      <w:r w:rsidR="009D4708" w:rsidRPr="00A03898">
        <w:rPr>
          <w:rFonts w:ascii="Times New Roman" w:hAnsi="Times New Roman" w:cs="Times New Roman"/>
          <w:color w:val="auto"/>
          <w:sz w:val="24"/>
          <w:szCs w:val="24"/>
          <w:lang w:val="en-GB"/>
        </w:rPr>
        <w:t>K</w:t>
      </w:r>
      <w:r w:rsidR="00B032E0" w:rsidRPr="00A03898">
        <w:rPr>
          <w:rFonts w:ascii="Times New Roman" w:hAnsi="Times New Roman" w:cs="Times New Roman"/>
          <w:color w:val="auto"/>
          <w:sz w:val="24"/>
          <w:szCs w:val="24"/>
          <w:lang w:val="en-GB"/>
        </w:rPr>
        <w:t>rasniqi</w:t>
      </w:r>
      <w:proofErr w:type="spellEnd"/>
      <w:r w:rsidR="00B032E0" w:rsidRPr="00A03898">
        <w:rPr>
          <w:rFonts w:ascii="Times New Roman" w:hAnsi="Times New Roman" w:cs="Times New Roman"/>
          <w:color w:val="auto"/>
          <w:sz w:val="24"/>
          <w:szCs w:val="24"/>
          <w:lang w:val="en-GB"/>
        </w:rPr>
        <w:t xml:space="preserve"> and </w:t>
      </w:r>
      <w:proofErr w:type="spellStart"/>
      <w:r w:rsidR="00B032E0" w:rsidRPr="00A03898">
        <w:rPr>
          <w:rFonts w:ascii="Times New Roman" w:hAnsi="Times New Roman" w:cs="Times New Roman"/>
          <w:color w:val="auto"/>
          <w:sz w:val="24"/>
          <w:szCs w:val="24"/>
          <w:lang w:val="en-GB"/>
        </w:rPr>
        <w:t>Dessai</w:t>
      </w:r>
      <w:proofErr w:type="spellEnd"/>
      <w:r w:rsidR="003137FF" w:rsidRPr="00A03898">
        <w:rPr>
          <w:rFonts w:ascii="Times New Roman" w:hAnsi="Times New Roman" w:cs="Times New Roman"/>
          <w:color w:val="auto"/>
          <w:sz w:val="24"/>
          <w:szCs w:val="24"/>
          <w:lang w:val="en-GB"/>
        </w:rPr>
        <w:t xml:space="preserve"> 2016). </w:t>
      </w:r>
    </w:p>
    <w:p w14:paraId="56608EB9" w14:textId="374208E7" w:rsidR="00B032E0" w:rsidRPr="00A03898" w:rsidRDefault="00A7118D" w:rsidP="00B032E0">
      <w:pPr>
        <w:pStyle w:val="Body"/>
        <w:spacing w:after="0" w:line="360" w:lineRule="auto"/>
        <w:ind w:firstLine="708"/>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 xml:space="preserve">The share of start-ups is defined as the percentage of firm births in the total number of firms in country </w:t>
      </w:r>
      <w:r w:rsidRPr="00A03898">
        <w:rPr>
          <w:rFonts w:ascii="Times New Roman" w:hAnsi="Times New Roman" w:cs="Times New Roman"/>
          <w:i/>
          <w:iCs/>
          <w:color w:val="auto"/>
          <w:sz w:val="24"/>
          <w:szCs w:val="24"/>
          <w:lang w:val="en-GB"/>
        </w:rPr>
        <w:t xml:space="preserve">j </w:t>
      </w:r>
      <w:r w:rsidRPr="00A03898">
        <w:rPr>
          <w:rFonts w:ascii="Times New Roman" w:hAnsi="Times New Roman" w:cs="Times New Roman"/>
          <w:color w:val="auto"/>
          <w:sz w:val="24"/>
          <w:szCs w:val="24"/>
          <w:lang w:val="en-GB"/>
        </w:rPr>
        <w:t xml:space="preserve">in sector </w:t>
      </w:r>
      <w:r w:rsidRPr="00A03898">
        <w:rPr>
          <w:rFonts w:ascii="Times New Roman" w:hAnsi="Times New Roman" w:cs="Times New Roman"/>
          <w:i/>
          <w:iCs/>
          <w:color w:val="auto"/>
          <w:sz w:val="24"/>
          <w:szCs w:val="24"/>
          <w:lang w:val="en-GB"/>
        </w:rPr>
        <w:t xml:space="preserve">i </w:t>
      </w:r>
      <w:r w:rsidRPr="00A03898">
        <w:rPr>
          <w:rFonts w:ascii="Times New Roman" w:hAnsi="Times New Roman" w:cs="Times New Roman"/>
          <w:color w:val="auto"/>
          <w:sz w:val="24"/>
          <w:szCs w:val="24"/>
          <w:lang w:val="en-GB"/>
        </w:rPr>
        <w:t xml:space="preserve">in year </w:t>
      </w:r>
      <w:r w:rsidRPr="00A03898">
        <w:rPr>
          <w:rFonts w:ascii="Times New Roman" w:hAnsi="Times New Roman" w:cs="Times New Roman"/>
          <w:i/>
          <w:iCs/>
          <w:color w:val="auto"/>
          <w:sz w:val="24"/>
          <w:szCs w:val="24"/>
          <w:lang w:val="en-GB"/>
        </w:rPr>
        <w:t>t</w:t>
      </w:r>
      <w:r w:rsidRPr="00A03898">
        <w:rPr>
          <w:rFonts w:ascii="Times New Roman" w:hAnsi="Times New Roman" w:cs="Times New Roman"/>
          <w:color w:val="auto"/>
          <w:sz w:val="24"/>
          <w:szCs w:val="24"/>
          <w:lang w:val="en-GB"/>
        </w:rPr>
        <w:t xml:space="preserve">. </w:t>
      </w:r>
      <w:r w:rsidR="00291DA4" w:rsidRPr="00A03898">
        <w:rPr>
          <w:rFonts w:ascii="Times New Roman" w:hAnsi="Times New Roman" w:cs="Times New Roman"/>
          <w:color w:val="auto"/>
          <w:sz w:val="24"/>
          <w:szCs w:val="24"/>
          <w:lang w:val="en-GB"/>
        </w:rPr>
        <w:t xml:space="preserve">While the definition of start-ups is </w:t>
      </w:r>
      <w:r w:rsidR="00D20B88" w:rsidRPr="00A03898">
        <w:rPr>
          <w:rFonts w:ascii="Times New Roman" w:hAnsi="Times New Roman" w:cs="Times New Roman"/>
          <w:color w:val="auto"/>
          <w:sz w:val="24"/>
          <w:szCs w:val="24"/>
          <w:lang w:val="en-GB"/>
        </w:rPr>
        <w:t xml:space="preserve">a </w:t>
      </w:r>
      <w:r w:rsidR="00291DA4" w:rsidRPr="00A03898">
        <w:rPr>
          <w:rFonts w:ascii="Times New Roman" w:hAnsi="Times New Roman" w:cs="Times New Roman"/>
          <w:color w:val="auto"/>
          <w:sz w:val="24"/>
          <w:szCs w:val="24"/>
          <w:lang w:val="en-GB"/>
        </w:rPr>
        <w:t xml:space="preserve">relatively straightforward issue, the definition of HGFs deserves some reflection. </w:t>
      </w:r>
      <w:r w:rsidR="00907D82" w:rsidRPr="00A03898">
        <w:rPr>
          <w:rFonts w:ascii="Times New Roman" w:hAnsi="Times New Roman" w:cs="Times New Roman"/>
          <w:color w:val="auto"/>
          <w:sz w:val="24"/>
          <w:szCs w:val="24"/>
          <w:lang w:val="en-GB"/>
        </w:rPr>
        <w:t>The entrepreneurship literature does not provide definite answer about the variables (sales or employment</w:t>
      </w:r>
      <w:r w:rsidR="00D20B88" w:rsidRPr="00A03898">
        <w:rPr>
          <w:rFonts w:ascii="Times New Roman" w:hAnsi="Times New Roman" w:cs="Times New Roman"/>
          <w:color w:val="auto"/>
          <w:sz w:val="24"/>
          <w:szCs w:val="24"/>
          <w:lang w:val="en-GB"/>
        </w:rPr>
        <w:t>)</w:t>
      </w:r>
      <w:r w:rsidR="00907D82" w:rsidRPr="00A03898">
        <w:rPr>
          <w:rFonts w:ascii="Times New Roman" w:hAnsi="Times New Roman" w:cs="Times New Roman"/>
          <w:color w:val="auto"/>
          <w:sz w:val="24"/>
          <w:szCs w:val="24"/>
          <w:lang w:val="en-GB"/>
        </w:rPr>
        <w:t xml:space="preserve"> or the time period within which the phenomenon </w:t>
      </w:r>
      <w:r w:rsidR="00BE3568" w:rsidRPr="00A03898">
        <w:rPr>
          <w:rFonts w:ascii="Times New Roman" w:hAnsi="Times New Roman" w:cs="Times New Roman"/>
          <w:color w:val="auto"/>
          <w:sz w:val="24"/>
          <w:szCs w:val="24"/>
          <w:lang w:val="en-GB"/>
        </w:rPr>
        <w:t>should be measured (Coad et al.</w:t>
      </w:r>
      <w:r w:rsidR="00907D82" w:rsidRPr="00A03898">
        <w:rPr>
          <w:rFonts w:ascii="Times New Roman" w:hAnsi="Times New Roman" w:cs="Times New Roman"/>
          <w:color w:val="auto"/>
          <w:sz w:val="24"/>
          <w:szCs w:val="24"/>
          <w:lang w:val="en-GB"/>
        </w:rPr>
        <w:t xml:space="preserve"> 2014). Differences exist also with respect to the use of relative (in respect to a population of firms in sector or country) or absolute growth m</w:t>
      </w:r>
      <w:r w:rsidR="007A6E03" w:rsidRPr="00A03898">
        <w:rPr>
          <w:rFonts w:ascii="Times New Roman" w:hAnsi="Times New Roman" w:cs="Times New Roman"/>
          <w:color w:val="auto"/>
          <w:sz w:val="24"/>
          <w:szCs w:val="24"/>
          <w:lang w:val="en-GB"/>
        </w:rPr>
        <w:t>easures (</w:t>
      </w:r>
      <w:proofErr w:type="spellStart"/>
      <w:r w:rsidR="007A6E03" w:rsidRPr="00A03898">
        <w:rPr>
          <w:rFonts w:ascii="Times New Roman" w:hAnsi="Times New Roman" w:cs="Times New Roman"/>
          <w:color w:val="auto"/>
          <w:sz w:val="24"/>
          <w:szCs w:val="24"/>
          <w:lang w:val="en-GB"/>
        </w:rPr>
        <w:t>Arrighetti</w:t>
      </w:r>
      <w:proofErr w:type="spellEnd"/>
      <w:r w:rsidR="007A6E03" w:rsidRPr="00A03898">
        <w:rPr>
          <w:rFonts w:ascii="Times New Roman" w:hAnsi="Times New Roman" w:cs="Times New Roman"/>
          <w:color w:val="auto"/>
          <w:sz w:val="24"/>
          <w:szCs w:val="24"/>
          <w:lang w:val="en-GB"/>
        </w:rPr>
        <w:t xml:space="preserve"> and </w:t>
      </w:r>
      <w:proofErr w:type="spellStart"/>
      <w:r w:rsidR="007A6E03" w:rsidRPr="00A03898">
        <w:rPr>
          <w:rFonts w:ascii="Times New Roman" w:hAnsi="Times New Roman" w:cs="Times New Roman"/>
          <w:color w:val="auto"/>
          <w:sz w:val="24"/>
          <w:szCs w:val="24"/>
          <w:lang w:val="en-GB"/>
        </w:rPr>
        <w:t>Lasagni</w:t>
      </w:r>
      <w:proofErr w:type="spellEnd"/>
      <w:r w:rsidR="005C6EDF" w:rsidRPr="00A03898">
        <w:rPr>
          <w:rFonts w:ascii="Times New Roman" w:hAnsi="Times New Roman" w:cs="Times New Roman"/>
          <w:color w:val="auto"/>
          <w:sz w:val="24"/>
          <w:szCs w:val="24"/>
          <w:lang w:val="en-GB"/>
        </w:rPr>
        <w:t xml:space="preserve"> 2013</w:t>
      </w:r>
      <w:r w:rsidR="00907D82" w:rsidRPr="00A03898">
        <w:rPr>
          <w:rFonts w:ascii="Times New Roman" w:hAnsi="Times New Roman" w:cs="Times New Roman"/>
          <w:color w:val="auto"/>
          <w:sz w:val="24"/>
          <w:szCs w:val="24"/>
          <w:lang w:val="en-GB"/>
        </w:rPr>
        <w:t xml:space="preserve">). Coad et al. (2014) note that findings from most studies do not exhibit sensitivity to the choice between employment or sales. When it comes to the use of relative or absolute growth measures, it was established that each of these approaches has its advantages but relative approach hinders </w:t>
      </w:r>
      <w:r w:rsidR="00591480" w:rsidRPr="00A03898">
        <w:rPr>
          <w:rFonts w:ascii="Times New Roman" w:hAnsi="Times New Roman" w:cs="Times New Roman"/>
          <w:color w:val="auto"/>
          <w:sz w:val="24"/>
          <w:szCs w:val="24"/>
          <w:lang w:val="en-GB"/>
        </w:rPr>
        <w:t xml:space="preserve">the </w:t>
      </w:r>
      <w:r w:rsidR="00907D82" w:rsidRPr="00A03898">
        <w:rPr>
          <w:rFonts w:ascii="Times New Roman" w:hAnsi="Times New Roman" w:cs="Times New Roman"/>
          <w:color w:val="auto"/>
          <w:sz w:val="24"/>
          <w:szCs w:val="24"/>
          <w:lang w:val="en-GB"/>
        </w:rPr>
        <w:t>ability of researchers to undertake comparisons across</w:t>
      </w:r>
      <w:r w:rsidR="007A6E03" w:rsidRPr="00A03898">
        <w:rPr>
          <w:rFonts w:ascii="Times New Roman" w:hAnsi="Times New Roman" w:cs="Times New Roman"/>
          <w:color w:val="auto"/>
          <w:sz w:val="24"/>
          <w:szCs w:val="24"/>
          <w:lang w:val="en-GB"/>
        </w:rPr>
        <w:t xml:space="preserve"> time or countries (Coad et al.</w:t>
      </w:r>
      <w:r w:rsidR="00907D82" w:rsidRPr="00A03898">
        <w:rPr>
          <w:rFonts w:ascii="Times New Roman" w:hAnsi="Times New Roman" w:cs="Times New Roman"/>
          <w:color w:val="auto"/>
          <w:sz w:val="24"/>
          <w:szCs w:val="24"/>
          <w:lang w:val="en-GB"/>
        </w:rPr>
        <w:t xml:space="preserve"> 2014).</w:t>
      </w:r>
    </w:p>
    <w:p w14:paraId="4E64364D" w14:textId="77777777" w:rsidR="007A6E03" w:rsidRPr="00A03898" w:rsidRDefault="00907D82" w:rsidP="007A6E03">
      <w:pPr>
        <w:pStyle w:val="Body"/>
        <w:spacing w:after="0" w:line="360" w:lineRule="auto"/>
        <w:ind w:firstLine="708"/>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 xml:space="preserve">One of the most specific and definitive guidelines on the definition of high growth firms is offered by Eurostat/OECD in the Manual on Business Demography Statistics (2007) where high growth enterprises are defined in an absolute term as all firms with average annualized </w:t>
      </w:r>
      <w:r w:rsidRPr="00A03898">
        <w:rPr>
          <w:rFonts w:ascii="Times New Roman" w:hAnsi="Times New Roman" w:cs="Times New Roman"/>
          <w:color w:val="auto"/>
          <w:sz w:val="24"/>
          <w:szCs w:val="24"/>
          <w:lang w:val="en-GB"/>
        </w:rPr>
        <w:lastRenderedPageBreak/>
        <w:t>growth of either employment or sales above 20 percent over a three years long period and employing at least ten employees at the beginnin</w:t>
      </w:r>
      <w:r w:rsidR="007A6E03" w:rsidRPr="00A03898">
        <w:rPr>
          <w:rFonts w:ascii="Times New Roman" w:hAnsi="Times New Roman" w:cs="Times New Roman"/>
          <w:color w:val="auto"/>
          <w:sz w:val="24"/>
          <w:szCs w:val="24"/>
          <w:lang w:val="en-GB"/>
        </w:rPr>
        <w:t>g of observed period (</w:t>
      </w:r>
      <w:proofErr w:type="spellStart"/>
      <w:r w:rsidR="007A6E03" w:rsidRPr="00A03898">
        <w:rPr>
          <w:rFonts w:ascii="Times New Roman" w:hAnsi="Times New Roman" w:cs="Times New Roman"/>
          <w:color w:val="auto"/>
          <w:sz w:val="24"/>
          <w:szCs w:val="24"/>
          <w:lang w:val="en-GB"/>
        </w:rPr>
        <w:t>Audretsch</w:t>
      </w:r>
      <w:proofErr w:type="spellEnd"/>
      <w:r w:rsidRPr="00A03898">
        <w:rPr>
          <w:rFonts w:ascii="Times New Roman" w:hAnsi="Times New Roman" w:cs="Times New Roman"/>
          <w:color w:val="auto"/>
          <w:sz w:val="24"/>
          <w:szCs w:val="24"/>
          <w:lang w:val="en-GB"/>
        </w:rPr>
        <w:t xml:space="preserve"> 2012). </w:t>
      </w:r>
      <w:r w:rsidR="00CC48C3" w:rsidRPr="00A03898">
        <w:rPr>
          <w:rFonts w:ascii="Times New Roman" w:hAnsi="Times New Roman" w:cs="Times New Roman"/>
          <w:color w:val="auto"/>
          <w:sz w:val="24"/>
          <w:szCs w:val="24"/>
          <w:lang w:val="en-GB"/>
        </w:rPr>
        <w:t xml:space="preserve">Along similar lines, European Commission and Eurostat define high growth enterprises as firms with average annualized growth of either employment or sales greater than 10% per annum over a </w:t>
      </w:r>
      <w:r w:rsidR="007A6E03" w:rsidRPr="00A03898">
        <w:rPr>
          <w:rFonts w:ascii="Times New Roman" w:hAnsi="Times New Roman" w:cs="Times New Roman"/>
          <w:color w:val="auto"/>
          <w:sz w:val="24"/>
          <w:szCs w:val="24"/>
          <w:lang w:val="en-GB"/>
        </w:rPr>
        <w:t>three-year</w:t>
      </w:r>
      <w:r w:rsidR="00CC48C3" w:rsidRPr="00A03898">
        <w:rPr>
          <w:rFonts w:ascii="Times New Roman" w:hAnsi="Times New Roman" w:cs="Times New Roman"/>
          <w:color w:val="auto"/>
          <w:sz w:val="24"/>
          <w:szCs w:val="24"/>
          <w:lang w:val="en-GB"/>
        </w:rPr>
        <w:t xml:space="preserve"> period. </w:t>
      </w:r>
    </w:p>
    <w:p w14:paraId="4EEE4E1F" w14:textId="2C70E482" w:rsidR="00E314C9" w:rsidRPr="00A03898" w:rsidRDefault="00CC48C3" w:rsidP="007A6E03">
      <w:pPr>
        <w:pStyle w:val="Body"/>
        <w:spacing w:after="0" w:line="360" w:lineRule="auto"/>
        <w:ind w:firstLine="708"/>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 xml:space="preserve">Eurostat offers sectoral data on firms with growth exceeding 20% for </w:t>
      </w:r>
      <w:r w:rsidR="00B470A7"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 xml:space="preserve">period up to 2013 while the data for firms with growth above 10% are available for the period </w:t>
      </w:r>
      <w:r w:rsidR="008C08F3" w:rsidRPr="00A03898">
        <w:rPr>
          <w:rFonts w:ascii="Times New Roman" w:hAnsi="Times New Roman" w:cs="Times New Roman"/>
          <w:color w:val="auto"/>
          <w:sz w:val="24"/>
          <w:szCs w:val="24"/>
          <w:lang w:val="en-GB"/>
        </w:rPr>
        <w:t>covered by</w:t>
      </w:r>
      <w:r w:rsidRPr="00A03898">
        <w:rPr>
          <w:rFonts w:ascii="Times New Roman" w:hAnsi="Times New Roman" w:cs="Times New Roman"/>
          <w:color w:val="auto"/>
          <w:sz w:val="24"/>
          <w:szCs w:val="24"/>
          <w:lang w:val="en-GB"/>
        </w:rPr>
        <w:t xml:space="preserve"> our analysis. Since our analysis relies on data </w:t>
      </w:r>
      <w:r w:rsidR="009316FD" w:rsidRPr="00A03898">
        <w:rPr>
          <w:rFonts w:ascii="Times New Roman" w:hAnsi="Times New Roman" w:cs="Times New Roman"/>
          <w:color w:val="auto"/>
          <w:sz w:val="24"/>
          <w:szCs w:val="24"/>
          <w:lang w:val="en-GB"/>
        </w:rPr>
        <w:t>pertaining to the</w:t>
      </w:r>
      <w:r w:rsidRPr="00A03898">
        <w:rPr>
          <w:rFonts w:ascii="Times New Roman" w:hAnsi="Times New Roman" w:cs="Times New Roman"/>
          <w:color w:val="auto"/>
          <w:sz w:val="24"/>
          <w:szCs w:val="24"/>
          <w:lang w:val="en-GB"/>
        </w:rPr>
        <w:t xml:space="preserve"> number of high growth firms taken from Eurostat</w:t>
      </w:r>
      <w:r w:rsidR="009316FD" w:rsidRPr="00A03898">
        <w:rPr>
          <w:rFonts w:ascii="Times New Roman" w:hAnsi="Times New Roman" w:cs="Times New Roman"/>
          <w:color w:val="auto"/>
          <w:sz w:val="24"/>
          <w:szCs w:val="24"/>
          <w:lang w:val="en-GB"/>
        </w:rPr>
        <w:t>,</w:t>
      </w:r>
      <w:r w:rsidRPr="00A03898">
        <w:rPr>
          <w:rFonts w:ascii="Times New Roman" w:hAnsi="Times New Roman" w:cs="Times New Roman"/>
          <w:color w:val="auto"/>
          <w:sz w:val="24"/>
          <w:szCs w:val="24"/>
          <w:lang w:val="en-GB"/>
        </w:rPr>
        <w:t xml:space="preserve"> we adopt the absolute measure of high growth firms as defined by Eurostat and European Commission in its Commission Implementing Regulation 439/2014. </w:t>
      </w:r>
      <w:r w:rsidR="00E314C9" w:rsidRPr="00A03898">
        <w:rPr>
          <w:rFonts w:ascii="Times New Roman" w:hAnsi="Times New Roman" w:cs="Times New Roman"/>
          <w:color w:val="auto"/>
          <w:sz w:val="24"/>
          <w:szCs w:val="24"/>
          <w:lang w:val="en-GB"/>
        </w:rPr>
        <w:t xml:space="preserve">On the right side, </w:t>
      </w:r>
      <w:r w:rsidR="009316FD" w:rsidRPr="00A03898">
        <w:rPr>
          <w:rFonts w:ascii="Times New Roman" w:hAnsi="Times New Roman" w:cs="Times New Roman"/>
          <w:color w:val="auto"/>
          <w:sz w:val="24"/>
          <w:szCs w:val="24"/>
          <w:lang w:val="en-GB"/>
        </w:rPr>
        <w:t xml:space="preserve">the </w:t>
      </w:r>
      <w:r w:rsidR="00E314C9" w:rsidRPr="00A03898">
        <w:rPr>
          <w:rFonts w:ascii="Times New Roman" w:hAnsi="Times New Roman" w:cs="Times New Roman"/>
          <w:color w:val="auto"/>
          <w:sz w:val="24"/>
          <w:szCs w:val="24"/>
          <w:lang w:val="en-GB"/>
        </w:rPr>
        <w:t xml:space="preserve">model includes lagged dependent variable. The higher share of </w:t>
      </w:r>
      <w:r w:rsidR="00907D82" w:rsidRPr="00A03898">
        <w:rPr>
          <w:rFonts w:ascii="Times New Roman" w:hAnsi="Times New Roman" w:cs="Times New Roman"/>
          <w:color w:val="auto"/>
          <w:sz w:val="24"/>
          <w:szCs w:val="24"/>
          <w:lang w:val="en-GB"/>
        </w:rPr>
        <w:t>start-ups</w:t>
      </w:r>
      <w:r w:rsidR="00E314C9" w:rsidRPr="00A03898">
        <w:rPr>
          <w:rFonts w:ascii="Times New Roman" w:hAnsi="Times New Roman" w:cs="Times New Roman"/>
          <w:color w:val="auto"/>
          <w:sz w:val="24"/>
          <w:szCs w:val="24"/>
          <w:lang w:val="en-GB"/>
        </w:rPr>
        <w:t xml:space="preserve"> or high-growth firms in the past may signal attractiveness of industry and opportunities for </w:t>
      </w:r>
      <w:r w:rsidR="009316FD" w:rsidRPr="00A03898">
        <w:rPr>
          <w:rFonts w:ascii="Times New Roman" w:hAnsi="Times New Roman" w:cs="Times New Roman"/>
          <w:color w:val="auto"/>
          <w:sz w:val="24"/>
          <w:szCs w:val="24"/>
          <w:lang w:val="en-GB"/>
        </w:rPr>
        <w:t xml:space="preserve">the </w:t>
      </w:r>
      <w:r w:rsidR="00E314C9" w:rsidRPr="00A03898">
        <w:rPr>
          <w:rFonts w:ascii="Times New Roman" w:hAnsi="Times New Roman" w:cs="Times New Roman"/>
          <w:color w:val="auto"/>
          <w:sz w:val="24"/>
          <w:szCs w:val="24"/>
          <w:lang w:val="en-GB"/>
        </w:rPr>
        <w:t xml:space="preserve">above-average returns and thus attract more entrants or result in even greater number of high-growth firms. </w:t>
      </w:r>
    </w:p>
    <w:p w14:paraId="2737E92F" w14:textId="4D3005A5" w:rsidR="00E314C9" w:rsidRPr="00A03898" w:rsidRDefault="00E314C9" w:rsidP="00E314C9">
      <w:pPr>
        <w:pStyle w:val="Body"/>
        <w:spacing w:after="0" w:line="360" w:lineRule="auto"/>
        <w:ind w:firstLine="708"/>
        <w:jc w:val="both"/>
        <w:rPr>
          <w:rFonts w:ascii="Times New Roman" w:hAnsi="Times New Roman" w:cs="Times New Roman"/>
          <w:color w:val="auto"/>
          <w:sz w:val="24"/>
          <w:szCs w:val="24"/>
          <w:lang w:val="en-GB"/>
        </w:rPr>
      </w:pPr>
      <w:proofErr w:type="spellStart"/>
      <w:r w:rsidRPr="00A03898">
        <w:rPr>
          <w:rFonts w:ascii="Times New Roman" w:hAnsi="Times New Roman" w:cs="Times New Roman"/>
          <w:i/>
          <w:iCs/>
          <w:color w:val="auto"/>
          <w:sz w:val="24"/>
          <w:szCs w:val="24"/>
          <w:lang w:val="en-GB"/>
        </w:rPr>
        <w:t>X</w:t>
      </w:r>
      <w:r w:rsidRPr="00A03898">
        <w:rPr>
          <w:rFonts w:ascii="Times New Roman" w:hAnsi="Times New Roman" w:cs="Times New Roman"/>
          <w:i/>
          <w:iCs/>
          <w:color w:val="auto"/>
          <w:sz w:val="24"/>
          <w:szCs w:val="24"/>
          <w:vertAlign w:val="subscript"/>
          <w:lang w:val="en-GB"/>
        </w:rPr>
        <w:t>ijt</w:t>
      </w:r>
      <w:proofErr w:type="spellEnd"/>
      <w:r w:rsidRPr="00A03898">
        <w:rPr>
          <w:rFonts w:ascii="Times New Roman" w:hAnsi="Times New Roman" w:cs="Times New Roman"/>
          <w:color w:val="auto"/>
          <w:sz w:val="24"/>
          <w:szCs w:val="24"/>
          <w:vertAlign w:val="subscript"/>
          <w:lang w:val="en-GB"/>
        </w:rPr>
        <w:t xml:space="preserve"> </w:t>
      </w:r>
      <w:r w:rsidRPr="00A03898">
        <w:rPr>
          <w:rFonts w:ascii="Times New Roman" w:hAnsi="Times New Roman" w:cs="Times New Roman"/>
          <w:color w:val="auto"/>
          <w:sz w:val="24"/>
          <w:szCs w:val="24"/>
          <w:lang w:val="en-GB"/>
        </w:rPr>
        <w:t xml:space="preserve">stands for our key variables of interest measuring the trade and GVC integration of given industries in the EU market. Intra-EU trade variables take several forms defined as the share of EU exports (imports) in total exports (imports) of industry </w:t>
      </w:r>
      <w:r w:rsidRPr="00A03898">
        <w:rPr>
          <w:rFonts w:ascii="Times New Roman" w:hAnsi="Times New Roman" w:cs="Times New Roman"/>
          <w:i/>
          <w:iCs/>
          <w:color w:val="auto"/>
          <w:sz w:val="24"/>
          <w:szCs w:val="24"/>
          <w:lang w:val="en-GB"/>
        </w:rPr>
        <w:t xml:space="preserve">i </w:t>
      </w:r>
      <w:r w:rsidRPr="00A03898">
        <w:rPr>
          <w:rFonts w:ascii="Times New Roman" w:hAnsi="Times New Roman" w:cs="Times New Roman"/>
          <w:color w:val="auto"/>
          <w:sz w:val="24"/>
          <w:szCs w:val="24"/>
          <w:lang w:val="en-GB"/>
        </w:rPr>
        <w:t xml:space="preserve">from country </w:t>
      </w:r>
      <w:r w:rsidRPr="00A03898">
        <w:rPr>
          <w:rFonts w:ascii="Times New Roman" w:hAnsi="Times New Roman" w:cs="Times New Roman"/>
          <w:i/>
          <w:iCs/>
          <w:color w:val="auto"/>
          <w:sz w:val="24"/>
          <w:szCs w:val="24"/>
          <w:lang w:val="en-GB"/>
        </w:rPr>
        <w:t xml:space="preserve">j </w:t>
      </w:r>
      <w:r w:rsidRPr="00A03898">
        <w:rPr>
          <w:rFonts w:ascii="Times New Roman" w:hAnsi="Times New Roman" w:cs="Times New Roman"/>
          <w:color w:val="auto"/>
          <w:sz w:val="24"/>
          <w:szCs w:val="24"/>
          <w:lang w:val="en-GB"/>
        </w:rPr>
        <w:t xml:space="preserve">in period </w:t>
      </w:r>
      <w:r w:rsidRPr="00A03898">
        <w:rPr>
          <w:rFonts w:ascii="Times New Roman" w:hAnsi="Times New Roman" w:cs="Times New Roman"/>
          <w:i/>
          <w:iCs/>
          <w:color w:val="auto"/>
          <w:sz w:val="24"/>
          <w:szCs w:val="24"/>
          <w:lang w:val="en-GB"/>
        </w:rPr>
        <w:t>t</w:t>
      </w:r>
      <w:r w:rsidRPr="00A03898">
        <w:rPr>
          <w:rFonts w:ascii="Times New Roman" w:hAnsi="Times New Roman" w:cs="Times New Roman"/>
          <w:color w:val="auto"/>
          <w:sz w:val="24"/>
          <w:szCs w:val="24"/>
          <w:lang w:val="en-GB"/>
        </w:rPr>
        <w:t xml:space="preserve">. In measuring </w:t>
      </w:r>
      <w:r w:rsidR="009316FD"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 xml:space="preserve">participation in GVC we use value-added approach. Participation in GVC is measured with two measures defined as backward and forward GVC participation, i.e. the share of foreign value added content (EU value added) embodied in domestic </w:t>
      </w:r>
      <w:r w:rsidR="00184E13" w:rsidRPr="00A03898">
        <w:rPr>
          <w:rFonts w:ascii="Times New Roman" w:hAnsi="Times New Roman" w:cs="Times New Roman"/>
          <w:color w:val="auto"/>
          <w:sz w:val="24"/>
          <w:szCs w:val="24"/>
          <w:lang w:val="en-GB"/>
        </w:rPr>
        <w:t xml:space="preserve">gross </w:t>
      </w:r>
      <w:r w:rsidRPr="00A03898">
        <w:rPr>
          <w:rFonts w:ascii="Times New Roman" w:hAnsi="Times New Roman" w:cs="Times New Roman"/>
          <w:color w:val="auto"/>
          <w:sz w:val="24"/>
          <w:szCs w:val="24"/>
          <w:lang w:val="en-GB"/>
        </w:rPr>
        <w:t xml:space="preserve">exports and the share of domestic value added embodied in foreign </w:t>
      </w:r>
      <w:r w:rsidR="00184E13" w:rsidRPr="00A03898">
        <w:rPr>
          <w:rFonts w:ascii="Times New Roman" w:hAnsi="Times New Roman" w:cs="Times New Roman"/>
          <w:color w:val="auto"/>
          <w:sz w:val="24"/>
          <w:szCs w:val="24"/>
          <w:lang w:val="en-GB"/>
        </w:rPr>
        <w:t xml:space="preserve">gross </w:t>
      </w:r>
      <w:r w:rsidRPr="00A03898">
        <w:rPr>
          <w:rFonts w:ascii="Times New Roman" w:hAnsi="Times New Roman" w:cs="Times New Roman"/>
          <w:color w:val="auto"/>
          <w:sz w:val="24"/>
          <w:szCs w:val="24"/>
          <w:lang w:val="en-GB"/>
        </w:rPr>
        <w:t xml:space="preserve">exports. </w:t>
      </w:r>
    </w:p>
    <w:p w14:paraId="26F97576" w14:textId="28435B8B" w:rsidR="00E314C9" w:rsidRPr="00A03898" w:rsidRDefault="00E314C9" w:rsidP="00E314C9">
      <w:pPr>
        <w:pStyle w:val="Body"/>
        <w:spacing w:after="0" w:line="360" w:lineRule="auto"/>
        <w:ind w:firstLine="709"/>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Principal level of analysis is concerned with EU-28 as a whole. We then distinguish between linkages within the groups of member states admitted to EU from 2004 onwards (EU-13) and the linkages between</w:t>
      </w:r>
      <w:r w:rsidR="00184E13" w:rsidRPr="00A03898">
        <w:rPr>
          <w:rFonts w:ascii="Times New Roman" w:hAnsi="Times New Roman" w:cs="Times New Roman"/>
          <w:color w:val="auto"/>
          <w:sz w:val="24"/>
          <w:szCs w:val="24"/>
          <w:lang w:val="en-GB"/>
        </w:rPr>
        <w:t xml:space="preserve"> CEE</w:t>
      </w:r>
      <w:r w:rsidRPr="00A03898">
        <w:rPr>
          <w:rFonts w:ascii="Times New Roman" w:hAnsi="Times New Roman" w:cs="Times New Roman"/>
          <w:color w:val="auto"/>
          <w:sz w:val="24"/>
          <w:szCs w:val="24"/>
          <w:lang w:val="en-GB"/>
        </w:rPr>
        <w:t xml:space="preserve"> and “old” Western European EU member states also known as EU-15. We are also interested in differences with respect to the type of products involved in intra-EU trade and value chains. For this reason, we distinguish between the final and the intermediate products. Being positioned in lower tiers of value chain and lacking capabilities for development and commercialization of sophisticated products, CEE can be expected to provide higher opportunities for achievement of entrepreneurial gains through flows of products intended for intermediate consumption. </w:t>
      </w:r>
    </w:p>
    <w:p w14:paraId="53DA0280" w14:textId="01FB16F0" w:rsidR="007A6E03" w:rsidRPr="00A03898" w:rsidRDefault="00E314C9" w:rsidP="007A6E03">
      <w:pPr>
        <w:pStyle w:val="Body"/>
        <w:spacing w:line="360" w:lineRule="auto"/>
        <w:ind w:firstLine="708"/>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 xml:space="preserve">The term </w:t>
      </w:r>
      <w:proofErr w:type="spellStart"/>
      <w:r w:rsidRPr="00A03898">
        <w:rPr>
          <w:rFonts w:ascii="Times New Roman" w:hAnsi="Times New Roman" w:cs="Times New Roman"/>
          <w:i/>
          <w:iCs/>
          <w:color w:val="auto"/>
          <w:sz w:val="24"/>
          <w:szCs w:val="24"/>
          <w:lang w:val="en-GB"/>
        </w:rPr>
        <w:t>z</w:t>
      </w:r>
      <w:r w:rsidRPr="00A03898">
        <w:rPr>
          <w:rFonts w:ascii="Times New Roman" w:hAnsi="Times New Roman" w:cs="Times New Roman"/>
          <w:i/>
          <w:iCs/>
          <w:color w:val="auto"/>
          <w:sz w:val="24"/>
          <w:szCs w:val="24"/>
          <w:vertAlign w:val="subscript"/>
          <w:lang w:val="en-GB"/>
        </w:rPr>
        <w:t>ijt</w:t>
      </w:r>
      <w:proofErr w:type="spellEnd"/>
      <w:r w:rsidRPr="00A03898">
        <w:rPr>
          <w:rFonts w:ascii="Times New Roman" w:hAnsi="Times New Roman" w:cs="Times New Roman"/>
          <w:i/>
          <w:iCs/>
          <w:color w:val="auto"/>
          <w:sz w:val="24"/>
          <w:szCs w:val="24"/>
          <w:lang w:val="en-GB"/>
        </w:rPr>
        <w:t xml:space="preserve"> </w:t>
      </w:r>
      <w:r w:rsidRPr="00A03898">
        <w:rPr>
          <w:rFonts w:ascii="Times New Roman" w:hAnsi="Times New Roman" w:cs="Times New Roman"/>
          <w:color w:val="auto"/>
          <w:sz w:val="24"/>
          <w:szCs w:val="24"/>
          <w:lang w:val="en-GB"/>
        </w:rPr>
        <w:t xml:space="preserve">refers to the set of control variables. Here, we were led </w:t>
      </w:r>
      <w:r w:rsidR="00A113CF" w:rsidRPr="00A03898">
        <w:rPr>
          <w:rFonts w:ascii="Times New Roman" w:hAnsi="Times New Roman" w:cs="Times New Roman"/>
          <w:color w:val="auto"/>
          <w:sz w:val="24"/>
          <w:szCs w:val="24"/>
          <w:lang w:val="en-GB"/>
        </w:rPr>
        <w:t>by the</w:t>
      </w:r>
      <w:r w:rsidRPr="00A03898">
        <w:rPr>
          <w:rFonts w:ascii="Times New Roman" w:hAnsi="Times New Roman" w:cs="Times New Roman"/>
          <w:color w:val="auto"/>
          <w:sz w:val="24"/>
          <w:szCs w:val="24"/>
          <w:lang w:val="en-GB"/>
        </w:rPr>
        <w:t xml:space="preserve"> trade-off between theoretical propositions about potential determinants of firm entry and growth and the availability of data. Existing sources are scarce on variables that cover all country-industry-time pairs used in our analysis. This presents potential limitation that could be addressed by </w:t>
      </w:r>
      <w:r w:rsidRPr="00A03898">
        <w:rPr>
          <w:rFonts w:ascii="Times New Roman" w:hAnsi="Times New Roman" w:cs="Times New Roman"/>
          <w:color w:val="auto"/>
          <w:sz w:val="24"/>
          <w:szCs w:val="24"/>
          <w:lang w:val="en-GB"/>
        </w:rPr>
        <w:lastRenderedPageBreak/>
        <w:t xml:space="preserve">future research subject to data availability. The model includes measures of unit labour costs (share of wages in revenues) and investment in machinery and equipment per firm. In the market segments dominant in CEE, cost-competitiveness acts as </w:t>
      </w:r>
      <w:r w:rsidR="00A113CF" w:rsidRPr="00A03898">
        <w:rPr>
          <w:rFonts w:ascii="Times New Roman" w:hAnsi="Times New Roman" w:cs="Times New Roman"/>
          <w:color w:val="auto"/>
          <w:sz w:val="24"/>
          <w:szCs w:val="24"/>
          <w:lang w:val="en-GB"/>
        </w:rPr>
        <w:t xml:space="preserve">a </w:t>
      </w:r>
      <w:r w:rsidRPr="00A03898">
        <w:rPr>
          <w:rFonts w:ascii="Times New Roman" w:hAnsi="Times New Roman" w:cs="Times New Roman"/>
          <w:color w:val="auto"/>
          <w:sz w:val="24"/>
          <w:szCs w:val="24"/>
          <w:lang w:val="en-GB"/>
        </w:rPr>
        <w:t>decisive competitive advantage. It can be expected that lower labour costs facilitate entry and growth through a greater availability of the competitive workforce. As production economies, these countries also rely heavily on investment in machinery and equipment as a mean</w:t>
      </w:r>
      <w:r w:rsidR="00A113CF" w:rsidRPr="00A03898">
        <w:rPr>
          <w:rFonts w:ascii="Times New Roman" w:hAnsi="Times New Roman" w:cs="Times New Roman"/>
          <w:color w:val="auto"/>
          <w:sz w:val="24"/>
          <w:szCs w:val="24"/>
          <w:lang w:val="en-GB"/>
        </w:rPr>
        <w:t>s</w:t>
      </w:r>
      <w:r w:rsidRPr="00A03898">
        <w:rPr>
          <w:rFonts w:ascii="Times New Roman" w:hAnsi="Times New Roman" w:cs="Times New Roman"/>
          <w:color w:val="auto"/>
          <w:sz w:val="24"/>
          <w:szCs w:val="24"/>
          <w:lang w:val="en-GB"/>
        </w:rPr>
        <w:t xml:space="preserve"> of building indigenous production capabilities. Such capabilities may enable firms to offset upward cost pressures, perform more complex and sophisticated activities within the value creation process and thus increase their growth prospects. </w:t>
      </w:r>
    </w:p>
    <w:p w14:paraId="0912AB74" w14:textId="4D5B05EA" w:rsidR="00E314C9" w:rsidRPr="00A03898" w:rsidRDefault="00E314C9" w:rsidP="007A6E03">
      <w:pPr>
        <w:pStyle w:val="Body"/>
        <w:spacing w:line="360" w:lineRule="auto"/>
        <w:ind w:firstLine="708"/>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 xml:space="preserve">The model also includes </w:t>
      </w:r>
      <w:r w:rsidR="00A113CF" w:rsidRPr="00A03898">
        <w:rPr>
          <w:rFonts w:ascii="Times New Roman" w:hAnsi="Times New Roman" w:cs="Times New Roman"/>
          <w:color w:val="auto"/>
          <w:sz w:val="24"/>
          <w:szCs w:val="24"/>
          <w:lang w:val="en-GB"/>
        </w:rPr>
        <w:t xml:space="preserve">a </w:t>
      </w:r>
      <w:r w:rsidRPr="00A03898">
        <w:rPr>
          <w:rFonts w:ascii="Times New Roman" w:hAnsi="Times New Roman" w:cs="Times New Roman"/>
          <w:color w:val="auto"/>
          <w:sz w:val="24"/>
          <w:szCs w:val="24"/>
          <w:lang w:val="en-GB"/>
        </w:rPr>
        <w:t>variable measuring the share of foreign enterprises in an industry. Foreign enterprises have been recognised as a source of restructuring, productivity growth and higher export competitiveness in advancing countries due to their spillover effects on upstream, downstream and horizontally related enterprises</w:t>
      </w:r>
      <w:r w:rsidR="00913D40" w:rsidRPr="00A03898">
        <w:rPr>
          <w:rFonts w:ascii="Times New Roman" w:hAnsi="Times New Roman" w:cs="Times New Roman"/>
          <w:color w:val="auto"/>
          <w:sz w:val="24"/>
          <w:szCs w:val="24"/>
          <w:lang w:val="en-GB"/>
        </w:rPr>
        <w:t xml:space="preserve"> (</w:t>
      </w:r>
      <w:proofErr w:type="spellStart"/>
      <w:r w:rsidR="007A6E03" w:rsidRPr="00A03898">
        <w:rPr>
          <w:rFonts w:ascii="Times New Roman" w:hAnsi="Times New Roman" w:cs="Times New Roman"/>
          <w:color w:val="auto"/>
          <w:sz w:val="24"/>
          <w:szCs w:val="24"/>
          <w:lang w:val="en-GB"/>
        </w:rPr>
        <w:t>Colantone</w:t>
      </w:r>
      <w:proofErr w:type="spellEnd"/>
      <w:r w:rsidR="007A6E03" w:rsidRPr="00A03898">
        <w:rPr>
          <w:rFonts w:ascii="Times New Roman" w:hAnsi="Times New Roman" w:cs="Times New Roman"/>
          <w:color w:val="auto"/>
          <w:sz w:val="24"/>
          <w:szCs w:val="24"/>
          <w:lang w:val="en-GB"/>
        </w:rPr>
        <w:t xml:space="preserve"> and </w:t>
      </w:r>
      <w:proofErr w:type="spellStart"/>
      <w:r w:rsidR="007A6E03" w:rsidRPr="00A03898">
        <w:rPr>
          <w:rFonts w:ascii="Times New Roman" w:hAnsi="Times New Roman" w:cs="Times New Roman"/>
          <w:color w:val="auto"/>
          <w:sz w:val="24"/>
          <w:szCs w:val="24"/>
          <w:lang w:val="en-GB"/>
        </w:rPr>
        <w:t>Sleuwaegen</w:t>
      </w:r>
      <w:proofErr w:type="spellEnd"/>
      <w:r w:rsidR="00913D40" w:rsidRPr="00A03898">
        <w:rPr>
          <w:rFonts w:ascii="Times New Roman" w:hAnsi="Times New Roman" w:cs="Times New Roman"/>
          <w:color w:val="auto"/>
          <w:sz w:val="24"/>
          <w:szCs w:val="24"/>
          <w:lang w:val="en-GB"/>
        </w:rPr>
        <w:t xml:space="preserve"> 2008; </w:t>
      </w:r>
      <w:r w:rsidR="007A6E03" w:rsidRPr="00A03898">
        <w:rPr>
          <w:rFonts w:ascii="Times New Roman" w:hAnsi="Times New Roman" w:cs="Times New Roman"/>
          <w:color w:val="auto"/>
          <w:sz w:val="24"/>
          <w:szCs w:val="24"/>
          <w:lang w:val="en-GB"/>
        </w:rPr>
        <w:t>Reyes</w:t>
      </w:r>
      <w:r w:rsidR="00913D40" w:rsidRPr="00A03898">
        <w:rPr>
          <w:rFonts w:ascii="Times New Roman" w:hAnsi="Times New Roman" w:cs="Times New Roman"/>
          <w:color w:val="auto"/>
          <w:sz w:val="24"/>
          <w:szCs w:val="24"/>
          <w:lang w:val="en-GB"/>
        </w:rPr>
        <w:t xml:space="preserve"> 2018; </w:t>
      </w:r>
      <w:r w:rsidR="007A6E03" w:rsidRPr="00A03898">
        <w:rPr>
          <w:rFonts w:ascii="Times New Roman" w:hAnsi="Times New Roman" w:cs="Times New Roman"/>
          <w:color w:val="auto"/>
          <w:sz w:val="24"/>
          <w:szCs w:val="24"/>
          <w:lang w:val="en-GB"/>
        </w:rPr>
        <w:t>Goswami et al.</w:t>
      </w:r>
      <w:r w:rsidR="00913D40" w:rsidRPr="00A03898">
        <w:rPr>
          <w:rFonts w:ascii="Times New Roman" w:hAnsi="Times New Roman" w:cs="Times New Roman"/>
          <w:color w:val="auto"/>
          <w:sz w:val="24"/>
          <w:szCs w:val="24"/>
          <w:lang w:val="en-GB"/>
        </w:rPr>
        <w:t xml:space="preserve"> 2019)</w:t>
      </w:r>
      <w:r w:rsidRPr="00A03898">
        <w:rPr>
          <w:rFonts w:ascii="Times New Roman" w:hAnsi="Times New Roman" w:cs="Times New Roman"/>
          <w:color w:val="auto"/>
          <w:sz w:val="24"/>
          <w:szCs w:val="24"/>
          <w:lang w:val="en-GB"/>
        </w:rPr>
        <w:t>. However, the inflow of foreign enterprises also presents the threat for the established businesses unable to meet high standards of competition. Same factors may act as barriers to entry</w:t>
      </w:r>
      <w:r w:rsidR="00EF0EE0" w:rsidRPr="00A03898">
        <w:rPr>
          <w:rFonts w:ascii="Times New Roman" w:hAnsi="Times New Roman" w:cs="Times New Roman"/>
          <w:color w:val="auto"/>
          <w:sz w:val="24"/>
          <w:szCs w:val="24"/>
          <w:lang w:val="en-GB"/>
        </w:rPr>
        <w:t>,</w:t>
      </w:r>
      <w:r w:rsidRPr="00A03898">
        <w:rPr>
          <w:rFonts w:ascii="Times New Roman" w:hAnsi="Times New Roman" w:cs="Times New Roman"/>
          <w:color w:val="auto"/>
          <w:sz w:val="24"/>
          <w:szCs w:val="24"/>
          <w:lang w:val="en-GB"/>
        </w:rPr>
        <w:t xml:space="preserve"> thus reducing the share of new businesses in enterprise population. </w:t>
      </w:r>
    </w:p>
    <w:p w14:paraId="6AAF6D3B" w14:textId="3D9EC12C" w:rsidR="0088721D" w:rsidRPr="00A03898" w:rsidRDefault="00E314C9" w:rsidP="0088721D">
      <w:pPr>
        <w:pStyle w:val="Body"/>
        <w:spacing w:line="360" w:lineRule="auto"/>
        <w:ind w:firstLine="708"/>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Our analysis also includes five variables controlling for the quality of institutional framework. These are taken from the World Bank World Governance Indicators database. We control for political stability, perceptions of the quality of public and civil services, government credibility and the quality of policy formulation (government effectiveness), quality of regulatory framework, confidence in rule of law and perceptions about the control of corruption</w:t>
      </w:r>
      <w:r w:rsidR="00277BFF" w:rsidRPr="00A03898">
        <w:rPr>
          <w:rFonts w:ascii="Times New Roman" w:hAnsi="Times New Roman" w:cs="Times New Roman"/>
          <w:color w:val="auto"/>
          <w:sz w:val="24"/>
          <w:szCs w:val="24"/>
          <w:lang w:val="en-GB"/>
        </w:rPr>
        <w:t xml:space="preserve">. By construction, these variables are standardised and range from -2.5 to 2.5 with </w:t>
      </w:r>
      <w:r w:rsidR="0088721D" w:rsidRPr="00A03898">
        <w:rPr>
          <w:rFonts w:ascii="Times New Roman" w:hAnsi="Times New Roman" w:cs="Times New Roman"/>
          <w:color w:val="auto"/>
          <w:sz w:val="24"/>
          <w:szCs w:val="24"/>
          <w:lang w:val="en-GB"/>
        </w:rPr>
        <w:t>higher values corresponding to better outcomes. Their inclusion is justified with prediction from the literature that</w:t>
      </w:r>
      <w:r w:rsidRPr="00A03898">
        <w:rPr>
          <w:rFonts w:ascii="Times New Roman" w:hAnsi="Times New Roman" w:cs="Times New Roman"/>
          <w:color w:val="auto"/>
          <w:sz w:val="24"/>
          <w:szCs w:val="24"/>
          <w:lang w:val="en-GB"/>
        </w:rPr>
        <w:t xml:space="preserve"> stable and efficient institutional framework is an essential prerequisite for the flourishing of the entrepreneurial activity</w:t>
      </w:r>
      <w:r w:rsidR="00913D40" w:rsidRPr="00A03898">
        <w:rPr>
          <w:rFonts w:ascii="Times New Roman" w:hAnsi="Times New Roman" w:cs="Times New Roman"/>
          <w:color w:val="auto"/>
          <w:sz w:val="24"/>
          <w:szCs w:val="24"/>
          <w:lang w:val="en-GB"/>
        </w:rPr>
        <w:t xml:space="preserve"> (</w:t>
      </w:r>
      <w:proofErr w:type="spellStart"/>
      <w:r w:rsidR="007A6E03" w:rsidRPr="00A03898">
        <w:rPr>
          <w:rFonts w:ascii="Times New Roman" w:hAnsi="Times New Roman" w:cs="Times New Roman"/>
          <w:color w:val="auto"/>
          <w:sz w:val="24"/>
          <w:szCs w:val="24"/>
          <w:lang w:val="en-GB"/>
        </w:rPr>
        <w:t>Acs</w:t>
      </w:r>
      <w:proofErr w:type="spellEnd"/>
      <w:r w:rsidR="007A6E03" w:rsidRPr="00A03898">
        <w:rPr>
          <w:rFonts w:ascii="Times New Roman" w:hAnsi="Times New Roman" w:cs="Times New Roman"/>
          <w:color w:val="auto"/>
          <w:sz w:val="24"/>
          <w:szCs w:val="24"/>
          <w:lang w:val="en-GB"/>
        </w:rPr>
        <w:t xml:space="preserve"> et al. 2009; </w:t>
      </w:r>
      <w:proofErr w:type="spellStart"/>
      <w:r w:rsidR="007A6E03" w:rsidRPr="00A03898">
        <w:rPr>
          <w:rFonts w:ascii="Times New Roman" w:hAnsi="Times New Roman" w:cs="Times New Roman"/>
          <w:color w:val="auto"/>
          <w:sz w:val="24"/>
          <w:szCs w:val="24"/>
          <w:lang w:val="en-GB"/>
        </w:rPr>
        <w:t>Davidsson</w:t>
      </w:r>
      <w:proofErr w:type="spellEnd"/>
      <w:r w:rsidR="007A6E03" w:rsidRPr="00A03898">
        <w:rPr>
          <w:rFonts w:ascii="Times New Roman" w:hAnsi="Times New Roman" w:cs="Times New Roman"/>
          <w:color w:val="auto"/>
          <w:sz w:val="24"/>
          <w:szCs w:val="24"/>
          <w:lang w:val="en-GB"/>
        </w:rPr>
        <w:t xml:space="preserve"> and </w:t>
      </w:r>
      <w:proofErr w:type="spellStart"/>
      <w:r w:rsidR="007A6E03" w:rsidRPr="00A03898">
        <w:rPr>
          <w:rFonts w:ascii="Times New Roman" w:hAnsi="Times New Roman" w:cs="Times New Roman"/>
          <w:color w:val="auto"/>
          <w:sz w:val="24"/>
          <w:szCs w:val="24"/>
          <w:lang w:val="en-GB"/>
        </w:rPr>
        <w:t>Henrekson</w:t>
      </w:r>
      <w:proofErr w:type="spellEnd"/>
      <w:r w:rsidR="007A6E03" w:rsidRPr="00A03898">
        <w:rPr>
          <w:rFonts w:ascii="Times New Roman" w:hAnsi="Times New Roman" w:cs="Times New Roman"/>
          <w:color w:val="auto"/>
          <w:sz w:val="24"/>
          <w:szCs w:val="24"/>
          <w:lang w:val="en-GB"/>
        </w:rPr>
        <w:t xml:space="preserve"> 2002; </w:t>
      </w:r>
      <w:proofErr w:type="spellStart"/>
      <w:r w:rsidR="007A6E03" w:rsidRPr="00A03898">
        <w:rPr>
          <w:rFonts w:ascii="Times New Roman" w:hAnsi="Times New Roman" w:cs="Times New Roman"/>
          <w:color w:val="auto"/>
          <w:sz w:val="24"/>
          <w:szCs w:val="24"/>
          <w:lang w:val="en-GB"/>
        </w:rPr>
        <w:t>Colantone</w:t>
      </w:r>
      <w:proofErr w:type="spellEnd"/>
      <w:r w:rsidR="007A6E03" w:rsidRPr="00A03898">
        <w:rPr>
          <w:rFonts w:ascii="Times New Roman" w:hAnsi="Times New Roman" w:cs="Times New Roman"/>
          <w:color w:val="auto"/>
          <w:sz w:val="24"/>
          <w:szCs w:val="24"/>
          <w:lang w:val="en-GB"/>
        </w:rPr>
        <w:t xml:space="preserve"> and </w:t>
      </w:r>
      <w:proofErr w:type="spellStart"/>
      <w:r w:rsidR="007A6E03" w:rsidRPr="00A03898">
        <w:rPr>
          <w:rFonts w:ascii="Times New Roman" w:hAnsi="Times New Roman" w:cs="Times New Roman"/>
          <w:color w:val="auto"/>
          <w:sz w:val="24"/>
          <w:szCs w:val="24"/>
          <w:lang w:val="en-GB"/>
        </w:rPr>
        <w:t>Sleuwaegen</w:t>
      </w:r>
      <w:proofErr w:type="spellEnd"/>
      <w:r w:rsidR="007A6E03" w:rsidRPr="00A03898">
        <w:rPr>
          <w:rFonts w:ascii="Times New Roman" w:hAnsi="Times New Roman" w:cs="Times New Roman"/>
          <w:color w:val="auto"/>
          <w:sz w:val="24"/>
          <w:szCs w:val="24"/>
          <w:lang w:val="en-GB"/>
        </w:rPr>
        <w:t xml:space="preserve"> 2008; </w:t>
      </w:r>
      <w:proofErr w:type="spellStart"/>
      <w:r w:rsidR="007A6E03" w:rsidRPr="00A03898">
        <w:rPr>
          <w:rFonts w:ascii="Times New Roman" w:hAnsi="Times New Roman" w:cs="Times New Roman"/>
          <w:color w:val="auto"/>
          <w:sz w:val="24"/>
          <w:szCs w:val="24"/>
          <w:lang w:val="en-GB"/>
        </w:rPr>
        <w:t>Krasniqi</w:t>
      </w:r>
      <w:proofErr w:type="spellEnd"/>
      <w:r w:rsidR="007A6E03" w:rsidRPr="00A03898">
        <w:rPr>
          <w:rFonts w:ascii="Times New Roman" w:hAnsi="Times New Roman" w:cs="Times New Roman"/>
          <w:color w:val="auto"/>
          <w:sz w:val="24"/>
          <w:szCs w:val="24"/>
          <w:lang w:val="en-GB"/>
        </w:rPr>
        <w:t xml:space="preserve"> and </w:t>
      </w:r>
      <w:proofErr w:type="spellStart"/>
      <w:r w:rsidR="007A6E03" w:rsidRPr="00A03898">
        <w:rPr>
          <w:rFonts w:ascii="Times New Roman" w:hAnsi="Times New Roman" w:cs="Times New Roman"/>
          <w:color w:val="auto"/>
          <w:sz w:val="24"/>
          <w:szCs w:val="24"/>
          <w:lang w:val="en-GB"/>
        </w:rPr>
        <w:t>Dessai</w:t>
      </w:r>
      <w:proofErr w:type="spellEnd"/>
      <w:r w:rsidR="007A6E03" w:rsidRPr="00A03898">
        <w:rPr>
          <w:rFonts w:ascii="Times New Roman" w:hAnsi="Times New Roman" w:cs="Times New Roman"/>
          <w:color w:val="auto"/>
          <w:sz w:val="24"/>
          <w:szCs w:val="24"/>
          <w:lang w:val="en-GB"/>
        </w:rPr>
        <w:t xml:space="preserve"> 2016; </w:t>
      </w:r>
      <w:r w:rsidR="001B11AA" w:rsidRPr="00A03898">
        <w:rPr>
          <w:rFonts w:ascii="Times New Roman" w:hAnsi="Times New Roman" w:cs="Times New Roman"/>
          <w:color w:val="auto"/>
          <w:sz w:val="24"/>
          <w:szCs w:val="24"/>
          <w:lang w:val="en-GB"/>
        </w:rPr>
        <w:t>Segarra-</w:t>
      </w:r>
      <w:proofErr w:type="spellStart"/>
      <w:r w:rsidR="001B11AA" w:rsidRPr="00A03898">
        <w:rPr>
          <w:rFonts w:ascii="Times New Roman" w:hAnsi="Times New Roman" w:cs="Times New Roman"/>
          <w:color w:val="auto"/>
          <w:sz w:val="24"/>
          <w:szCs w:val="24"/>
          <w:lang w:val="en-GB"/>
        </w:rPr>
        <w:t>Blasco</w:t>
      </w:r>
      <w:proofErr w:type="spellEnd"/>
      <w:r w:rsidR="001B11AA" w:rsidRPr="00A03898">
        <w:rPr>
          <w:rFonts w:ascii="Times New Roman" w:hAnsi="Times New Roman" w:cs="Times New Roman"/>
          <w:color w:val="auto"/>
          <w:sz w:val="24"/>
          <w:szCs w:val="24"/>
          <w:lang w:val="en-GB"/>
        </w:rPr>
        <w:t xml:space="preserve"> </w:t>
      </w:r>
      <w:r w:rsidR="007A6E03" w:rsidRPr="00A03898">
        <w:rPr>
          <w:rFonts w:ascii="Times New Roman" w:hAnsi="Times New Roman" w:cs="Times New Roman"/>
          <w:color w:val="auto"/>
          <w:sz w:val="24"/>
          <w:szCs w:val="24"/>
          <w:lang w:val="en-GB"/>
        </w:rPr>
        <w:t>et al.</w:t>
      </w:r>
      <w:r w:rsidR="00913D40" w:rsidRPr="00A03898">
        <w:rPr>
          <w:rFonts w:ascii="Times New Roman" w:hAnsi="Times New Roman" w:cs="Times New Roman"/>
          <w:color w:val="auto"/>
          <w:sz w:val="24"/>
          <w:szCs w:val="24"/>
          <w:lang w:val="en-GB"/>
        </w:rPr>
        <w:t xml:space="preserve"> 2018)</w:t>
      </w:r>
      <w:r w:rsidRPr="00A03898">
        <w:rPr>
          <w:rFonts w:ascii="Times New Roman" w:hAnsi="Times New Roman" w:cs="Times New Roman"/>
          <w:color w:val="auto"/>
          <w:sz w:val="24"/>
          <w:szCs w:val="24"/>
          <w:lang w:val="en-GB"/>
        </w:rPr>
        <w:t xml:space="preserve">. </w:t>
      </w:r>
    </w:p>
    <w:p w14:paraId="2C4835D1" w14:textId="18ABA226" w:rsidR="00E314C9" w:rsidRPr="00A03898" w:rsidRDefault="00A6373D" w:rsidP="0088721D">
      <w:pPr>
        <w:pStyle w:val="Body"/>
        <w:spacing w:line="360" w:lineRule="auto"/>
        <w:ind w:firstLine="708"/>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The m</w:t>
      </w:r>
      <w:r w:rsidR="00E314C9" w:rsidRPr="00A03898">
        <w:rPr>
          <w:rFonts w:ascii="Times New Roman" w:hAnsi="Times New Roman" w:cs="Times New Roman"/>
          <w:color w:val="auto"/>
          <w:sz w:val="24"/>
          <w:szCs w:val="24"/>
          <w:lang w:val="en-GB"/>
        </w:rPr>
        <w:t xml:space="preserve">odel also controls for several groups of countries in our sample. Hence, we take as </w:t>
      </w:r>
      <w:r w:rsidRPr="00A03898">
        <w:rPr>
          <w:rFonts w:ascii="Times New Roman" w:hAnsi="Times New Roman" w:cs="Times New Roman"/>
          <w:color w:val="auto"/>
          <w:sz w:val="24"/>
          <w:szCs w:val="24"/>
          <w:lang w:val="en-GB"/>
        </w:rPr>
        <w:t xml:space="preserve">a </w:t>
      </w:r>
      <w:r w:rsidR="00E314C9" w:rsidRPr="00A03898">
        <w:rPr>
          <w:rFonts w:ascii="Times New Roman" w:hAnsi="Times New Roman" w:cs="Times New Roman"/>
          <w:color w:val="auto"/>
          <w:sz w:val="24"/>
          <w:szCs w:val="24"/>
          <w:lang w:val="en-GB"/>
        </w:rPr>
        <w:t xml:space="preserve">base category </w:t>
      </w:r>
      <w:r w:rsidRPr="00A03898">
        <w:rPr>
          <w:rFonts w:ascii="Times New Roman" w:hAnsi="Times New Roman" w:cs="Times New Roman"/>
          <w:color w:val="auto"/>
          <w:sz w:val="24"/>
          <w:szCs w:val="24"/>
          <w:lang w:val="en-GB"/>
        </w:rPr>
        <w:t xml:space="preserve">the </w:t>
      </w:r>
      <w:r w:rsidR="00E314C9" w:rsidRPr="00A03898">
        <w:rPr>
          <w:rFonts w:ascii="Times New Roman" w:hAnsi="Times New Roman" w:cs="Times New Roman"/>
          <w:color w:val="auto"/>
          <w:sz w:val="24"/>
          <w:szCs w:val="24"/>
          <w:lang w:val="en-GB"/>
        </w:rPr>
        <w:t xml:space="preserve">group of three least advanced CEE, Croatia, Bulgaria and Romania and introduce two </w:t>
      </w:r>
      <w:r w:rsidR="0088721D" w:rsidRPr="00A03898">
        <w:rPr>
          <w:rFonts w:ascii="Times New Roman" w:hAnsi="Times New Roman" w:cs="Times New Roman"/>
          <w:color w:val="auto"/>
          <w:sz w:val="24"/>
          <w:szCs w:val="24"/>
          <w:lang w:val="en-GB"/>
        </w:rPr>
        <w:t>dummy</w:t>
      </w:r>
      <w:r w:rsidR="00E314C9" w:rsidRPr="00A03898">
        <w:rPr>
          <w:rFonts w:ascii="Times New Roman" w:hAnsi="Times New Roman" w:cs="Times New Roman"/>
          <w:color w:val="auto"/>
          <w:sz w:val="24"/>
          <w:szCs w:val="24"/>
          <w:lang w:val="en-GB"/>
        </w:rPr>
        <w:t xml:space="preserve"> variables for Baltic group of countries (Estonia, Latvia and Lithuania) and for </w:t>
      </w:r>
      <w:proofErr w:type="spellStart"/>
      <w:r w:rsidR="00E314C9" w:rsidRPr="00A03898">
        <w:rPr>
          <w:rFonts w:ascii="Times New Roman" w:hAnsi="Times New Roman" w:cs="Times New Roman"/>
          <w:color w:val="auto"/>
          <w:sz w:val="24"/>
          <w:szCs w:val="24"/>
          <w:lang w:val="en-GB"/>
        </w:rPr>
        <w:t>Visegrad</w:t>
      </w:r>
      <w:proofErr w:type="spellEnd"/>
      <w:r w:rsidR="00E314C9" w:rsidRPr="00A03898">
        <w:rPr>
          <w:rFonts w:ascii="Times New Roman" w:hAnsi="Times New Roman" w:cs="Times New Roman"/>
          <w:color w:val="auto"/>
          <w:sz w:val="24"/>
          <w:szCs w:val="24"/>
          <w:lang w:val="en-GB"/>
        </w:rPr>
        <w:t xml:space="preserve"> group of countries (Czech Republic, Hungary, Poland, Slovenia, Slovakia). Finally, </w:t>
      </w:r>
      <w:r w:rsidRPr="00A03898">
        <w:rPr>
          <w:rFonts w:ascii="Times New Roman" w:hAnsi="Times New Roman" w:cs="Times New Roman"/>
          <w:color w:val="auto"/>
          <w:sz w:val="24"/>
          <w:szCs w:val="24"/>
          <w:lang w:val="en-GB"/>
        </w:rPr>
        <w:t xml:space="preserve">the </w:t>
      </w:r>
      <w:r w:rsidR="00E314C9" w:rsidRPr="00A03898">
        <w:rPr>
          <w:rFonts w:ascii="Times New Roman" w:hAnsi="Times New Roman" w:cs="Times New Roman"/>
          <w:color w:val="auto"/>
          <w:sz w:val="24"/>
          <w:szCs w:val="24"/>
          <w:lang w:val="en-GB"/>
        </w:rPr>
        <w:t xml:space="preserve">model includes control for technological intensity of industry </w:t>
      </w:r>
      <w:r w:rsidR="00913D40" w:rsidRPr="00A03898">
        <w:rPr>
          <w:rFonts w:ascii="Times New Roman" w:hAnsi="Times New Roman" w:cs="Times New Roman"/>
          <w:color w:val="auto"/>
          <w:sz w:val="24"/>
          <w:szCs w:val="24"/>
          <w:lang w:val="en-GB"/>
        </w:rPr>
        <w:t>(</w:t>
      </w:r>
      <w:proofErr w:type="spellStart"/>
      <w:r w:rsidR="00F37581" w:rsidRPr="00A03898">
        <w:rPr>
          <w:rFonts w:ascii="Times New Roman" w:hAnsi="Times New Roman" w:cs="Times New Roman"/>
          <w:color w:val="auto"/>
          <w:sz w:val="24"/>
          <w:szCs w:val="24"/>
          <w:lang w:val="en-GB"/>
        </w:rPr>
        <w:t>Henrekson</w:t>
      </w:r>
      <w:proofErr w:type="spellEnd"/>
      <w:r w:rsidR="00F37581" w:rsidRPr="00A03898">
        <w:rPr>
          <w:rFonts w:ascii="Times New Roman" w:hAnsi="Times New Roman" w:cs="Times New Roman"/>
          <w:color w:val="auto"/>
          <w:sz w:val="24"/>
          <w:szCs w:val="24"/>
          <w:lang w:val="en-GB"/>
        </w:rPr>
        <w:t xml:space="preserve"> and Johansson 2010; </w:t>
      </w:r>
      <w:proofErr w:type="spellStart"/>
      <w:r w:rsidR="00F37581" w:rsidRPr="00A03898">
        <w:rPr>
          <w:rFonts w:ascii="Times New Roman" w:hAnsi="Times New Roman" w:cs="Times New Roman"/>
          <w:color w:val="auto"/>
          <w:sz w:val="24"/>
          <w:szCs w:val="24"/>
          <w:lang w:val="en-GB"/>
        </w:rPr>
        <w:t>Wywrich</w:t>
      </w:r>
      <w:proofErr w:type="spellEnd"/>
      <w:r w:rsidR="00F37581" w:rsidRPr="00A03898">
        <w:rPr>
          <w:rFonts w:ascii="Times New Roman" w:hAnsi="Times New Roman" w:cs="Times New Roman"/>
          <w:color w:val="auto"/>
          <w:sz w:val="24"/>
          <w:szCs w:val="24"/>
          <w:lang w:val="en-GB"/>
        </w:rPr>
        <w:t xml:space="preserve"> 2010; </w:t>
      </w:r>
      <w:proofErr w:type="spellStart"/>
      <w:r w:rsidR="00F37581" w:rsidRPr="00A03898">
        <w:rPr>
          <w:rFonts w:ascii="Times New Roman" w:hAnsi="Times New Roman" w:cs="Times New Roman"/>
          <w:color w:val="auto"/>
          <w:sz w:val="24"/>
          <w:szCs w:val="24"/>
          <w:lang w:val="en-GB"/>
        </w:rPr>
        <w:t>Audretsch</w:t>
      </w:r>
      <w:proofErr w:type="spellEnd"/>
      <w:r w:rsidR="00F37581" w:rsidRPr="00A03898">
        <w:rPr>
          <w:rFonts w:ascii="Times New Roman" w:hAnsi="Times New Roman" w:cs="Times New Roman"/>
          <w:color w:val="auto"/>
          <w:sz w:val="24"/>
          <w:szCs w:val="24"/>
          <w:lang w:val="en-GB"/>
        </w:rPr>
        <w:t xml:space="preserve"> 2012; </w:t>
      </w:r>
      <w:proofErr w:type="spellStart"/>
      <w:r w:rsidR="00F37581" w:rsidRPr="00A03898">
        <w:rPr>
          <w:rFonts w:ascii="Times New Roman" w:hAnsi="Times New Roman" w:cs="Times New Roman"/>
          <w:color w:val="auto"/>
          <w:sz w:val="24"/>
          <w:szCs w:val="24"/>
          <w:lang w:val="en-GB"/>
        </w:rPr>
        <w:t>Arighetti</w:t>
      </w:r>
      <w:proofErr w:type="spellEnd"/>
      <w:r w:rsidR="00F37581" w:rsidRPr="00A03898">
        <w:rPr>
          <w:rFonts w:ascii="Times New Roman" w:hAnsi="Times New Roman" w:cs="Times New Roman"/>
          <w:color w:val="auto"/>
          <w:sz w:val="24"/>
          <w:szCs w:val="24"/>
          <w:lang w:val="en-GB"/>
        </w:rPr>
        <w:t xml:space="preserve"> and </w:t>
      </w:r>
      <w:proofErr w:type="spellStart"/>
      <w:r w:rsidR="00F37581" w:rsidRPr="00A03898">
        <w:rPr>
          <w:rFonts w:ascii="Times New Roman" w:hAnsi="Times New Roman" w:cs="Times New Roman"/>
          <w:color w:val="auto"/>
          <w:sz w:val="24"/>
          <w:szCs w:val="24"/>
          <w:lang w:val="en-GB"/>
        </w:rPr>
        <w:t>Lasagni</w:t>
      </w:r>
      <w:proofErr w:type="spellEnd"/>
      <w:r w:rsidR="00F37581" w:rsidRPr="00A03898">
        <w:rPr>
          <w:rFonts w:ascii="Times New Roman" w:hAnsi="Times New Roman" w:cs="Times New Roman"/>
          <w:color w:val="auto"/>
          <w:sz w:val="24"/>
          <w:szCs w:val="24"/>
          <w:lang w:val="en-GB"/>
        </w:rPr>
        <w:t xml:space="preserve"> 2013; </w:t>
      </w:r>
      <w:proofErr w:type="spellStart"/>
      <w:r w:rsidR="00F37581" w:rsidRPr="00A03898">
        <w:rPr>
          <w:rFonts w:ascii="Times New Roman" w:hAnsi="Times New Roman" w:cs="Times New Roman"/>
          <w:color w:val="auto"/>
          <w:sz w:val="24"/>
          <w:szCs w:val="24"/>
          <w:lang w:val="en-GB"/>
        </w:rPr>
        <w:t>Daunfeldt</w:t>
      </w:r>
      <w:proofErr w:type="spellEnd"/>
      <w:r w:rsidR="00F37581" w:rsidRPr="00A03898">
        <w:rPr>
          <w:rFonts w:ascii="Times New Roman" w:hAnsi="Times New Roman" w:cs="Times New Roman"/>
          <w:color w:val="auto"/>
          <w:sz w:val="24"/>
          <w:szCs w:val="24"/>
          <w:lang w:val="en-GB"/>
        </w:rPr>
        <w:t xml:space="preserve"> et al.</w:t>
      </w:r>
      <w:r w:rsidR="00913D40" w:rsidRPr="00A03898">
        <w:rPr>
          <w:rFonts w:ascii="Times New Roman" w:hAnsi="Times New Roman" w:cs="Times New Roman"/>
          <w:color w:val="auto"/>
          <w:sz w:val="24"/>
          <w:szCs w:val="24"/>
          <w:lang w:val="en-GB"/>
        </w:rPr>
        <w:t xml:space="preserve"> </w:t>
      </w:r>
      <w:r w:rsidR="00913D40" w:rsidRPr="00A03898">
        <w:rPr>
          <w:rFonts w:ascii="Times New Roman" w:hAnsi="Times New Roman" w:cs="Times New Roman"/>
          <w:color w:val="auto"/>
          <w:sz w:val="24"/>
          <w:szCs w:val="24"/>
          <w:lang w:val="en-GB"/>
        </w:rPr>
        <w:lastRenderedPageBreak/>
        <w:t xml:space="preserve">2016) </w:t>
      </w:r>
      <w:r w:rsidR="00E314C9" w:rsidRPr="00A03898">
        <w:rPr>
          <w:rFonts w:ascii="Times New Roman" w:hAnsi="Times New Roman" w:cs="Times New Roman"/>
          <w:color w:val="auto"/>
          <w:sz w:val="24"/>
          <w:szCs w:val="24"/>
          <w:lang w:val="en-GB"/>
        </w:rPr>
        <w:t xml:space="preserve">and annual time dummy variables to control for universal cross-sectional shocks. Detailed definition of variables and data sources is provided in Table A1 </w:t>
      </w:r>
      <w:r w:rsidR="00184E13" w:rsidRPr="00A03898">
        <w:rPr>
          <w:rFonts w:ascii="Times New Roman" w:hAnsi="Times New Roman" w:cs="Times New Roman"/>
          <w:color w:val="auto"/>
          <w:sz w:val="24"/>
          <w:szCs w:val="24"/>
          <w:lang w:val="en-GB"/>
        </w:rPr>
        <w:t>while descriptive statistics for key variables across countries can be found in Table A3 in Appendix</w:t>
      </w:r>
      <w:r w:rsidR="00E314C9" w:rsidRPr="00A03898">
        <w:rPr>
          <w:rFonts w:ascii="Times New Roman" w:hAnsi="Times New Roman" w:cs="Times New Roman"/>
          <w:color w:val="auto"/>
          <w:sz w:val="24"/>
          <w:szCs w:val="24"/>
          <w:lang w:val="en-GB"/>
        </w:rPr>
        <w:t xml:space="preserve">. </w:t>
      </w:r>
    </w:p>
    <w:p w14:paraId="53C58026" w14:textId="0B783EB0" w:rsidR="000A7DCE" w:rsidRPr="00A03898" w:rsidRDefault="00E314C9" w:rsidP="00E314C9">
      <w:pPr>
        <w:pStyle w:val="Body"/>
        <w:spacing w:line="360" w:lineRule="auto"/>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ab/>
        <w:t xml:space="preserve">Empirical analysis is undertaken </w:t>
      </w:r>
      <w:r w:rsidR="005779F8" w:rsidRPr="00A03898">
        <w:rPr>
          <w:rFonts w:ascii="Times New Roman" w:hAnsi="Times New Roman" w:cs="Times New Roman"/>
          <w:color w:val="auto"/>
          <w:sz w:val="24"/>
          <w:szCs w:val="24"/>
          <w:lang w:val="en-GB"/>
        </w:rPr>
        <w:t>by</w:t>
      </w:r>
      <w:r w:rsidRPr="00A03898">
        <w:rPr>
          <w:rFonts w:ascii="Times New Roman" w:hAnsi="Times New Roman" w:cs="Times New Roman"/>
          <w:color w:val="auto"/>
          <w:sz w:val="24"/>
          <w:szCs w:val="24"/>
          <w:lang w:val="en-GB"/>
        </w:rPr>
        <w:t xml:space="preserve"> means of the two-step system dynamic panel generalized method of moments (GMM) estimation. The advantage of this estimator is that it builds two estimations, one for </w:t>
      </w:r>
      <w:r w:rsidR="005779F8"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differenced and one for the levels equation and thus provides more efficient estimates. Through instrumentation of predetermined or potentially endogenous variables with their lagged levels and differences</w:t>
      </w:r>
      <w:r w:rsidR="005779F8" w:rsidRPr="00A03898">
        <w:rPr>
          <w:rFonts w:ascii="Times New Roman" w:hAnsi="Times New Roman" w:cs="Times New Roman"/>
          <w:color w:val="auto"/>
          <w:sz w:val="24"/>
          <w:szCs w:val="24"/>
          <w:lang w:val="en-GB"/>
        </w:rPr>
        <w:t>, this</w:t>
      </w:r>
      <w:r w:rsidRPr="00A03898">
        <w:rPr>
          <w:rFonts w:ascii="Times New Roman" w:hAnsi="Times New Roman" w:cs="Times New Roman"/>
          <w:color w:val="auto"/>
          <w:sz w:val="24"/>
          <w:szCs w:val="24"/>
          <w:lang w:val="en-GB"/>
        </w:rPr>
        <w:t xml:space="preserve"> technique can handle the potential endogeneity of the lagged dependent variable. This technique also allows inclusion of </w:t>
      </w:r>
      <w:r w:rsidR="0088721D" w:rsidRPr="00A03898">
        <w:rPr>
          <w:rFonts w:ascii="Times New Roman" w:hAnsi="Times New Roman" w:cs="Times New Roman"/>
          <w:color w:val="auto"/>
          <w:sz w:val="24"/>
          <w:szCs w:val="24"/>
          <w:lang w:val="en-GB"/>
        </w:rPr>
        <w:t>dummy</w:t>
      </w:r>
      <w:r w:rsidRPr="00A03898">
        <w:rPr>
          <w:rFonts w:ascii="Times New Roman" w:hAnsi="Times New Roman" w:cs="Times New Roman"/>
          <w:color w:val="auto"/>
          <w:sz w:val="24"/>
          <w:szCs w:val="24"/>
          <w:lang w:val="en-GB"/>
        </w:rPr>
        <w:t xml:space="preserve"> variables. </w:t>
      </w:r>
      <w:r w:rsidR="00913D40" w:rsidRPr="00A03898">
        <w:rPr>
          <w:rFonts w:ascii="Times New Roman" w:hAnsi="Times New Roman" w:cs="Times New Roman"/>
          <w:color w:val="auto"/>
          <w:sz w:val="24"/>
          <w:szCs w:val="24"/>
          <w:lang w:val="en-GB"/>
        </w:rPr>
        <w:t xml:space="preserve">Detailed explanation of methodology is provided in the </w:t>
      </w:r>
      <w:r w:rsidR="00B30945" w:rsidRPr="00A03898">
        <w:rPr>
          <w:rFonts w:ascii="Times New Roman" w:hAnsi="Times New Roman" w:cs="Times New Roman"/>
          <w:color w:val="auto"/>
          <w:sz w:val="24"/>
          <w:szCs w:val="24"/>
          <w:lang w:val="en-GB"/>
        </w:rPr>
        <w:t xml:space="preserve">section 2 of an </w:t>
      </w:r>
      <w:r w:rsidR="00913D40" w:rsidRPr="00A03898">
        <w:rPr>
          <w:rFonts w:ascii="Times New Roman" w:hAnsi="Times New Roman" w:cs="Times New Roman"/>
          <w:color w:val="auto"/>
          <w:sz w:val="24"/>
          <w:szCs w:val="24"/>
          <w:lang w:val="en-GB"/>
        </w:rPr>
        <w:t>Online appendix to paper.</w:t>
      </w:r>
    </w:p>
    <w:p w14:paraId="17B0B5EF" w14:textId="3BC1429F" w:rsidR="00E314C9" w:rsidRPr="00A03898" w:rsidRDefault="00BA0212" w:rsidP="00E40A20">
      <w:pPr>
        <w:pStyle w:val="Body"/>
        <w:spacing w:line="360" w:lineRule="auto"/>
        <w:ind w:firstLine="708"/>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W</w:t>
      </w:r>
      <w:r w:rsidR="00E314C9" w:rsidRPr="00A03898">
        <w:rPr>
          <w:rFonts w:ascii="Times New Roman" w:hAnsi="Times New Roman" w:cs="Times New Roman"/>
          <w:color w:val="auto"/>
          <w:sz w:val="24"/>
          <w:szCs w:val="24"/>
          <w:lang w:val="en-GB"/>
        </w:rPr>
        <w:t xml:space="preserve">e expect the effect of trade and GVC integration to materialize after a certain amount of time since local firms need time to obtain and process relevant information and embrace new opportunities. For this reason, variables measuring trade and GVC integration are lagged one period in the past. </w:t>
      </w:r>
      <w:r w:rsidRPr="00A03898">
        <w:rPr>
          <w:rFonts w:ascii="Times New Roman" w:hAnsi="Times New Roman" w:cs="Times New Roman"/>
          <w:color w:val="auto"/>
          <w:sz w:val="24"/>
          <w:szCs w:val="24"/>
          <w:lang w:val="en-GB"/>
        </w:rPr>
        <w:t>R</w:t>
      </w:r>
      <w:r w:rsidR="007262C9" w:rsidRPr="00A03898">
        <w:rPr>
          <w:rFonts w:ascii="Times New Roman" w:hAnsi="Times New Roman" w:cs="Times New Roman"/>
          <w:color w:val="auto"/>
          <w:sz w:val="24"/>
          <w:szCs w:val="24"/>
          <w:lang w:val="en-GB"/>
        </w:rPr>
        <w:t>obustness of model</w:t>
      </w:r>
      <w:r w:rsidRPr="00A03898">
        <w:rPr>
          <w:rFonts w:ascii="Times New Roman" w:hAnsi="Times New Roman" w:cs="Times New Roman"/>
          <w:color w:val="auto"/>
          <w:sz w:val="24"/>
          <w:szCs w:val="24"/>
          <w:lang w:val="en-GB"/>
        </w:rPr>
        <w:t xml:space="preserve"> </w:t>
      </w:r>
      <w:r w:rsidR="007262C9" w:rsidRPr="00A03898">
        <w:rPr>
          <w:rFonts w:ascii="Times New Roman" w:hAnsi="Times New Roman" w:cs="Times New Roman"/>
          <w:color w:val="auto"/>
          <w:sz w:val="24"/>
          <w:szCs w:val="24"/>
          <w:lang w:val="en-GB"/>
        </w:rPr>
        <w:t xml:space="preserve">was </w:t>
      </w:r>
      <w:r w:rsidRPr="00A03898">
        <w:rPr>
          <w:rFonts w:ascii="Times New Roman" w:hAnsi="Times New Roman" w:cs="Times New Roman"/>
          <w:color w:val="auto"/>
          <w:sz w:val="24"/>
          <w:szCs w:val="24"/>
          <w:lang w:val="en-GB"/>
        </w:rPr>
        <w:t>assessed through</w:t>
      </w:r>
      <w:r w:rsidR="007262C9" w:rsidRPr="00A03898">
        <w:rPr>
          <w:rFonts w:ascii="Times New Roman" w:hAnsi="Times New Roman" w:cs="Times New Roman"/>
          <w:color w:val="auto"/>
          <w:sz w:val="24"/>
          <w:szCs w:val="24"/>
          <w:lang w:val="en-GB"/>
        </w:rPr>
        <w:t xml:space="preserve"> random and fixed effects and ordinary least squares</w:t>
      </w:r>
      <w:r w:rsidRPr="00A03898">
        <w:rPr>
          <w:rFonts w:ascii="Times New Roman" w:hAnsi="Times New Roman" w:cs="Times New Roman"/>
          <w:color w:val="auto"/>
          <w:sz w:val="24"/>
          <w:szCs w:val="24"/>
          <w:lang w:val="en-GB"/>
        </w:rPr>
        <w:t xml:space="preserve"> estimations</w:t>
      </w:r>
      <w:r w:rsidR="007262C9" w:rsidRPr="00A03898">
        <w:rPr>
          <w:rFonts w:ascii="Times New Roman" w:hAnsi="Times New Roman" w:cs="Times New Roman"/>
          <w:color w:val="auto"/>
          <w:sz w:val="24"/>
          <w:szCs w:val="24"/>
          <w:lang w:val="en-GB"/>
        </w:rPr>
        <w:t>. Moreover, the baseline specifications were modified in a way to replace dummy variables for technological intensity</w:t>
      </w:r>
      <w:r w:rsidRPr="00A03898">
        <w:rPr>
          <w:rFonts w:ascii="Times New Roman" w:hAnsi="Times New Roman" w:cs="Times New Roman"/>
          <w:color w:val="auto"/>
          <w:sz w:val="24"/>
          <w:szCs w:val="24"/>
          <w:lang w:val="en-GB"/>
        </w:rPr>
        <w:t xml:space="preserve"> and groups of countries</w:t>
      </w:r>
      <w:r w:rsidR="007262C9" w:rsidRPr="00A03898">
        <w:rPr>
          <w:rFonts w:ascii="Times New Roman" w:hAnsi="Times New Roman" w:cs="Times New Roman"/>
          <w:color w:val="auto"/>
          <w:sz w:val="24"/>
          <w:szCs w:val="24"/>
          <w:lang w:val="en-GB"/>
        </w:rPr>
        <w:t xml:space="preserve"> with individual country and sector dummy variables. </w:t>
      </w:r>
      <w:r w:rsidR="00FF403E" w:rsidRPr="00A03898">
        <w:rPr>
          <w:rFonts w:ascii="Times New Roman" w:hAnsi="Times New Roman" w:cs="Times New Roman"/>
          <w:color w:val="auto"/>
          <w:sz w:val="24"/>
          <w:szCs w:val="24"/>
          <w:lang w:val="en-GB"/>
        </w:rPr>
        <w:t>A</w:t>
      </w:r>
      <w:r w:rsidR="007262C9" w:rsidRPr="00A03898">
        <w:rPr>
          <w:rFonts w:ascii="Times New Roman" w:hAnsi="Times New Roman" w:cs="Times New Roman"/>
          <w:color w:val="auto"/>
          <w:sz w:val="24"/>
          <w:szCs w:val="24"/>
          <w:lang w:val="en-GB"/>
        </w:rPr>
        <w:t>ll these sensitivity analyses</w:t>
      </w:r>
      <w:r w:rsidR="00FF403E" w:rsidRPr="00A03898">
        <w:rPr>
          <w:rFonts w:ascii="Times New Roman" w:hAnsi="Times New Roman" w:cs="Times New Roman"/>
          <w:color w:val="auto"/>
          <w:sz w:val="24"/>
          <w:szCs w:val="24"/>
          <w:lang w:val="en-GB"/>
        </w:rPr>
        <w:t xml:space="preserve"> provide support to our model. </w:t>
      </w:r>
      <w:r w:rsidR="00E40A20" w:rsidRPr="00A03898">
        <w:rPr>
          <w:rFonts w:ascii="Times New Roman" w:hAnsi="Times New Roman" w:cs="Times New Roman"/>
          <w:color w:val="auto"/>
          <w:sz w:val="24"/>
          <w:szCs w:val="24"/>
          <w:lang w:val="en-GB"/>
        </w:rPr>
        <w:t>T</w:t>
      </w:r>
      <w:r w:rsidR="00E314C9" w:rsidRPr="00A03898">
        <w:rPr>
          <w:rFonts w:ascii="Times New Roman" w:hAnsi="Times New Roman" w:cs="Times New Roman"/>
          <w:color w:val="auto"/>
          <w:sz w:val="24"/>
          <w:szCs w:val="24"/>
          <w:lang w:val="en-GB"/>
        </w:rPr>
        <w:t xml:space="preserve">ables with all estimation results and relevant model diagnostics can be found in an online appendix </w:t>
      </w:r>
      <w:r w:rsidR="00B30945" w:rsidRPr="00A03898">
        <w:rPr>
          <w:rFonts w:ascii="Times New Roman" w:hAnsi="Times New Roman" w:cs="Times New Roman"/>
          <w:color w:val="auto"/>
          <w:sz w:val="24"/>
          <w:szCs w:val="24"/>
          <w:lang w:val="en-GB"/>
        </w:rPr>
        <w:t>(Tables A4-A7)</w:t>
      </w:r>
      <w:r w:rsidR="00E314C9" w:rsidRPr="00A03898">
        <w:rPr>
          <w:rFonts w:ascii="Times New Roman" w:hAnsi="Times New Roman" w:cs="Times New Roman"/>
          <w:color w:val="auto"/>
          <w:sz w:val="24"/>
          <w:szCs w:val="24"/>
          <w:lang w:val="en-GB"/>
        </w:rPr>
        <w:t xml:space="preserve">. </w:t>
      </w:r>
    </w:p>
    <w:p w14:paraId="43A456AB" w14:textId="4E6BC8E5" w:rsidR="00B67A82" w:rsidRPr="00A03898" w:rsidRDefault="00B67A82" w:rsidP="007262C9">
      <w:pPr>
        <w:pStyle w:val="Body"/>
        <w:numPr>
          <w:ilvl w:val="0"/>
          <w:numId w:val="5"/>
        </w:numPr>
        <w:spacing w:line="360" w:lineRule="auto"/>
        <w:rPr>
          <w:rFonts w:ascii="Times New Roman" w:hAnsi="Times New Roman" w:cs="Times New Roman"/>
          <w:b/>
          <w:bCs/>
          <w:color w:val="auto"/>
          <w:sz w:val="24"/>
          <w:szCs w:val="24"/>
          <w:lang w:val="en-GB"/>
        </w:rPr>
      </w:pPr>
      <w:r w:rsidRPr="00A03898">
        <w:rPr>
          <w:rFonts w:ascii="Times New Roman" w:hAnsi="Times New Roman" w:cs="Times New Roman"/>
          <w:b/>
          <w:bCs/>
          <w:color w:val="auto"/>
          <w:sz w:val="24"/>
          <w:szCs w:val="24"/>
          <w:lang w:val="en-GB"/>
        </w:rPr>
        <w:t>Dataset</w:t>
      </w:r>
    </w:p>
    <w:p w14:paraId="61E6E72A" w14:textId="1F0996DE" w:rsidR="000A3AA9" w:rsidRPr="00A03898" w:rsidRDefault="000E4954" w:rsidP="000A3AA9">
      <w:pPr>
        <w:pStyle w:val="Body"/>
        <w:spacing w:after="0" w:line="360" w:lineRule="auto"/>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Our empirical analysis is based on the dataset compiled from Eurostat Structural Business Statistics (SBS)</w:t>
      </w:r>
      <w:r w:rsidR="00EE2AC7" w:rsidRPr="00A03898">
        <w:rPr>
          <w:rFonts w:ascii="Times New Roman" w:hAnsi="Times New Roman" w:cs="Times New Roman"/>
          <w:color w:val="auto"/>
          <w:sz w:val="24"/>
          <w:szCs w:val="24"/>
          <w:lang w:val="en-GB"/>
        </w:rPr>
        <w:t>,</w:t>
      </w:r>
      <w:r w:rsidRPr="00A03898">
        <w:rPr>
          <w:rFonts w:ascii="Times New Roman" w:hAnsi="Times New Roman" w:cs="Times New Roman"/>
          <w:color w:val="auto"/>
          <w:sz w:val="24"/>
          <w:szCs w:val="24"/>
          <w:lang w:val="en-GB"/>
        </w:rPr>
        <w:t xml:space="preserve"> OECD trade in </w:t>
      </w:r>
      <w:r w:rsidR="00246A3D" w:rsidRPr="00A03898">
        <w:rPr>
          <w:rFonts w:ascii="Times New Roman" w:hAnsi="Times New Roman" w:cs="Times New Roman"/>
          <w:color w:val="auto"/>
          <w:sz w:val="24"/>
          <w:szCs w:val="24"/>
          <w:lang w:val="en-GB"/>
        </w:rPr>
        <w:t>value-</w:t>
      </w:r>
      <w:r w:rsidRPr="00A03898">
        <w:rPr>
          <w:rFonts w:ascii="Times New Roman" w:hAnsi="Times New Roman" w:cs="Times New Roman"/>
          <w:color w:val="auto"/>
          <w:sz w:val="24"/>
          <w:szCs w:val="24"/>
          <w:lang w:val="en-GB"/>
        </w:rPr>
        <w:t>added (</w:t>
      </w:r>
      <w:proofErr w:type="spellStart"/>
      <w:r w:rsidRPr="00A03898">
        <w:rPr>
          <w:rFonts w:ascii="Times New Roman" w:hAnsi="Times New Roman" w:cs="Times New Roman"/>
          <w:color w:val="auto"/>
          <w:sz w:val="24"/>
          <w:szCs w:val="24"/>
          <w:lang w:val="en-GB"/>
        </w:rPr>
        <w:t>TiVA</w:t>
      </w:r>
      <w:proofErr w:type="spellEnd"/>
      <w:r w:rsidRPr="00A03898">
        <w:rPr>
          <w:rFonts w:ascii="Times New Roman" w:hAnsi="Times New Roman" w:cs="Times New Roman"/>
          <w:color w:val="auto"/>
          <w:sz w:val="24"/>
          <w:szCs w:val="24"/>
          <w:lang w:val="en-GB"/>
        </w:rPr>
        <w:t>)</w:t>
      </w:r>
      <w:r w:rsidR="00EE2AC7" w:rsidRPr="00A03898">
        <w:rPr>
          <w:rFonts w:ascii="Times New Roman" w:hAnsi="Times New Roman" w:cs="Times New Roman"/>
          <w:color w:val="auto"/>
          <w:sz w:val="24"/>
          <w:szCs w:val="24"/>
          <w:lang w:val="en-GB"/>
        </w:rPr>
        <w:t xml:space="preserve"> and World Bank Governance Indicators</w:t>
      </w:r>
      <w:r w:rsidRPr="00A03898">
        <w:rPr>
          <w:rFonts w:ascii="Times New Roman" w:hAnsi="Times New Roman" w:cs="Times New Roman"/>
          <w:color w:val="auto"/>
          <w:sz w:val="24"/>
          <w:szCs w:val="24"/>
          <w:lang w:val="en-GB"/>
        </w:rPr>
        <w:t xml:space="preserve"> databases. SBS database provides information on </w:t>
      </w:r>
      <w:r w:rsidR="009C407A" w:rsidRPr="00A03898">
        <w:rPr>
          <w:rFonts w:ascii="Times New Roman" w:hAnsi="Times New Roman" w:cs="Times New Roman"/>
          <w:color w:val="auto"/>
          <w:sz w:val="24"/>
          <w:szCs w:val="24"/>
          <w:lang w:val="en-GB"/>
        </w:rPr>
        <w:t xml:space="preserve">shares of </w:t>
      </w:r>
      <w:r w:rsidR="0087495F" w:rsidRPr="00A03898">
        <w:rPr>
          <w:rFonts w:ascii="Times New Roman" w:hAnsi="Times New Roman" w:cs="Times New Roman"/>
          <w:color w:val="auto"/>
          <w:sz w:val="24"/>
          <w:szCs w:val="24"/>
          <w:lang w:val="en-GB"/>
        </w:rPr>
        <w:t>start-ups</w:t>
      </w:r>
      <w:r w:rsidR="009C407A" w:rsidRPr="00A03898">
        <w:rPr>
          <w:rFonts w:ascii="Times New Roman" w:hAnsi="Times New Roman" w:cs="Times New Roman"/>
          <w:color w:val="auto"/>
          <w:sz w:val="24"/>
          <w:szCs w:val="24"/>
          <w:lang w:val="en-GB"/>
        </w:rPr>
        <w:t xml:space="preserve"> and</w:t>
      </w:r>
      <w:r w:rsidRPr="00A03898">
        <w:rPr>
          <w:rFonts w:ascii="Times New Roman" w:hAnsi="Times New Roman" w:cs="Times New Roman"/>
          <w:color w:val="auto"/>
          <w:sz w:val="24"/>
          <w:szCs w:val="24"/>
          <w:lang w:val="en-GB"/>
        </w:rPr>
        <w:t xml:space="preserve"> high growth </w:t>
      </w:r>
      <w:r w:rsidR="009C407A" w:rsidRPr="00A03898">
        <w:rPr>
          <w:rFonts w:ascii="Times New Roman" w:hAnsi="Times New Roman" w:cs="Times New Roman"/>
          <w:color w:val="auto"/>
          <w:sz w:val="24"/>
          <w:szCs w:val="24"/>
          <w:lang w:val="en-GB"/>
        </w:rPr>
        <w:t>firms in total population of firms</w:t>
      </w:r>
      <w:r w:rsidRPr="00A03898">
        <w:rPr>
          <w:rFonts w:ascii="Times New Roman" w:hAnsi="Times New Roman" w:cs="Times New Roman"/>
          <w:color w:val="auto"/>
          <w:sz w:val="24"/>
          <w:szCs w:val="24"/>
          <w:lang w:val="en-GB"/>
        </w:rPr>
        <w:t xml:space="preserve"> while </w:t>
      </w:r>
      <w:proofErr w:type="spellStart"/>
      <w:r w:rsidRPr="00A03898">
        <w:rPr>
          <w:rFonts w:ascii="Times New Roman" w:hAnsi="Times New Roman" w:cs="Times New Roman"/>
          <w:color w:val="auto"/>
          <w:sz w:val="24"/>
          <w:szCs w:val="24"/>
          <w:lang w:val="en-GB"/>
        </w:rPr>
        <w:t>TiVA</w:t>
      </w:r>
      <w:proofErr w:type="spellEnd"/>
      <w:r w:rsidRPr="00A03898">
        <w:rPr>
          <w:rFonts w:ascii="Times New Roman" w:hAnsi="Times New Roman" w:cs="Times New Roman"/>
          <w:color w:val="auto"/>
          <w:sz w:val="24"/>
          <w:szCs w:val="24"/>
          <w:lang w:val="en-GB"/>
        </w:rPr>
        <w:t xml:space="preserve"> contains data required for construction of</w:t>
      </w:r>
      <w:r w:rsidR="009C407A" w:rsidRPr="00A03898">
        <w:rPr>
          <w:rFonts w:ascii="Times New Roman" w:hAnsi="Times New Roman" w:cs="Times New Roman"/>
          <w:color w:val="auto"/>
          <w:sz w:val="24"/>
          <w:szCs w:val="24"/>
          <w:lang w:val="en-GB"/>
        </w:rPr>
        <w:t xml:space="preserve"> export, import and </w:t>
      </w:r>
      <w:r w:rsidRPr="00A03898">
        <w:rPr>
          <w:rFonts w:ascii="Times New Roman" w:hAnsi="Times New Roman" w:cs="Times New Roman"/>
          <w:color w:val="auto"/>
          <w:sz w:val="24"/>
          <w:szCs w:val="24"/>
          <w:lang w:val="en-GB"/>
        </w:rPr>
        <w:t>GVC participation indices for manufacturing industries</w:t>
      </w:r>
      <w:r w:rsidR="009C407A" w:rsidRPr="00A03898">
        <w:rPr>
          <w:rFonts w:ascii="Times New Roman" w:hAnsi="Times New Roman" w:cs="Times New Roman"/>
          <w:color w:val="auto"/>
          <w:sz w:val="24"/>
          <w:szCs w:val="24"/>
          <w:lang w:val="en-GB"/>
        </w:rPr>
        <w:t xml:space="preserve">. Finally, </w:t>
      </w:r>
      <w:r w:rsidR="00EE2AC7" w:rsidRPr="00A03898">
        <w:rPr>
          <w:rFonts w:ascii="Times New Roman" w:hAnsi="Times New Roman" w:cs="Times New Roman"/>
          <w:color w:val="auto"/>
          <w:sz w:val="24"/>
          <w:szCs w:val="24"/>
          <w:lang w:val="en-GB"/>
        </w:rPr>
        <w:t xml:space="preserve">World </w:t>
      </w:r>
      <w:r w:rsidR="0087495F" w:rsidRPr="00A03898">
        <w:rPr>
          <w:rFonts w:ascii="Times New Roman" w:hAnsi="Times New Roman" w:cs="Times New Roman"/>
          <w:color w:val="auto"/>
          <w:sz w:val="24"/>
          <w:szCs w:val="24"/>
          <w:lang w:val="en-GB"/>
        </w:rPr>
        <w:t xml:space="preserve">Bank </w:t>
      </w:r>
      <w:r w:rsidR="00EE2AC7" w:rsidRPr="00A03898">
        <w:rPr>
          <w:rFonts w:ascii="Times New Roman" w:hAnsi="Times New Roman" w:cs="Times New Roman"/>
          <w:color w:val="auto"/>
          <w:sz w:val="24"/>
          <w:szCs w:val="24"/>
          <w:lang w:val="en-GB"/>
        </w:rPr>
        <w:t>Governance</w:t>
      </w:r>
      <w:r w:rsidR="0087495F" w:rsidRPr="00A03898">
        <w:rPr>
          <w:rFonts w:ascii="Times New Roman" w:hAnsi="Times New Roman" w:cs="Times New Roman"/>
          <w:color w:val="auto"/>
          <w:sz w:val="24"/>
          <w:szCs w:val="24"/>
          <w:lang w:val="en-GB"/>
        </w:rPr>
        <w:t xml:space="preserve"> Indicators</w:t>
      </w:r>
      <w:r w:rsidR="00EE2AC7" w:rsidRPr="00A03898">
        <w:rPr>
          <w:rFonts w:ascii="Times New Roman" w:hAnsi="Times New Roman" w:cs="Times New Roman"/>
          <w:color w:val="auto"/>
          <w:sz w:val="24"/>
          <w:szCs w:val="24"/>
          <w:lang w:val="en-GB"/>
        </w:rPr>
        <w:t xml:space="preserve"> database contains information relevant for measures of institutional framework. </w:t>
      </w:r>
      <w:r w:rsidR="009C407A" w:rsidRPr="00A03898">
        <w:rPr>
          <w:rFonts w:ascii="Times New Roman" w:hAnsi="Times New Roman" w:cs="Times New Roman"/>
          <w:color w:val="auto"/>
          <w:sz w:val="24"/>
          <w:szCs w:val="24"/>
          <w:lang w:val="en-GB"/>
        </w:rPr>
        <w:t xml:space="preserve">The analysis covers eleven CEE countries (Bulgaria, Croatia, Czech Republic, Estonia, Hungary, Latvia, Lithuania, Poland, Romania, Slovakia and Slovenia) over </w:t>
      </w:r>
      <w:r w:rsidRPr="00A03898">
        <w:rPr>
          <w:rFonts w:ascii="Times New Roman" w:hAnsi="Times New Roman" w:cs="Times New Roman"/>
          <w:color w:val="auto"/>
          <w:sz w:val="24"/>
          <w:szCs w:val="24"/>
          <w:lang w:val="en-GB"/>
        </w:rPr>
        <w:t>2011-2016 period</w:t>
      </w:r>
      <w:r w:rsidR="009C407A" w:rsidRPr="00A03898">
        <w:rPr>
          <w:rFonts w:ascii="Times New Roman" w:hAnsi="Times New Roman" w:cs="Times New Roman"/>
          <w:color w:val="auto"/>
          <w:sz w:val="24"/>
          <w:szCs w:val="24"/>
          <w:lang w:val="en-GB"/>
        </w:rPr>
        <w:t xml:space="preserve">. </w:t>
      </w:r>
      <w:r w:rsidR="00BD7E11" w:rsidRPr="00A03898">
        <w:rPr>
          <w:rFonts w:ascii="Times New Roman" w:hAnsi="Times New Roman" w:cs="Times New Roman"/>
          <w:color w:val="auto"/>
          <w:sz w:val="24"/>
          <w:szCs w:val="24"/>
          <w:lang w:val="en-GB"/>
        </w:rPr>
        <w:t>W</w:t>
      </w:r>
      <w:r w:rsidR="009850EF" w:rsidRPr="00A03898">
        <w:rPr>
          <w:rFonts w:ascii="Times New Roman" w:hAnsi="Times New Roman" w:cs="Times New Roman"/>
          <w:color w:val="auto"/>
          <w:sz w:val="24"/>
          <w:szCs w:val="24"/>
          <w:lang w:val="en-GB"/>
        </w:rPr>
        <w:t>e were able to access data on twelve 2-digit NACE</w:t>
      </w:r>
      <w:r w:rsidR="009C407A" w:rsidRPr="00A03898">
        <w:rPr>
          <w:rFonts w:ascii="Times New Roman" w:hAnsi="Times New Roman" w:cs="Times New Roman"/>
          <w:color w:val="auto"/>
          <w:sz w:val="24"/>
          <w:szCs w:val="24"/>
          <w:lang w:val="en-GB"/>
        </w:rPr>
        <w:t xml:space="preserve"> rev</w:t>
      </w:r>
      <w:r w:rsidR="009850EF" w:rsidRPr="00A03898">
        <w:rPr>
          <w:rFonts w:ascii="Times New Roman" w:hAnsi="Times New Roman" w:cs="Times New Roman"/>
          <w:color w:val="auto"/>
          <w:sz w:val="24"/>
          <w:szCs w:val="24"/>
          <w:lang w:val="en-GB"/>
        </w:rPr>
        <w:t>2 industries</w:t>
      </w:r>
      <w:r w:rsidR="009850EF" w:rsidRPr="00A03898">
        <w:rPr>
          <w:rStyle w:val="FootnoteReference"/>
          <w:rFonts w:ascii="Times New Roman" w:hAnsi="Times New Roman" w:cs="Times New Roman"/>
          <w:color w:val="auto"/>
          <w:sz w:val="24"/>
          <w:szCs w:val="24"/>
          <w:lang w:val="en-GB"/>
        </w:rPr>
        <w:footnoteReference w:id="1"/>
      </w:r>
      <w:r w:rsidR="009850EF" w:rsidRPr="00A03898">
        <w:rPr>
          <w:rFonts w:ascii="Times New Roman" w:hAnsi="Times New Roman" w:cs="Times New Roman"/>
          <w:color w:val="auto"/>
          <w:sz w:val="24"/>
          <w:szCs w:val="24"/>
          <w:lang w:val="en-GB"/>
        </w:rPr>
        <w:t xml:space="preserve"> resulting in </w:t>
      </w:r>
      <w:r w:rsidR="0087495F" w:rsidRPr="00A03898">
        <w:rPr>
          <w:rFonts w:ascii="Times New Roman" w:hAnsi="Times New Roman" w:cs="Times New Roman"/>
          <w:color w:val="auto"/>
          <w:sz w:val="24"/>
          <w:szCs w:val="24"/>
          <w:lang w:val="en-GB"/>
        </w:rPr>
        <w:t xml:space="preserve">a </w:t>
      </w:r>
      <w:r w:rsidR="009850EF" w:rsidRPr="00A03898">
        <w:rPr>
          <w:rFonts w:ascii="Times New Roman" w:hAnsi="Times New Roman" w:cs="Times New Roman"/>
          <w:color w:val="auto"/>
          <w:sz w:val="24"/>
          <w:szCs w:val="24"/>
          <w:lang w:val="en-GB"/>
        </w:rPr>
        <w:t xml:space="preserve">balanced panel of </w:t>
      </w:r>
      <w:r w:rsidR="009850EF" w:rsidRPr="00A03898">
        <w:rPr>
          <w:rFonts w:ascii="Times New Roman" w:hAnsi="Times New Roman" w:cs="Times New Roman"/>
          <w:color w:val="auto"/>
          <w:sz w:val="24"/>
          <w:szCs w:val="24"/>
          <w:lang w:val="en-GB"/>
        </w:rPr>
        <w:lastRenderedPageBreak/>
        <w:t>660</w:t>
      </w:r>
      <w:r w:rsidR="00FA0EE8" w:rsidRPr="00A03898">
        <w:rPr>
          <w:rFonts w:ascii="Times New Roman" w:hAnsi="Times New Roman" w:cs="Times New Roman"/>
          <w:color w:val="auto"/>
          <w:sz w:val="24"/>
          <w:szCs w:val="24"/>
          <w:lang w:val="en-GB"/>
        </w:rPr>
        <w:t xml:space="preserve"> country-industry-year pairs</w:t>
      </w:r>
      <w:r w:rsidR="009850EF" w:rsidRPr="00A03898">
        <w:rPr>
          <w:rFonts w:ascii="Times New Roman" w:hAnsi="Times New Roman" w:cs="Times New Roman"/>
          <w:color w:val="auto"/>
          <w:sz w:val="24"/>
          <w:szCs w:val="24"/>
          <w:lang w:val="en-GB"/>
        </w:rPr>
        <w:t>.</w:t>
      </w:r>
      <w:r w:rsidR="0087495F" w:rsidRPr="00A03898">
        <w:rPr>
          <w:rFonts w:ascii="Times New Roman" w:hAnsi="Times New Roman" w:cs="Times New Roman"/>
          <w:color w:val="auto"/>
          <w:sz w:val="24"/>
          <w:szCs w:val="24"/>
          <w:lang w:val="en-GB"/>
        </w:rPr>
        <w:t xml:space="preserve"> </w:t>
      </w:r>
      <w:r w:rsidR="00914864" w:rsidRPr="00A03898">
        <w:rPr>
          <w:rFonts w:ascii="Times New Roman" w:hAnsi="Times New Roman" w:cs="Times New Roman"/>
          <w:color w:val="auto"/>
          <w:sz w:val="24"/>
          <w:szCs w:val="24"/>
          <w:lang w:val="en-GB"/>
        </w:rPr>
        <w:t>Since</w:t>
      </w:r>
      <w:r w:rsidR="0087495F" w:rsidRPr="00A03898">
        <w:rPr>
          <w:rFonts w:ascii="Times New Roman" w:hAnsi="Times New Roman" w:cs="Times New Roman"/>
          <w:color w:val="auto"/>
          <w:sz w:val="24"/>
          <w:szCs w:val="24"/>
          <w:lang w:val="en-GB"/>
        </w:rPr>
        <w:t xml:space="preserve"> key variables of interest were lagged one period in the past</w:t>
      </w:r>
      <w:r w:rsidR="00914864" w:rsidRPr="00A03898">
        <w:rPr>
          <w:rFonts w:ascii="Times New Roman" w:hAnsi="Times New Roman" w:cs="Times New Roman"/>
          <w:color w:val="auto"/>
          <w:sz w:val="24"/>
          <w:szCs w:val="24"/>
          <w:lang w:val="en-GB"/>
        </w:rPr>
        <w:t>,</w:t>
      </w:r>
      <w:r w:rsidR="0087495F" w:rsidRPr="00A03898">
        <w:rPr>
          <w:rFonts w:ascii="Times New Roman" w:hAnsi="Times New Roman" w:cs="Times New Roman"/>
          <w:color w:val="auto"/>
          <w:sz w:val="24"/>
          <w:szCs w:val="24"/>
          <w:lang w:val="en-GB"/>
        </w:rPr>
        <w:t xml:space="preserve"> this left us with</w:t>
      </w:r>
      <w:r w:rsidR="001B1789" w:rsidRPr="00A03898">
        <w:rPr>
          <w:rFonts w:ascii="Times New Roman" w:hAnsi="Times New Roman" w:cs="Times New Roman"/>
          <w:color w:val="auto"/>
          <w:sz w:val="24"/>
          <w:szCs w:val="24"/>
          <w:lang w:val="en-GB"/>
        </w:rPr>
        <w:t xml:space="preserve"> the</w:t>
      </w:r>
      <w:r w:rsidR="0087495F" w:rsidRPr="00A03898">
        <w:rPr>
          <w:rFonts w:ascii="Times New Roman" w:hAnsi="Times New Roman" w:cs="Times New Roman"/>
          <w:color w:val="auto"/>
          <w:sz w:val="24"/>
          <w:szCs w:val="24"/>
          <w:lang w:val="en-GB"/>
        </w:rPr>
        <w:t xml:space="preserve"> total of 528 observations. </w:t>
      </w:r>
    </w:p>
    <w:p w14:paraId="0F18CFEA" w14:textId="36B92ED3" w:rsidR="00330FAB" w:rsidRPr="00A03898" w:rsidRDefault="005822B1" w:rsidP="007262C9">
      <w:pPr>
        <w:pStyle w:val="Body"/>
        <w:spacing w:after="0" w:line="360" w:lineRule="auto"/>
        <w:ind w:firstLine="708"/>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 xml:space="preserve">Figure 1 presents </w:t>
      </w:r>
      <w:r w:rsidR="009C407A"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 xml:space="preserve">average shares of </w:t>
      </w:r>
      <w:r w:rsidR="00277BFF" w:rsidRPr="00A03898">
        <w:rPr>
          <w:rFonts w:ascii="Times New Roman" w:hAnsi="Times New Roman" w:cs="Times New Roman"/>
          <w:color w:val="auto"/>
          <w:sz w:val="24"/>
          <w:szCs w:val="24"/>
          <w:lang w:val="en-GB"/>
        </w:rPr>
        <w:t>start-ups</w:t>
      </w:r>
      <w:r w:rsidR="00DE1283" w:rsidRPr="00A03898">
        <w:rPr>
          <w:rFonts w:ascii="Times New Roman" w:hAnsi="Times New Roman" w:cs="Times New Roman"/>
          <w:color w:val="auto"/>
          <w:sz w:val="24"/>
          <w:szCs w:val="24"/>
          <w:lang w:val="en-GB"/>
        </w:rPr>
        <w:t xml:space="preserve"> and</w:t>
      </w:r>
      <w:r w:rsidRPr="00A03898">
        <w:rPr>
          <w:rFonts w:ascii="Times New Roman" w:hAnsi="Times New Roman" w:cs="Times New Roman"/>
          <w:color w:val="auto"/>
          <w:sz w:val="24"/>
          <w:szCs w:val="24"/>
          <w:lang w:val="en-GB"/>
        </w:rPr>
        <w:t xml:space="preserve"> high</w:t>
      </w:r>
      <w:r w:rsidR="00577982" w:rsidRPr="00A03898">
        <w:rPr>
          <w:rFonts w:ascii="Times New Roman" w:hAnsi="Times New Roman" w:cs="Times New Roman"/>
          <w:color w:val="auto"/>
          <w:sz w:val="24"/>
          <w:szCs w:val="24"/>
          <w:lang w:val="en-GB"/>
        </w:rPr>
        <w:t>-</w:t>
      </w:r>
      <w:r w:rsidRPr="00A03898">
        <w:rPr>
          <w:rFonts w:ascii="Times New Roman" w:hAnsi="Times New Roman" w:cs="Times New Roman"/>
          <w:color w:val="auto"/>
          <w:sz w:val="24"/>
          <w:szCs w:val="24"/>
          <w:lang w:val="en-GB"/>
        </w:rPr>
        <w:t xml:space="preserve">growth firms over </w:t>
      </w:r>
      <w:r w:rsidR="001B1789"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analysed period</w:t>
      </w:r>
      <w:r w:rsidR="004C5A92" w:rsidRPr="00A03898">
        <w:rPr>
          <w:rFonts w:ascii="Times New Roman" w:hAnsi="Times New Roman" w:cs="Times New Roman"/>
          <w:color w:val="auto"/>
          <w:sz w:val="24"/>
          <w:szCs w:val="24"/>
          <w:lang w:val="en-GB"/>
        </w:rPr>
        <w:t xml:space="preserve"> for </w:t>
      </w:r>
      <w:r w:rsidR="009C407A" w:rsidRPr="00A03898">
        <w:rPr>
          <w:rFonts w:ascii="Times New Roman" w:hAnsi="Times New Roman" w:cs="Times New Roman"/>
          <w:color w:val="auto"/>
          <w:sz w:val="24"/>
          <w:szCs w:val="24"/>
          <w:lang w:val="en-GB"/>
        </w:rPr>
        <w:t xml:space="preserve">the </w:t>
      </w:r>
      <w:r w:rsidR="004C5A92" w:rsidRPr="00A03898">
        <w:rPr>
          <w:rFonts w:ascii="Times New Roman" w:hAnsi="Times New Roman" w:cs="Times New Roman"/>
          <w:color w:val="auto"/>
          <w:sz w:val="24"/>
          <w:szCs w:val="24"/>
          <w:lang w:val="en-GB"/>
        </w:rPr>
        <w:t>whole manufacturing</w:t>
      </w:r>
      <w:r w:rsidR="00EA2DDB" w:rsidRPr="00A03898">
        <w:rPr>
          <w:rFonts w:ascii="Times New Roman" w:hAnsi="Times New Roman" w:cs="Times New Roman"/>
          <w:color w:val="auto"/>
          <w:sz w:val="24"/>
          <w:szCs w:val="24"/>
          <w:lang w:val="en-GB"/>
        </w:rPr>
        <w:t xml:space="preserve"> sector</w:t>
      </w:r>
      <w:r w:rsidR="004C5A92" w:rsidRPr="00A03898">
        <w:rPr>
          <w:rFonts w:ascii="Times New Roman" w:hAnsi="Times New Roman" w:cs="Times New Roman"/>
          <w:color w:val="auto"/>
          <w:sz w:val="24"/>
          <w:szCs w:val="24"/>
          <w:lang w:val="en-GB"/>
        </w:rPr>
        <w:t xml:space="preserve">, </w:t>
      </w:r>
      <w:r w:rsidR="009C407A" w:rsidRPr="00A03898">
        <w:rPr>
          <w:rFonts w:ascii="Times New Roman" w:hAnsi="Times New Roman" w:cs="Times New Roman"/>
          <w:color w:val="auto"/>
          <w:sz w:val="24"/>
          <w:szCs w:val="24"/>
          <w:lang w:val="en-GB"/>
        </w:rPr>
        <w:t xml:space="preserve">the </w:t>
      </w:r>
      <w:r w:rsidR="004C5A92" w:rsidRPr="00A03898">
        <w:rPr>
          <w:rFonts w:ascii="Times New Roman" w:hAnsi="Times New Roman" w:cs="Times New Roman"/>
          <w:color w:val="auto"/>
          <w:sz w:val="24"/>
          <w:szCs w:val="24"/>
          <w:lang w:val="en-GB"/>
        </w:rPr>
        <w:t>l</w:t>
      </w:r>
      <w:r w:rsidR="0087495F" w:rsidRPr="00A03898">
        <w:rPr>
          <w:rFonts w:ascii="Times New Roman" w:hAnsi="Times New Roman" w:cs="Times New Roman"/>
          <w:color w:val="auto"/>
          <w:sz w:val="24"/>
          <w:szCs w:val="24"/>
          <w:lang w:val="en-GB"/>
        </w:rPr>
        <w:t>ow and medium low</w:t>
      </w:r>
      <w:r w:rsidR="004C5A92" w:rsidRPr="00A03898">
        <w:rPr>
          <w:rFonts w:ascii="Times New Roman" w:hAnsi="Times New Roman" w:cs="Times New Roman"/>
          <w:color w:val="auto"/>
          <w:sz w:val="24"/>
          <w:szCs w:val="24"/>
          <w:lang w:val="en-GB"/>
        </w:rPr>
        <w:t xml:space="preserve"> technology intensive and </w:t>
      </w:r>
      <w:r w:rsidR="009C407A" w:rsidRPr="00A03898">
        <w:rPr>
          <w:rFonts w:ascii="Times New Roman" w:hAnsi="Times New Roman" w:cs="Times New Roman"/>
          <w:color w:val="auto"/>
          <w:sz w:val="24"/>
          <w:szCs w:val="24"/>
          <w:lang w:val="en-GB"/>
        </w:rPr>
        <w:t xml:space="preserve">the </w:t>
      </w:r>
      <w:r w:rsidR="0087495F" w:rsidRPr="00A03898">
        <w:rPr>
          <w:rFonts w:ascii="Times New Roman" w:hAnsi="Times New Roman" w:cs="Times New Roman"/>
          <w:color w:val="auto"/>
          <w:sz w:val="24"/>
          <w:szCs w:val="24"/>
          <w:lang w:val="en-GB"/>
        </w:rPr>
        <w:t xml:space="preserve">medium </w:t>
      </w:r>
      <w:r w:rsidR="004C5A92" w:rsidRPr="00A03898">
        <w:rPr>
          <w:rFonts w:ascii="Times New Roman" w:hAnsi="Times New Roman" w:cs="Times New Roman"/>
          <w:color w:val="auto"/>
          <w:sz w:val="24"/>
          <w:szCs w:val="24"/>
          <w:lang w:val="en-GB"/>
        </w:rPr>
        <w:t xml:space="preserve">high </w:t>
      </w:r>
      <w:r w:rsidR="0087495F" w:rsidRPr="00A03898">
        <w:rPr>
          <w:rFonts w:ascii="Times New Roman" w:hAnsi="Times New Roman" w:cs="Times New Roman"/>
          <w:color w:val="auto"/>
          <w:sz w:val="24"/>
          <w:szCs w:val="24"/>
          <w:lang w:val="en-GB"/>
        </w:rPr>
        <w:t xml:space="preserve">and high </w:t>
      </w:r>
      <w:r w:rsidR="004C5A92" w:rsidRPr="00A03898">
        <w:rPr>
          <w:rFonts w:ascii="Times New Roman" w:hAnsi="Times New Roman" w:cs="Times New Roman"/>
          <w:color w:val="auto"/>
          <w:sz w:val="24"/>
          <w:szCs w:val="24"/>
          <w:lang w:val="en-GB"/>
        </w:rPr>
        <w:t xml:space="preserve">technology intensive industries. It is evident from there that over </w:t>
      </w:r>
      <w:r w:rsidR="001B1789" w:rsidRPr="00A03898">
        <w:rPr>
          <w:rFonts w:ascii="Times New Roman" w:hAnsi="Times New Roman" w:cs="Times New Roman"/>
          <w:color w:val="auto"/>
          <w:sz w:val="24"/>
          <w:szCs w:val="24"/>
          <w:lang w:val="en-GB"/>
        </w:rPr>
        <w:t xml:space="preserve">the </w:t>
      </w:r>
      <w:r w:rsidR="004C5A92" w:rsidRPr="00A03898">
        <w:rPr>
          <w:rFonts w:ascii="Times New Roman" w:hAnsi="Times New Roman" w:cs="Times New Roman"/>
          <w:color w:val="auto"/>
          <w:sz w:val="24"/>
          <w:szCs w:val="24"/>
          <w:lang w:val="en-GB"/>
        </w:rPr>
        <w:t xml:space="preserve">analysed period the proportion of </w:t>
      </w:r>
      <w:r w:rsidR="009C407A" w:rsidRPr="00A03898">
        <w:rPr>
          <w:rFonts w:ascii="Times New Roman" w:hAnsi="Times New Roman" w:cs="Times New Roman"/>
          <w:color w:val="auto"/>
          <w:sz w:val="24"/>
          <w:szCs w:val="24"/>
          <w:lang w:val="en-GB"/>
        </w:rPr>
        <w:t xml:space="preserve">the </w:t>
      </w:r>
      <w:r w:rsidR="004C5A92" w:rsidRPr="00A03898">
        <w:rPr>
          <w:rFonts w:ascii="Times New Roman" w:hAnsi="Times New Roman" w:cs="Times New Roman"/>
          <w:color w:val="auto"/>
          <w:sz w:val="24"/>
          <w:szCs w:val="24"/>
          <w:lang w:val="en-GB"/>
        </w:rPr>
        <w:t xml:space="preserve">new </w:t>
      </w:r>
      <w:r w:rsidR="00277BFF" w:rsidRPr="00A03898">
        <w:rPr>
          <w:rFonts w:ascii="Times New Roman" w:hAnsi="Times New Roman" w:cs="Times New Roman"/>
          <w:color w:val="auto"/>
          <w:sz w:val="24"/>
          <w:szCs w:val="24"/>
          <w:lang w:val="en-GB"/>
        </w:rPr>
        <w:t>start-ups</w:t>
      </w:r>
      <w:r w:rsidR="004C5A92" w:rsidRPr="00A03898">
        <w:rPr>
          <w:rFonts w:ascii="Times New Roman" w:hAnsi="Times New Roman" w:cs="Times New Roman"/>
          <w:color w:val="auto"/>
          <w:sz w:val="24"/>
          <w:szCs w:val="24"/>
          <w:lang w:val="en-GB"/>
        </w:rPr>
        <w:t xml:space="preserve"> ranged between 1</w:t>
      </w:r>
      <w:r w:rsidR="0087495F" w:rsidRPr="00A03898">
        <w:rPr>
          <w:rFonts w:ascii="Times New Roman" w:hAnsi="Times New Roman" w:cs="Times New Roman"/>
          <w:color w:val="auto"/>
          <w:sz w:val="24"/>
          <w:szCs w:val="24"/>
          <w:lang w:val="en-GB"/>
        </w:rPr>
        <w:t>0</w:t>
      </w:r>
      <w:r w:rsidR="004C5A92" w:rsidRPr="00A03898">
        <w:rPr>
          <w:rFonts w:ascii="Times New Roman" w:hAnsi="Times New Roman" w:cs="Times New Roman"/>
          <w:color w:val="auto"/>
          <w:sz w:val="24"/>
          <w:szCs w:val="24"/>
          <w:lang w:val="en-GB"/>
        </w:rPr>
        <w:t>% and 1</w:t>
      </w:r>
      <w:r w:rsidR="0087495F" w:rsidRPr="00A03898">
        <w:rPr>
          <w:rFonts w:ascii="Times New Roman" w:hAnsi="Times New Roman" w:cs="Times New Roman"/>
          <w:color w:val="auto"/>
          <w:sz w:val="24"/>
          <w:szCs w:val="24"/>
          <w:lang w:val="en-GB"/>
        </w:rPr>
        <w:t>2</w:t>
      </w:r>
      <w:r w:rsidR="004C5A92" w:rsidRPr="00A03898">
        <w:rPr>
          <w:rFonts w:ascii="Times New Roman" w:hAnsi="Times New Roman" w:cs="Times New Roman"/>
          <w:color w:val="auto"/>
          <w:sz w:val="24"/>
          <w:szCs w:val="24"/>
          <w:lang w:val="en-GB"/>
        </w:rPr>
        <w:t>% of</w:t>
      </w:r>
      <w:r w:rsidR="009C407A" w:rsidRPr="00A03898">
        <w:rPr>
          <w:rFonts w:ascii="Times New Roman" w:hAnsi="Times New Roman" w:cs="Times New Roman"/>
          <w:color w:val="auto"/>
          <w:sz w:val="24"/>
          <w:szCs w:val="24"/>
          <w:lang w:val="en-GB"/>
        </w:rPr>
        <w:t xml:space="preserve"> </w:t>
      </w:r>
      <w:r w:rsidR="004C5A92" w:rsidRPr="00A03898">
        <w:rPr>
          <w:rFonts w:ascii="Times New Roman" w:hAnsi="Times New Roman" w:cs="Times New Roman"/>
          <w:color w:val="auto"/>
          <w:sz w:val="24"/>
          <w:szCs w:val="24"/>
          <w:lang w:val="en-GB"/>
        </w:rPr>
        <w:t xml:space="preserve">all enterprises in </w:t>
      </w:r>
      <w:r w:rsidR="009C407A" w:rsidRPr="00A03898">
        <w:rPr>
          <w:rFonts w:ascii="Times New Roman" w:hAnsi="Times New Roman" w:cs="Times New Roman"/>
          <w:color w:val="auto"/>
          <w:sz w:val="24"/>
          <w:szCs w:val="24"/>
          <w:lang w:val="en-GB"/>
        </w:rPr>
        <w:t xml:space="preserve">the </w:t>
      </w:r>
      <w:r w:rsidR="004C5A92" w:rsidRPr="00A03898">
        <w:rPr>
          <w:rFonts w:ascii="Times New Roman" w:hAnsi="Times New Roman" w:cs="Times New Roman"/>
          <w:color w:val="auto"/>
          <w:sz w:val="24"/>
          <w:szCs w:val="24"/>
          <w:lang w:val="en-GB"/>
        </w:rPr>
        <w:t xml:space="preserve">manufacturing and in </w:t>
      </w:r>
      <w:r w:rsidR="009C407A" w:rsidRPr="00A03898">
        <w:rPr>
          <w:rFonts w:ascii="Times New Roman" w:hAnsi="Times New Roman" w:cs="Times New Roman"/>
          <w:color w:val="auto"/>
          <w:sz w:val="24"/>
          <w:szCs w:val="24"/>
          <w:lang w:val="en-GB"/>
        </w:rPr>
        <w:t xml:space="preserve">the </w:t>
      </w:r>
      <w:r w:rsidR="004C5A92" w:rsidRPr="00A03898">
        <w:rPr>
          <w:rFonts w:ascii="Times New Roman" w:hAnsi="Times New Roman" w:cs="Times New Roman"/>
          <w:color w:val="auto"/>
          <w:sz w:val="24"/>
          <w:szCs w:val="24"/>
          <w:lang w:val="en-GB"/>
        </w:rPr>
        <w:t xml:space="preserve">less technology intensive sectors. The average share of </w:t>
      </w:r>
      <w:r w:rsidR="00070FDD" w:rsidRPr="00A03898">
        <w:rPr>
          <w:rFonts w:ascii="Times New Roman" w:hAnsi="Times New Roman" w:cs="Times New Roman"/>
          <w:color w:val="auto"/>
          <w:sz w:val="24"/>
          <w:szCs w:val="24"/>
          <w:lang w:val="en-GB"/>
        </w:rPr>
        <w:t>start-ups</w:t>
      </w:r>
      <w:r w:rsidR="004C5A92" w:rsidRPr="00A03898">
        <w:rPr>
          <w:rFonts w:ascii="Times New Roman" w:hAnsi="Times New Roman" w:cs="Times New Roman"/>
          <w:color w:val="auto"/>
          <w:sz w:val="24"/>
          <w:szCs w:val="24"/>
          <w:lang w:val="en-GB"/>
        </w:rPr>
        <w:t xml:space="preserve"> in </w:t>
      </w:r>
      <w:r w:rsidR="009C407A" w:rsidRPr="00A03898">
        <w:rPr>
          <w:rFonts w:ascii="Times New Roman" w:hAnsi="Times New Roman" w:cs="Times New Roman"/>
          <w:color w:val="auto"/>
          <w:sz w:val="24"/>
          <w:szCs w:val="24"/>
          <w:lang w:val="en-GB"/>
        </w:rPr>
        <w:t xml:space="preserve">the </w:t>
      </w:r>
      <w:r w:rsidR="004C5A92" w:rsidRPr="00A03898">
        <w:rPr>
          <w:rFonts w:ascii="Times New Roman" w:hAnsi="Times New Roman" w:cs="Times New Roman"/>
          <w:color w:val="auto"/>
          <w:sz w:val="24"/>
          <w:szCs w:val="24"/>
          <w:lang w:val="en-GB"/>
        </w:rPr>
        <w:t xml:space="preserve">high technology intensive sectors is somewhat lower </w:t>
      </w:r>
      <w:r w:rsidR="00070FDD" w:rsidRPr="00A03898">
        <w:rPr>
          <w:rFonts w:ascii="Times New Roman" w:hAnsi="Times New Roman" w:cs="Times New Roman"/>
          <w:color w:val="auto"/>
          <w:sz w:val="24"/>
          <w:szCs w:val="24"/>
          <w:lang w:val="en-GB"/>
        </w:rPr>
        <w:t>but these</w:t>
      </w:r>
      <w:r w:rsidR="004C5A92" w:rsidRPr="00A03898">
        <w:rPr>
          <w:rFonts w:ascii="Times New Roman" w:hAnsi="Times New Roman" w:cs="Times New Roman"/>
          <w:color w:val="auto"/>
          <w:sz w:val="24"/>
          <w:szCs w:val="24"/>
          <w:lang w:val="en-GB"/>
        </w:rPr>
        <w:t xml:space="preserve"> sectors have higher share of high</w:t>
      </w:r>
      <w:r w:rsidR="00577982" w:rsidRPr="00A03898">
        <w:rPr>
          <w:rFonts w:ascii="Times New Roman" w:hAnsi="Times New Roman" w:cs="Times New Roman"/>
          <w:color w:val="auto"/>
          <w:sz w:val="24"/>
          <w:szCs w:val="24"/>
          <w:lang w:val="en-GB"/>
        </w:rPr>
        <w:t>-</w:t>
      </w:r>
      <w:r w:rsidR="004C5A92" w:rsidRPr="00A03898">
        <w:rPr>
          <w:rFonts w:ascii="Times New Roman" w:hAnsi="Times New Roman" w:cs="Times New Roman"/>
          <w:color w:val="auto"/>
          <w:sz w:val="24"/>
          <w:szCs w:val="24"/>
          <w:lang w:val="en-GB"/>
        </w:rPr>
        <w:t xml:space="preserve">growth firms. </w:t>
      </w:r>
    </w:p>
    <w:p w14:paraId="31E17F10" w14:textId="77777777" w:rsidR="00330FAB" w:rsidRPr="00A03898" w:rsidRDefault="00330FAB" w:rsidP="000A3AA9">
      <w:pPr>
        <w:pStyle w:val="Body"/>
        <w:spacing w:after="0" w:line="360" w:lineRule="auto"/>
        <w:ind w:firstLine="708"/>
        <w:jc w:val="both"/>
        <w:rPr>
          <w:rFonts w:ascii="Times New Roman" w:hAnsi="Times New Roman" w:cs="Times New Roman"/>
          <w:color w:val="auto"/>
          <w:sz w:val="24"/>
          <w:szCs w:val="24"/>
          <w:lang w:val="en-GB"/>
        </w:rPr>
      </w:pPr>
    </w:p>
    <w:p w14:paraId="663411A6" w14:textId="77777777" w:rsidR="00A03898" w:rsidRDefault="00A03898" w:rsidP="00A03898">
      <w:pPr>
        <w:pStyle w:val="Body"/>
        <w:spacing w:after="0" w:line="360" w:lineRule="auto"/>
        <w:jc w:val="both"/>
        <w:rPr>
          <w:rFonts w:ascii="Times New Roman" w:hAnsi="Times New Roman" w:cs="Times New Roman"/>
          <w:sz w:val="24"/>
          <w:szCs w:val="24"/>
          <w:lang w:val="en-GB"/>
        </w:rPr>
      </w:pPr>
      <w:r w:rsidRPr="00336CF2">
        <w:rPr>
          <w:rFonts w:ascii="Times New Roman" w:hAnsi="Times New Roman" w:cs="Times New Roman"/>
          <w:b/>
          <w:sz w:val="24"/>
          <w:szCs w:val="24"/>
          <w:lang w:val="en-GB"/>
        </w:rPr>
        <w:t>Fig. 1</w:t>
      </w:r>
      <w:r>
        <w:rPr>
          <w:rFonts w:ascii="Times New Roman" w:hAnsi="Times New Roman" w:cs="Times New Roman"/>
          <w:sz w:val="24"/>
          <w:szCs w:val="24"/>
          <w:lang w:val="en-GB"/>
        </w:rPr>
        <w:t xml:space="preserve"> Business dynamics in CEE manufacturing industries 2012-2016</w:t>
      </w:r>
    </w:p>
    <w:p w14:paraId="7695EB69" w14:textId="77777777" w:rsidR="00A03898" w:rsidRPr="00F2499B" w:rsidRDefault="00A03898" w:rsidP="00A03898">
      <w:pPr>
        <w:pStyle w:val="Body"/>
        <w:spacing w:line="360" w:lineRule="auto"/>
        <w:jc w:val="center"/>
        <w:rPr>
          <w:rFonts w:ascii="Times New Roman" w:hAnsi="Times New Roman" w:cs="Times New Roman"/>
          <w:sz w:val="24"/>
          <w:szCs w:val="24"/>
          <w:lang w:val="en-GB"/>
        </w:rPr>
      </w:pPr>
      <w:r>
        <w:rPr>
          <w:rFonts w:ascii="Times New Roman" w:hAnsi="Times New Roman" w:cs="Times New Roman"/>
          <w:noProof/>
          <w:sz w:val="24"/>
          <w:szCs w:val="24"/>
        </w:rPr>
        <w:drawing>
          <wp:inline distT="0" distB="0" distL="0" distR="0" wp14:anchorId="707520BD" wp14:editId="5875EDC4">
            <wp:extent cx="4766046" cy="28711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1.pdf"/>
                    <pic:cNvPicPr/>
                  </pic:nvPicPr>
                  <pic:blipFill>
                    <a:blip r:embed="rId11">
                      <a:extLst>
                        <a:ext uri="{28A0092B-C50C-407E-A947-70E740481C1C}">
                          <a14:useLocalDpi xmlns:a14="http://schemas.microsoft.com/office/drawing/2010/main" val="0"/>
                        </a:ext>
                      </a:extLst>
                    </a:blip>
                    <a:stretch>
                      <a:fillRect/>
                    </a:stretch>
                  </pic:blipFill>
                  <pic:spPr>
                    <a:xfrm>
                      <a:off x="0" y="0"/>
                      <a:ext cx="4815242" cy="2900828"/>
                    </a:xfrm>
                    <a:prstGeom prst="rect">
                      <a:avLst/>
                    </a:prstGeom>
                  </pic:spPr>
                </pic:pic>
              </a:graphicData>
            </a:graphic>
          </wp:inline>
        </w:drawing>
      </w:r>
    </w:p>
    <w:p w14:paraId="61D9B02C" w14:textId="77777777" w:rsidR="00D52844" w:rsidRPr="00A03898" w:rsidRDefault="00D52844" w:rsidP="00A81E33">
      <w:pPr>
        <w:pStyle w:val="Body"/>
        <w:spacing w:after="0" w:line="360" w:lineRule="auto"/>
        <w:jc w:val="both"/>
        <w:rPr>
          <w:rFonts w:ascii="Times New Roman" w:hAnsi="Times New Roman" w:cs="Times New Roman"/>
          <w:color w:val="auto"/>
          <w:sz w:val="24"/>
          <w:szCs w:val="24"/>
          <w:lang w:val="en-GB"/>
        </w:rPr>
      </w:pPr>
    </w:p>
    <w:p w14:paraId="329075F4" w14:textId="782D00A8" w:rsidR="00B95919" w:rsidRDefault="00316D9D" w:rsidP="00820BCB">
      <w:pPr>
        <w:pStyle w:val="Body"/>
        <w:spacing w:line="360" w:lineRule="auto"/>
        <w:ind w:firstLine="708"/>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The</w:t>
      </w:r>
      <w:r w:rsidR="00F76107" w:rsidRPr="00A03898">
        <w:rPr>
          <w:rFonts w:ascii="Times New Roman" w:hAnsi="Times New Roman" w:cs="Times New Roman"/>
          <w:color w:val="auto"/>
          <w:sz w:val="24"/>
          <w:szCs w:val="24"/>
          <w:lang w:val="en-GB"/>
        </w:rPr>
        <w:t xml:space="preserve"> prevalent share of</w:t>
      </w:r>
      <w:r w:rsidR="0087495F" w:rsidRPr="00A03898">
        <w:rPr>
          <w:rFonts w:ascii="Times New Roman" w:hAnsi="Times New Roman" w:cs="Times New Roman"/>
          <w:color w:val="auto"/>
          <w:sz w:val="24"/>
          <w:szCs w:val="24"/>
          <w:lang w:val="en-GB"/>
        </w:rPr>
        <w:t xml:space="preserve"> start-ups</w:t>
      </w:r>
      <w:r w:rsidR="00F76107" w:rsidRPr="00A03898">
        <w:rPr>
          <w:rFonts w:ascii="Times New Roman" w:hAnsi="Times New Roman" w:cs="Times New Roman"/>
          <w:color w:val="auto"/>
          <w:sz w:val="24"/>
          <w:szCs w:val="24"/>
          <w:lang w:val="en-GB"/>
        </w:rPr>
        <w:t xml:space="preserve"> </w:t>
      </w:r>
      <w:r w:rsidR="00195B31" w:rsidRPr="00A03898">
        <w:rPr>
          <w:rFonts w:ascii="Times New Roman" w:hAnsi="Times New Roman" w:cs="Times New Roman"/>
          <w:color w:val="auto"/>
          <w:sz w:val="24"/>
          <w:szCs w:val="24"/>
          <w:lang w:val="en-GB"/>
        </w:rPr>
        <w:t>is</w:t>
      </w:r>
      <w:r w:rsidR="00F76107" w:rsidRPr="00A03898">
        <w:rPr>
          <w:rFonts w:ascii="Times New Roman" w:hAnsi="Times New Roman" w:cs="Times New Roman"/>
          <w:color w:val="auto"/>
          <w:sz w:val="24"/>
          <w:szCs w:val="24"/>
          <w:lang w:val="en-GB"/>
        </w:rPr>
        <w:t xml:space="preserve"> in </w:t>
      </w:r>
      <w:r w:rsidR="009C407A" w:rsidRPr="00A03898">
        <w:rPr>
          <w:rFonts w:ascii="Times New Roman" w:hAnsi="Times New Roman" w:cs="Times New Roman"/>
          <w:color w:val="auto"/>
          <w:sz w:val="24"/>
          <w:szCs w:val="24"/>
          <w:lang w:val="en-GB"/>
        </w:rPr>
        <w:t>the</w:t>
      </w:r>
      <w:r w:rsidR="00F76107" w:rsidRPr="00A03898">
        <w:rPr>
          <w:rFonts w:ascii="Times New Roman" w:hAnsi="Times New Roman" w:cs="Times New Roman"/>
          <w:color w:val="auto"/>
          <w:sz w:val="24"/>
          <w:szCs w:val="24"/>
          <w:lang w:val="en-GB"/>
        </w:rPr>
        <w:t xml:space="preserve"> less technology intensive</w:t>
      </w:r>
      <w:r w:rsidR="009C407A" w:rsidRPr="00A03898">
        <w:rPr>
          <w:rFonts w:ascii="Times New Roman" w:hAnsi="Times New Roman" w:cs="Times New Roman"/>
          <w:color w:val="auto"/>
          <w:sz w:val="24"/>
          <w:szCs w:val="24"/>
          <w:lang w:val="en-GB"/>
        </w:rPr>
        <w:t xml:space="preserve"> industries</w:t>
      </w:r>
      <w:r w:rsidR="00195B31" w:rsidRPr="00A03898">
        <w:rPr>
          <w:rFonts w:ascii="Times New Roman" w:hAnsi="Times New Roman" w:cs="Times New Roman"/>
          <w:color w:val="auto"/>
          <w:sz w:val="24"/>
          <w:szCs w:val="24"/>
          <w:lang w:val="en-GB"/>
        </w:rPr>
        <w:t>,</w:t>
      </w:r>
      <w:r w:rsidR="00F76107" w:rsidRPr="00A03898">
        <w:rPr>
          <w:rFonts w:ascii="Times New Roman" w:hAnsi="Times New Roman" w:cs="Times New Roman"/>
          <w:color w:val="auto"/>
          <w:sz w:val="24"/>
          <w:szCs w:val="24"/>
          <w:lang w:val="en-GB"/>
        </w:rPr>
        <w:t xml:space="preserve"> such as food industry</w:t>
      </w:r>
      <w:r w:rsidR="00195B31" w:rsidRPr="00A03898">
        <w:rPr>
          <w:rFonts w:ascii="Times New Roman" w:hAnsi="Times New Roman" w:cs="Times New Roman"/>
          <w:color w:val="auto"/>
          <w:sz w:val="24"/>
          <w:szCs w:val="24"/>
          <w:lang w:val="en-GB"/>
        </w:rPr>
        <w:t>,</w:t>
      </w:r>
      <w:r w:rsidR="00F76107" w:rsidRPr="00A03898">
        <w:rPr>
          <w:rFonts w:ascii="Times New Roman" w:hAnsi="Times New Roman" w:cs="Times New Roman"/>
          <w:color w:val="auto"/>
          <w:sz w:val="24"/>
          <w:szCs w:val="24"/>
          <w:lang w:val="en-GB"/>
        </w:rPr>
        <w:t xml:space="preserve"> but also in some of </w:t>
      </w:r>
      <w:r w:rsidR="009C407A" w:rsidRPr="00A03898">
        <w:rPr>
          <w:rFonts w:ascii="Times New Roman" w:hAnsi="Times New Roman" w:cs="Times New Roman"/>
          <w:color w:val="auto"/>
          <w:sz w:val="24"/>
          <w:szCs w:val="24"/>
          <w:lang w:val="en-GB"/>
        </w:rPr>
        <w:t xml:space="preserve">the </w:t>
      </w:r>
      <w:r w:rsidR="00F76107" w:rsidRPr="00A03898">
        <w:rPr>
          <w:rFonts w:ascii="Times New Roman" w:hAnsi="Times New Roman" w:cs="Times New Roman"/>
          <w:color w:val="auto"/>
          <w:sz w:val="24"/>
          <w:szCs w:val="24"/>
          <w:lang w:val="en-GB"/>
        </w:rPr>
        <w:t>high tech</w:t>
      </w:r>
      <w:r w:rsidR="009C407A" w:rsidRPr="00A03898">
        <w:rPr>
          <w:rFonts w:ascii="Times New Roman" w:hAnsi="Times New Roman" w:cs="Times New Roman"/>
          <w:color w:val="auto"/>
          <w:sz w:val="24"/>
          <w:szCs w:val="24"/>
          <w:lang w:val="en-GB"/>
        </w:rPr>
        <w:t>nology</w:t>
      </w:r>
      <w:r w:rsidR="00F76107" w:rsidRPr="00A03898">
        <w:rPr>
          <w:rFonts w:ascii="Times New Roman" w:hAnsi="Times New Roman" w:cs="Times New Roman"/>
          <w:color w:val="auto"/>
          <w:sz w:val="24"/>
          <w:szCs w:val="24"/>
          <w:lang w:val="en-GB"/>
        </w:rPr>
        <w:t xml:space="preserve"> intensive industries</w:t>
      </w:r>
      <w:r w:rsidR="00537E7A" w:rsidRPr="00A03898">
        <w:rPr>
          <w:rFonts w:ascii="Times New Roman" w:hAnsi="Times New Roman" w:cs="Times New Roman"/>
          <w:color w:val="auto"/>
          <w:sz w:val="24"/>
          <w:szCs w:val="24"/>
          <w:lang w:val="en-GB"/>
        </w:rPr>
        <w:t>,</w:t>
      </w:r>
      <w:r w:rsidR="00F76107" w:rsidRPr="00A03898">
        <w:rPr>
          <w:rFonts w:ascii="Times New Roman" w:hAnsi="Times New Roman" w:cs="Times New Roman"/>
          <w:color w:val="auto"/>
          <w:sz w:val="24"/>
          <w:szCs w:val="24"/>
          <w:lang w:val="en-GB"/>
        </w:rPr>
        <w:t xml:space="preserve"> such as transport equipmen</w:t>
      </w:r>
      <w:r w:rsidR="009C407A" w:rsidRPr="00A03898">
        <w:rPr>
          <w:rFonts w:ascii="Times New Roman" w:hAnsi="Times New Roman" w:cs="Times New Roman"/>
          <w:color w:val="auto"/>
          <w:sz w:val="24"/>
          <w:szCs w:val="24"/>
          <w:lang w:val="en-GB"/>
        </w:rPr>
        <w:t>t</w:t>
      </w:r>
      <w:r w:rsidRPr="00A03898">
        <w:rPr>
          <w:rFonts w:ascii="Times New Roman" w:hAnsi="Times New Roman" w:cs="Times New Roman"/>
          <w:color w:val="auto"/>
          <w:sz w:val="24"/>
          <w:szCs w:val="24"/>
          <w:lang w:val="en-GB"/>
        </w:rPr>
        <w:t xml:space="preserve"> (Figure 2)</w:t>
      </w:r>
      <w:r w:rsidR="00070FDD" w:rsidRPr="00A03898">
        <w:rPr>
          <w:rFonts w:ascii="Times New Roman" w:hAnsi="Times New Roman" w:cs="Times New Roman"/>
          <w:color w:val="auto"/>
          <w:sz w:val="24"/>
          <w:szCs w:val="24"/>
          <w:lang w:val="en-GB"/>
        </w:rPr>
        <w:t xml:space="preserve"> where</w:t>
      </w:r>
      <w:r w:rsidR="00F76107" w:rsidRPr="00A03898">
        <w:rPr>
          <w:rFonts w:ascii="Times New Roman" w:hAnsi="Times New Roman" w:cs="Times New Roman"/>
          <w:color w:val="auto"/>
          <w:sz w:val="24"/>
          <w:szCs w:val="24"/>
          <w:lang w:val="en-GB"/>
        </w:rPr>
        <w:t xml:space="preserve"> </w:t>
      </w:r>
      <w:r w:rsidR="009C407A" w:rsidRPr="00A03898">
        <w:rPr>
          <w:rFonts w:ascii="Times New Roman" w:hAnsi="Times New Roman" w:cs="Times New Roman"/>
          <w:color w:val="auto"/>
          <w:sz w:val="24"/>
          <w:szCs w:val="24"/>
          <w:lang w:val="en-GB"/>
        </w:rPr>
        <w:t>CEE experienced</w:t>
      </w:r>
      <w:r w:rsidR="00F76107" w:rsidRPr="00A03898">
        <w:rPr>
          <w:rFonts w:ascii="Times New Roman" w:hAnsi="Times New Roman" w:cs="Times New Roman"/>
          <w:color w:val="auto"/>
          <w:sz w:val="24"/>
          <w:szCs w:val="24"/>
          <w:lang w:val="en-GB"/>
        </w:rPr>
        <w:t xml:space="preserve"> strong inflow of foreign investment during past two decades. Same sectors are characterised with several times higher share of </w:t>
      </w:r>
      <w:r w:rsidR="009C407A" w:rsidRPr="00A03898">
        <w:rPr>
          <w:rFonts w:ascii="Times New Roman" w:hAnsi="Times New Roman" w:cs="Times New Roman"/>
          <w:color w:val="auto"/>
          <w:sz w:val="24"/>
          <w:szCs w:val="24"/>
          <w:lang w:val="en-GB"/>
        </w:rPr>
        <w:t xml:space="preserve">the </w:t>
      </w:r>
      <w:r w:rsidR="00F76107" w:rsidRPr="00A03898">
        <w:rPr>
          <w:rFonts w:ascii="Times New Roman" w:hAnsi="Times New Roman" w:cs="Times New Roman"/>
          <w:color w:val="auto"/>
          <w:sz w:val="24"/>
          <w:szCs w:val="24"/>
          <w:lang w:val="en-GB"/>
        </w:rPr>
        <w:t>high</w:t>
      </w:r>
      <w:r w:rsidR="00577982" w:rsidRPr="00A03898">
        <w:rPr>
          <w:rFonts w:ascii="Times New Roman" w:hAnsi="Times New Roman" w:cs="Times New Roman"/>
          <w:color w:val="auto"/>
          <w:sz w:val="24"/>
          <w:szCs w:val="24"/>
          <w:lang w:val="en-GB"/>
        </w:rPr>
        <w:t>-</w:t>
      </w:r>
      <w:r w:rsidR="00F76107" w:rsidRPr="00A03898">
        <w:rPr>
          <w:rFonts w:ascii="Times New Roman" w:hAnsi="Times New Roman" w:cs="Times New Roman"/>
          <w:color w:val="auto"/>
          <w:sz w:val="24"/>
          <w:szCs w:val="24"/>
          <w:lang w:val="en-GB"/>
        </w:rPr>
        <w:t xml:space="preserve">growth firms in </w:t>
      </w:r>
      <w:r w:rsidR="009C407A" w:rsidRPr="00A03898">
        <w:rPr>
          <w:rFonts w:ascii="Times New Roman" w:hAnsi="Times New Roman" w:cs="Times New Roman"/>
          <w:color w:val="auto"/>
          <w:sz w:val="24"/>
          <w:szCs w:val="24"/>
          <w:lang w:val="en-GB"/>
        </w:rPr>
        <w:t xml:space="preserve">the </w:t>
      </w:r>
      <w:r w:rsidR="00F76107" w:rsidRPr="00A03898">
        <w:rPr>
          <w:rFonts w:ascii="Times New Roman" w:hAnsi="Times New Roman" w:cs="Times New Roman"/>
          <w:color w:val="auto"/>
          <w:sz w:val="24"/>
          <w:szCs w:val="24"/>
          <w:lang w:val="en-GB"/>
        </w:rPr>
        <w:t>overall population of enterprises.</w:t>
      </w:r>
      <w:r w:rsidR="0029429E" w:rsidRPr="00A03898">
        <w:rPr>
          <w:rFonts w:ascii="Times New Roman" w:hAnsi="Times New Roman" w:cs="Times New Roman"/>
          <w:color w:val="auto"/>
          <w:sz w:val="24"/>
          <w:szCs w:val="24"/>
          <w:lang w:val="en-GB"/>
        </w:rPr>
        <w:t xml:space="preserve"> </w:t>
      </w:r>
      <w:r w:rsidR="00537E7A" w:rsidRPr="00A03898">
        <w:rPr>
          <w:rFonts w:ascii="Times New Roman" w:hAnsi="Times New Roman" w:cs="Times New Roman"/>
          <w:color w:val="auto"/>
          <w:sz w:val="24"/>
          <w:szCs w:val="24"/>
          <w:lang w:val="en-GB"/>
        </w:rPr>
        <w:t xml:space="preserve">Furthermore, </w:t>
      </w:r>
      <w:r w:rsidR="0029429E" w:rsidRPr="00A03898">
        <w:rPr>
          <w:rFonts w:ascii="Times New Roman" w:hAnsi="Times New Roman" w:cs="Times New Roman"/>
          <w:color w:val="auto"/>
          <w:sz w:val="24"/>
          <w:szCs w:val="24"/>
          <w:lang w:val="en-GB"/>
        </w:rPr>
        <w:t>Table A3 in an Online Appendix shows</w:t>
      </w:r>
      <w:r w:rsidR="00DA45C4" w:rsidRPr="00A03898">
        <w:rPr>
          <w:rFonts w:ascii="Times New Roman" w:hAnsi="Times New Roman" w:cs="Times New Roman"/>
          <w:color w:val="auto"/>
          <w:sz w:val="24"/>
          <w:szCs w:val="24"/>
          <w:lang w:val="en-GB"/>
        </w:rPr>
        <w:t xml:space="preserve"> that </w:t>
      </w:r>
      <w:r w:rsidR="007233D7" w:rsidRPr="00A03898">
        <w:rPr>
          <w:rFonts w:ascii="Times New Roman" w:hAnsi="Times New Roman" w:cs="Times New Roman"/>
          <w:color w:val="auto"/>
          <w:sz w:val="24"/>
          <w:szCs w:val="24"/>
          <w:lang w:val="en-GB"/>
        </w:rPr>
        <w:t xml:space="preserve">the </w:t>
      </w:r>
      <w:r w:rsidR="00DA45C4" w:rsidRPr="00A03898">
        <w:rPr>
          <w:rFonts w:ascii="Times New Roman" w:hAnsi="Times New Roman" w:cs="Times New Roman"/>
          <w:color w:val="auto"/>
          <w:sz w:val="24"/>
          <w:szCs w:val="24"/>
          <w:lang w:val="en-GB"/>
        </w:rPr>
        <w:t xml:space="preserve">shares of start-ups and high-growth firms do not substantially vary across countries. </w:t>
      </w:r>
    </w:p>
    <w:p w14:paraId="717F33AD" w14:textId="37EE5D6C" w:rsidR="00A03898" w:rsidRDefault="00A03898" w:rsidP="00820BCB">
      <w:pPr>
        <w:pStyle w:val="Body"/>
        <w:spacing w:line="360" w:lineRule="auto"/>
        <w:ind w:firstLine="708"/>
        <w:jc w:val="both"/>
        <w:rPr>
          <w:rFonts w:ascii="Times New Roman" w:hAnsi="Times New Roman" w:cs="Times New Roman"/>
          <w:color w:val="auto"/>
          <w:sz w:val="24"/>
          <w:szCs w:val="24"/>
          <w:lang w:val="en-GB"/>
        </w:rPr>
      </w:pPr>
    </w:p>
    <w:p w14:paraId="4E82CF86" w14:textId="77777777" w:rsidR="00A03898" w:rsidRPr="00A03898" w:rsidRDefault="00A03898" w:rsidP="00820BCB">
      <w:pPr>
        <w:pStyle w:val="Body"/>
        <w:spacing w:line="360" w:lineRule="auto"/>
        <w:ind w:firstLine="708"/>
        <w:jc w:val="both"/>
        <w:rPr>
          <w:rFonts w:ascii="Times New Roman" w:hAnsi="Times New Roman" w:cs="Times New Roman"/>
          <w:color w:val="auto"/>
          <w:sz w:val="24"/>
          <w:szCs w:val="24"/>
          <w:lang w:val="en-GB"/>
        </w:rPr>
      </w:pPr>
    </w:p>
    <w:p w14:paraId="5FFA1DEB" w14:textId="77777777" w:rsidR="00A03898" w:rsidRPr="00896049" w:rsidRDefault="00A03898" w:rsidP="00A03898">
      <w:pPr>
        <w:pStyle w:val="Body"/>
        <w:spacing w:line="360" w:lineRule="auto"/>
        <w:jc w:val="both"/>
        <w:rPr>
          <w:rFonts w:ascii="Times New Roman" w:hAnsi="Times New Roman" w:cs="Times New Roman"/>
          <w:b/>
          <w:sz w:val="24"/>
          <w:szCs w:val="24"/>
          <w:lang w:val="en-GB"/>
        </w:rPr>
      </w:pPr>
      <w:r w:rsidRPr="00896049">
        <w:rPr>
          <w:rFonts w:ascii="Times New Roman" w:hAnsi="Times New Roman" w:cs="Times New Roman"/>
          <w:b/>
          <w:sz w:val="24"/>
          <w:szCs w:val="24"/>
          <w:lang w:val="en-GB"/>
        </w:rPr>
        <w:lastRenderedPageBreak/>
        <w:t>F</w:t>
      </w:r>
      <w:r>
        <w:rPr>
          <w:rFonts w:ascii="Times New Roman" w:hAnsi="Times New Roman" w:cs="Times New Roman"/>
          <w:b/>
          <w:sz w:val="24"/>
          <w:szCs w:val="24"/>
          <w:lang w:val="en-GB"/>
        </w:rPr>
        <w:t>ig.</w:t>
      </w:r>
      <w:r w:rsidRPr="00896049">
        <w:rPr>
          <w:rFonts w:ascii="Times New Roman" w:hAnsi="Times New Roman" w:cs="Times New Roman"/>
          <w:b/>
          <w:sz w:val="24"/>
          <w:szCs w:val="24"/>
          <w:lang w:val="en-GB"/>
        </w:rPr>
        <w:t xml:space="preserve"> 2</w:t>
      </w:r>
      <w:r>
        <w:rPr>
          <w:rFonts w:ascii="Times New Roman" w:hAnsi="Times New Roman" w:cs="Times New Roman"/>
          <w:b/>
          <w:sz w:val="24"/>
          <w:szCs w:val="24"/>
          <w:lang w:val="en-GB"/>
        </w:rPr>
        <w:t xml:space="preserve"> </w:t>
      </w:r>
      <w:r w:rsidRPr="00D9202F">
        <w:rPr>
          <w:rFonts w:ascii="Times New Roman" w:hAnsi="Times New Roman" w:cs="Times New Roman"/>
          <w:sz w:val="24"/>
          <w:szCs w:val="24"/>
          <w:lang w:val="en-GB"/>
        </w:rPr>
        <w:t>Business dynamics across NACE rev2 manufacturing industries 2012-2016</w:t>
      </w:r>
    </w:p>
    <w:p w14:paraId="195A9C16" w14:textId="77777777" w:rsidR="00A03898" w:rsidRDefault="00A03898" w:rsidP="00A03898">
      <w:pPr>
        <w:pStyle w:val="Body"/>
        <w:spacing w:line="360" w:lineRule="auto"/>
        <w:jc w:val="center"/>
        <w:rPr>
          <w:rFonts w:ascii="Times New Roman" w:hAnsi="Times New Roman" w:cs="Times New Roman"/>
          <w:sz w:val="24"/>
          <w:szCs w:val="24"/>
          <w:lang w:val="en-GB"/>
        </w:rPr>
      </w:pPr>
      <w:r>
        <w:rPr>
          <w:rFonts w:ascii="Times New Roman" w:hAnsi="Times New Roman" w:cs="Times New Roman"/>
          <w:noProof/>
          <w:sz w:val="24"/>
          <w:szCs w:val="24"/>
        </w:rPr>
        <w:drawing>
          <wp:inline distT="0" distB="0" distL="0" distR="0" wp14:anchorId="4422B80E" wp14:editId="02FBD68B">
            <wp:extent cx="4095345" cy="25911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2.pdf"/>
                    <pic:cNvPicPr/>
                  </pic:nvPicPr>
                  <pic:blipFill>
                    <a:blip r:embed="rId12">
                      <a:extLst>
                        <a:ext uri="{28A0092B-C50C-407E-A947-70E740481C1C}">
                          <a14:useLocalDpi xmlns:a14="http://schemas.microsoft.com/office/drawing/2010/main" val="0"/>
                        </a:ext>
                      </a:extLst>
                    </a:blip>
                    <a:stretch>
                      <a:fillRect/>
                    </a:stretch>
                  </pic:blipFill>
                  <pic:spPr>
                    <a:xfrm>
                      <a:off x="0" y="0"/>
                      <a:ext cx="4140031" cy="2619428"/>
                    </a:xfrm>
                    <a:prstGeom prst="rect">
                      <a:avLst/>
                    </a:prstGeom>
                  </pic:spPr>
                </pic:pic>
              </a:graphicData>
            </a:graphic>
          </wp:inline>
        </w:drawing>
      </w:r>
    </w:p>
    <w:p w14:paraId="120941E4" w14:textId="446004AB" w:rsidR="00401B3B" w:rsidRPr="00A03898" w:rsidRDefault="00257873" w:rsidP="00D16075">
      <w:pPr>
        <w:pStyle w:val="Body"/>
        <w:spacing w:line="360" w:lineRule="auto"/>
        <w:ind w:firstLine="708"/>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A</w:t>
      </w:r>
      <w:r w:rsidR="00401B3B" w:rsidRPr="00A03898">
        <w:rPr>
          <w:rFonts w:ascii="Times New Roman" w:hAnsi="Times New Roman" w:cs="Times New Roman"/>
          <w:color w:val="auto"/>
          <w:sz w:val="24"/>
          <w:szCs w:val="24"/>
          <w:lang w:val="en-GB"/>
        </w:rPr>
        <w:t>cross all industries</w:t>
      </w:r>
      <w:r w:rsidR="009C407A" w:rsidRPr="00A03898">
        <w:rPr>
          <w:rFonts w:ascii="Times New Roman" w:hAnsi="Times New Roman" w:cs="Times New Roman"/>
          <w:color w:val="auto"/>
          <w:sz w:val="24"/>
          <w:szCs w:val="24"/>
          <w:lang w:val="en-GB"/>
        </w:rPr>
        <w:t>,</w:t>
      </w:r>
      <w:r w:rsidR="00401B3B" w:rsidRPr="00A03898">
        <w:rPr>
          <w:rFonts w:ascii="Times New Roman" w:hAnsi="Times New Roman" w:cs="Times New Roman"/>
          <w:color w:val="auto"/>
          <w:sz w:val="24"/>
          <w:szCs w:val="24"/>
          <w:lang w:val="en-GB"/>
        </w:rPr>
        <w:t xml:space="preserve"> </w:t>
      </w:r>
      <w:r w:rsidR="009C407A" w:rsidRPr="00A03898">
        <w:rPr>
          <w:rFonts w:ascii="Times New Roman" w:hAnsi="Times New Roman" w:cs="Times New Roman"/>
          <w:color w:val="auto"/>
          <w:sz w:val="24"/>
          <w:szCs w:val="24"/>
          <w:lang w:val="en-GB"/>
        </w:rPr>
        <w:t xml:space="preserve">the </w:t>
      </w:r>
      <w:r w:rsidR="00401B3B" w:rsidRPr="00A03898">
        <w:rPr>
          <w:rFonts w:ascii="Times New Roman" w:hAnsi="Times New Roman" w:cs="Times New Roman"/>
          <w:color w:val="auto"/>
          <w:sz w:val="24"/>
          <w:szCs w:val="24"/>
          <w:lang w:val="en-GB"/>
        </w:rPr>
        <w:t xml:space="preserve">EU28 market accounts for </w:t>
      </w:r>
      <w:r w:rsidR="009C407A" w:rsidRPr="00A03898">
        <w:rPr>
          <w:rFonts w:ascii="Times New Roman" w:hAnsi="Times New Roman" w:cs="Times New Roman"/>
          <w:color w:val="auto"/>
          <w:sz w:val="24"/>
          <w:szCs w:val="24"/>
          <w:lang w:val="en-GB"/>
        </w:rPr>
        <w:t xml:space="preserve">the </w:t>
      </w:r>
      <w:r w:rsidR="00401B3B" w:rsidRPr="00A03898">
        <w:rPr>
          <w:rFonts w:ascii="Times New Roman" w:hAnsi="Times New Roman" w:cs="Times New Roman"/>
          <w:color w:val="auto"/>
          <w:sz w:val="24"/>
          <w:szCs w:val="24"/>
          <w:lang w:val="en-GB"/>
        </w:rPr>
        <w:t xml:space="preserve">largest share of CEE exports, imports and </w:t>
      </w:r>
      <w:r w:rsidR="009C407A" w:rsidRPr="00A03898">
        <w:rPr>
          <w:rFonts w:ascii="Times New Roman" w:hAnsi="Times New Roman" w:cs="Times New Roman"/>
          <w:color w:val="auto"/>
          <w:sz w:val="24"/>
          <w:szCs w:val="24"/>
          <w:lang w:val="en-GB"/>
        </w:rPr>
        <w:t xml:space="preserve">the </w:t>
      </w:r>
      <w:r w:rsidR="00401B3B" w:rsidRPr="00A03898">
        <w:rPr>
          <w:rFonts w:ascii="Times New Roman" w:hAnsi="Times New Roman" w:cs="Times New Roman"/>
          <w:color w:val="auto"/>
          <w:sz w:val="24"/>
          <w:szCs w:val="24"/>
          <w:lang w:val="en-GB"/>
        </w:rPr>
        <w:t>share of domestic value added embodied in foreign demand</w:t>
      </w:r>
      <w:r w:rsidRPr="00A03898">
        <w:rPr>
          <w:rFonts w:ascii="Times New Roman" w:hAnsi="Times New Roman" w:cs="Times New Roman"/>
          <w:color w:val="auto"/>
          <w:sz w:val="24"/>
          <w:szCs w:val="24"/>
          <w:lang w:val="en-GB"/>
        </w:rPr>
        <w:t xml:space="preserve"> (Figure 3)</w:t>
      </w:r>
      <w:r w:rsidR="00401B3B" w:rsidRPr="00A03898">
        <w:rPr>
          <w:rFonts w:ascii="Times New Roman" w:hAnsi="Times New Roman" w:cs="Times New Roman"/>
          <w:color w:val="auto"/>
          <w:sz w:val="24"/>
          <w:szCs w:val="24"/>
          <w:lang w:val="en-GB"/>
        </w:rPr>
        <w:t xml:space="preserve">. </w:t>
      </w:r>
      <w:r w:rsidR="009C407A" w:rsidRPr="00A03898">
        <w:rPr>
          <w:rFonts w:ascii="Times New Roman" w:hAnsi="Times New Roman" w:cs="Times New Roman"/>
          <w:color w:val="auto"/>
          <w:sz w:val="24"/>
          <w:szCs w:val="24"/>
          <w:lang w:val="en-GB"/>
        </w:rPr>
        <w:t>H</w:t>
      </w:r>
      <w:r w:rsidR="00401B3B" w:rsidRPr="00A03898">
        <w:rPr>
          <w:rFonts w:ascii="Times New Roman" w:hAnsi="Times New Roman" w:cs="Times New Roman"/>
          <w:color w:val="auto"/>
          <w:sz w:val="24"/>
          <w:szCs w:val="24"/>
          <w:lang w:val="en-GB"/>
        </w:rPr>
        <w:t xml:space="preserve">ere too we observe high shares of food, textiles and automotive industries. </w:t>
      </w:r>
      <w:r w:rsidR="00DA45C4" w:rsidRPr="00A03898">
        <w:rPr>
          <w:rFonts w:ascii="Times New Roman" w:hAnsi="Times New Roman" w:cs="Times New Roman"/>
          <w:color w:val="auto"/>
          <w:sz w:val="24"/>
          <w:szCs w:val="24"/>
          <w:lang w:val="en-GB"/>
        </w:rPr>
        <w:t xml:space="preserve">Somewhat higher shares of EU28 in CEE exports can be found in </w:t>
      </w:r>
      <w:proofErr w:type="spellStart"/>
      <w:r w:rsidR="00DA45C4" w:rsidRPr="00A03898">
        <w:rPr>
          <w:rFonts w:ascii="Times New Roman" w:hAnsi="Times New Roman" w:cs="Times New Roman"/>
          <w:color w:val="auto"/>
          <w:sz w:val="24"/>
          <w:szCs w:val="24"/>
          <w:lang w:val="en-GB"/>
        </w:rPr>
        <w:t>Visegrad</w:t>
      </w:r>
      <w:proofErr w:type="spellEnd"/>
      <w:r w:rsidR="00DA45C4" w:rsidRPr="00A03898">
        <w:rPr>
          <w:rFonts w:ascii="Times New Roman" w:hAnsi="Times New Roman" w:cs="Times New Roman"/>
          <w:color w:val="auto"/>
          <w:sz w:val="24"/>
          <w:szCs w:val="24"/>
          <w:lang w:val="en-GB"/>
        </w:rPr>
        <w:t xml:space="preserve"> group of countries (Czechia, Hungary, Poland, Slovakia and Slovenia</w:t>
      </w:r>
      <w:r w:rsidR="00537E7A" w:rsidRPr="00A03898">
        <w:rPr>
          <w:rFonts w:ascii="Times New Roman" w:hAnsi="Times New Roman" w:cs="Times New Roman"/>
          <w:color w:val="auto"/>
          <w:sz w:val="24"/>
          <w:szCs w:val="24"/>
          <w:lang w:val="en-GB"/>
        </w:rPr>
        <w:t>)</w:t>
      </w:r>
      <w:r w:rsidR="00DA45C4" w:rsidRPr="00A03898">
        <w:rPr>
          <w:rFonts w:ascii="Times New Roman" w:hAnsi="Times New Roman" w:cs="Times New Roman"/>
          <w:color w:val="auto"/>
          <w:sz w:val="24"/>
          <w:szCs w:val="24"/>
          <w:lang w:val="en-GB"/>
        </w:rPr>
        <w:t xml:space="preserve">. </w:t>
      </w:r>
      <w:r w:rsidR="00401B3B" w:rsidRPr="00A03898">
        <w:rPr>
          <w:rFonts w:ascii="Times New Roman" w:hAnsi="Times New Roman" w:cs="Times New Roman"/>
          <w:color w:val="auto"/>
          <w:sz w:val="24"/>
          <w:szCs w:val="24"/>
          <w:lang w:val="en-GB"/>
        </w:rPr>
        <w:t xml:space="preserve">Finally, EU28 market accounts for between </w:t>
      </w:r>
      <w:r w:rsidR="0087495F" w:rsidRPr="00A03898">
        <w:rPr>
          <w:rFonts w:ascii="Times New Roman" w:hAnsi="Times New Roman" w:cs="Times New Roman"/>
          <w:color w:val="auto"/>
          <w:sz w:val="24"/>
          <w:szCs w:val="24"/>
          <w:lang w:val="en-GB"/>
        </w:rPr>
        <w:t>59</w:t>
      </w:r>
      <w:r w:rsidR="00401B3B" w:rsidRPr="00A03898">
        <w:rPr>
          <w:rFonts w:ascii="Times New Roman" w:hAnsi="Times New Roman" w:cs="Times New Roman"/>
          <w:color w:val="auto"/>
          <w:sz w:val="24"/>
          <w:szCs w:val="24"/>
          <w:lang w:val="en-GB"/>
        </w:rPr>
        <w:t xml:space="preserve">% and </w:t>
      </w:r>
      <w:r w:rsidR="0087495F" w:rsidRPr="00A03898">
        <w:rPr>
          <w:rFonts w:ascii="Times New Roman" w:hAnsi="Times New Roman" w:cs="Times New Roman"/>
          <w:color w:val="auto"/>
          <w:sz w:val="24"/>
          <w:szCs w:val="24"/>
          <w:lang w:val="en-GB"/>
        </w:rPr>
        <w:t>79</w:t>
      </w:r>
      <w:r w:rsidR="00401B3B" w:rsidRPr="00A03898">
        <w:rPr>
          <w:rFonts w:ascii="Times New Roman" w:hAnsi="Times New Roman" w:cs="Times New Roman"/>
          <w:color w:val="auto"/>
          <w:sz w:val="24"/>
          <w:szCs w:val="24"/>
          <w:lang w:val="en-GB"/>
        </w:rPr>
        <w:t xml:space="preserve">% of </w:t>
      </w:r>
      <w:r w:rsidR="0087495F" w:rsidRPr="00A03898">
        <w:rPr>
          <w:rFonts w:ascii="Times New Roman" w:hAnsi="Times New Roman" w:cs="Times New Roman"/>
          <w:color w:val="auto"/>
          <w:sz w:val="24"/>
          <w:szCs w:val="24"/>
          <w:lang w:val="en-GB"/>
        </w:rPr>
        <w:t>imports</w:t>
      </w:r>
      <w:r w:rsidR="00401B3B" w:rsidRPr="00A03898">
        <w:rPr>
          <w:rFonts w:ascii="Times New Roman" w:hAnsi="Times New Roman" w:cs="Times New Roman"/>
          <w:color w:val="auto"/>
          <w:sz w:val="24"/>
          <w:szCs w:val="24"/>
          <w:lang w:val="en-GB"/>
        </w:rPr>
        <w:t xml:space="preserve">. These figures clearly show strong orientation of CEE producers towards </w:t>
      </w:r>
      <w:r w:rsidR="00962161" w:rsidRPr="00A03898">
        <w:rPr>
          <w:rFonts w:ascii="Times New Roman" w:hAnsi="Times New Roman" w:cs="Times New Roman"/>
          <w:color w:val="auto"/>
          <w:sz w:val="24"/>
          <w:szCs w:val="24"/>
          <w:lang w:val="en-GB"/>
        </w:rPr>
        <w:t xml:space="preserve">the </w:t>
      </w:r>
      <w:r w:rsidR="00401B3B" w:rsidRPr="00A03898">
        <w:rPr>
          <w:rFonts w:ascii="Times New Roman" w:hAnsi="Times New Roman" w:cs="Times New Roman"/>
          <w:color w:val="auto"/>
          <w:sz w:val="24"/>
          <w:szCs w:val="24"/>
          <w:lang w:val="en-GB"/>
        </w:rPr>
        <w:t>EU market.</w:t>
      </w:r>
    </w:p>
    <w:p w14:paraId="1D1381C7" w14:textId="77777777" w:rsidR="00A03898" w:rsidRDefault="00A03898" w:rsidP="00A03898">
      <w:pPr>
        <w:pStyle w:val="Body"/>
        <w:spacing w:line="360" w:lineRule="auto"/>
        <w:jc w:val="both"/>
        <w:rPr>
          <w:rFonts w:ascii="Times New Roman" w:hAnsi="Times New Roman" w:cs="Times New Roman"/>
          <w:sz w:val="24"/>
          <w:szCs w:val="24"/>
          <w:lang w:val="en-GB"/>
        </w:rPr>
      </w:pPr>
      <w:r w:rsidRPr="00747780">
        <w:rPr>
          <w:rFonts w:ascii="Times New Roman" w:hAnsi="Times New Roman" w:cs="Times New Roman"/>
          <w:b/>
          <w:sz w:val="24"/>
          <w:szCs w:val="24"/>
          <w:lang w:val="en-GB"/>
        </w:rPr>
        <w:t>Fig.</w:t>
      </w:r>
      <w:r>
        <w:rPr>
          <w:rFonts w:ascii="Times New Roman" w:hAnsi="Times New Roman" w:cs="Times New Roman"/>
          <w:b/>
          <w:sz w:val="24"/>
          <w:szCs w:val="24"/>
          <w:lang w:val="en-GB"/>
        </w:rPr>
        <w:t xml:space="preserve"> </w:t>
      </w:r>
      <w:r w:rsidRPr="00747780">
        <w:rPr>
          <w:rFonts w:ascii="Times New Roman" w:hAnsi="Times New Roman" w:cs="Times New Roman"/>
          <w:b/>
          <w:sz w:val="24"/>
          <w:szCs w:val="24"/>
          <w:lang w:val="en-GB"/>
        </w:rPr>
        <w:t>3</w:t>
      </w:r>
      <w:r>
        <w:rPr>
          <w:rFonts w:ascii="Times New Roman" w:hAnsi="Times New Roman" w:cs="Times New Roman"/>
          <w:b/>
          <w:sz w:val="24"/>
          <w:szCs w:val="24"/>
          <w:lang w:val="en-GB"/>
        </w:rPr>
        <w:t xml:space="preserve"> </w:t>
      </w:r>
      <w:r w:rsidRPr="00747780">
        <w:rPr>
          <w:rFonts w:ascii="Times New Roman" w:hAnsi="Times New Roman" w:cs="Times New Roman"/>
          <w:sz w:val="24"/>
          <w:szCs w:val="24"/>
          <w:lang w:val="en-GB"/>
        </w:rPr>
        <w:t>EU28</w:t>
      </w:r>
      <w:r>
        <w:rPr>
          <w:rFonts w:ascii="Times New Roman" w:hAnsi="Times New Roman" w:cs="Times New Roman"/>
          <w:sz w:val="24"/>
          <w:szCs w:val="24"/>
          <w:lang w:val="en-GB"/>
        </w:rPr>
        <w:t xml:space="preserve"> share in exports, imports and foreign demand of CEE manufacturing industries 2012-2016 (in %)</w:t>
      </w:r>
    </w:p>
    <w:p w14:paraId="106676DA" w14:textId="77777777" w:rsidR="00A03898" w:rsidRDefault="00A03898" w:rsidP="00A03898">
      <w:pPr>
        <w:pStyle w:val="Body"/>
        <w:spacing w:line="360" w:lineRule="auto"/>
        <w:jc w:val="center"/>
        <w:rPr>
          <w:rFonts w:ascii="Times New Roman" w:hAnsi="Times New Roman" w:cs="Times New Roman"/>
          <w:sz w:val="24"/>
          <w:szCs w:val="24"/>
          <w:lang w:val="en-GB"/>
        </w:rPr>
      </w:pPr>
      <w:r>
        <w:rPr>
          <w:rFonts w:ascii="Times New Roman" w:hAnsi="Times New Roman" w:cs="Times New Roman"/>
          <w:noProof/>
          <w:sz w:val="24"/>
          <w:szCs w:val="24"/>
        </w:rPr>
        <w:drawing>
          <wp:inline distT="0" distB="0" distL="0" distR="0" wp14:anchorId="45EA4E94" wp14:editId="48D5653F">
            <wp:extent cx="4952246" cy="2572417"/>
            <wp:effectExtent l="0" t="0" r="127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3.pdf"/>
                    <pic:cNvPicPr/>
                  </pic:nvPicPr>
                  <pic:blipFill>
                    <a:blip r:embed="rId13">
                      <a:extLst>
                        <a:ext uri="{28A0092B-C50C-407E-A947-70E740481C1C}">
                          <a14:useLocalDpi xmlns:a14="http://schemas.microsoft.com/office/drawing/2010/main" val="0"/>
                        </a:ext>
                      </a:extLst>
                    </a:blip>
                    <a:stretch>
                      <a:fillRect/>
                    </a:stretch>
                  </pic:blipFill>
                  <pic:spPr>
                    <a:xfrm>
                      <a:off x="0" y="0"/>
                      <a:ext cx="4959144" cy="2576000"/>
                    </a:xfrm>
                    <a:prstGeom prst="rect">
                      <a:avLst/>
                    </a:prstGeom>
                  </pic:spPr>
                </pic:pic>
              </a:graphicData>
            </a:graphic>
          </wp:inline>
        </w:drawing>
      </w:r>
    </w:p>
    <w:p w14:paraId="512D29ED" w14:textId="44C799B1" w:rsidR="00330FAB" w:rsidRPr="00A03898" w:rsidRDefault="009C407A" w:rsidP="007262C9">
      <w:pPr>
        <w:pStyle w:val="Body"/>
        <w:spacing w:line="360" w:lineRule="auto"/>
        <w:ind w:firstLine="708"/>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lastRenderedPageBreak/>
        <w:t>The</w:t>
      </w:r>
      <w:r w:rsidR="00401B3B" w:rsidRPr="00A03898">
        <w:rPr>
          <w:rFonts w:ascii="Times New Roman" w:hAnsi="Times New Roman" w:cs="Times New Roman"/>
          <w:color w:val="auto"/>
          <w:sz w:val="24"/>
          <w:szCs w:val="24"/>
          <w:lang w:val="en-GB"/>
        </w:rPr>
        <w:t xml:space="preserve"> </w:t>
      </w:r>
      <w:r w:rsidR="004B253C" w:rsidRPr="00A03898">
        <w:rPr>
          <w:rFonts w:ascii="Times New Roman" w:hAnsi="Times New Roman" w:cs="Times New Roman"/>
          <w:color w:val="auto"/>
          <w:sz w:val="24"/>
          <w:szCs w:val="24"/>
          <w:lang w:val="en-GB"/>
        </w:rPr>
        <w:t xml:space="preserve">benefits of market integration also materialize through integration of domestic producers in forward and backward value chains. </w:t>
      </w:r>
      <w:r w:rsidRPr="00A03898">
        <w:rPr>
          <w:rFonts w:ascii="Times New Roman" w:hAnsi="Times New Roman" w:cs="Times New Roman"/>
          <w:color w:val="auto"/>
          <w:sz w:val="24"/>
          <w:szCs w:val="24"/>
          <w:lang w:val="en-GB"/>
        </w:rPr>
        <w:t xml:space="preserve">Domestic value added of CEE countries participates in overall EU28 exports with </w:t>
      </w:r>
      <w:r w:rsidR="00DA45C4" w:rsidRPr="00A03898">
        <w:rPr>
          <w:rFonts w:ascii="Times New Roman" w:hAnsi="Times New Roman" w:cs="Times New Roman"/>
          <w:color w:val="auto"/>
          <w:sz w:val="24"/>
          <w:szCs w:val="24"/>
          <w:lang w:val="en-GB"/>
        </w:rPr>
        <w:t>very small shares</w:t>
      </w:r>
      <w:r w:rsidRPr="00A03898">
        <w:rPr>
          <w:rFonts w:ascii="Times New Roman" w:hAnsi="Times New Roman" w:cs="Times New Roman"/>
          <w:color w:val="auto"/>
          <w:sz w:val="24"/>
          <w:szCs w:val="24"/>
          <w:lang w:val="en-GB"/>
        </w:rPr>
        <w:t xml:space="preserve"> in each of analysed industries (Figure 4). </w:t>
      </w:r>
      <w:r w:rsidR="00DA45C4" w:rsidRPr="00A03898">
        <w:rPr>
          <w:rFonts w:ascii="Times New Roman" w:hAnsi="Times New Roman" w:cs="Times New Roman"/>
          <w:color w:val="auto"/>
          <w:sz w:val="24"/>
          <w:szCs w:val="24"/>
          <w:lang w:val="en-GB"/>
        </w:rPr>
        <w:t xml:space="preserve">As Table A3 in Online Appendix shows, somewhat higher figures can be found in </w:t>
      </w:r>
      <w:proofErr w:type="spellStart"/>
      <w:r w:rsidR="00DA45C4" w:rsidRPr="00A03898">
        <w:rPr>
          <w:rFonts w:ascii="Times New Roman" w:hAnsi="Times New Roman" w:cs="Times New Roman"/>
          <w:color w:val="auto"/>
          <w:sz w:val="24"/>
          <w:szCs w:val="24"/>
          <w:lang w:val="en-GB"/>
        </w:rPr>
        <w:t>Visegrad</w:t>
      </w:r>
      <w:proofErr w:type="spellEnd"/>
      <w:r w:rsidR="00DA45C4" w:rsidRPr="00A03898">
        <w:rPr>
          <w:rFonts w:ascii="Times New Roman" w:hAnsi="Times New Roman" w:cs="Times New Roman"/>
          <w:color w:val="auto"/>
          <w:sz w:val="24"/>
          <w:szCs w:val="24"/>
          <w:lang w:val="en-GB"/>
        </w:rPr>
        <w:t xml:space="preserve"> group of countries with </w:t>
      </w:r>
      <w:r w:rsidR="00A80BDC" w:rsidRPr="00A03898">
        <w:rPr>
          <w:rFonts w:ascii="Times New Roman" w:hAnsi="Times New Roman" w:cs="Times New Roman"/>
          <w:color w:val="auto"/>
          <w:sz w:val="24"/>
          <w:szCs w:val="24"/>
          <w:lang w:val="en-GB"/>
        </w:rPr>
        <w:t xml:space="preserve">the </w:t>
      </w:r>
      <w:r w:rsidR="00DA45C4" w:rsidRPr="00A03898">
        <w:rPr>
          <w:rFonts w:ascii="Times New Roman" w:hAnsi="Times New Roman" w:cs="Times New Roman"/>
          <w:color w:val="auto"/>
          <w:sz w:val="24"/>
          <w:szCs w:val="24"/>
          <w:lang w:val="en-GB"/>
        </w:rPr>
        <w:t xml:space="preserve">highest one being observed in Poland (0.06%). </w:t>
      </w:r>
      <w:r w:rsidRPr="00A03898">
        <w:rPr>
          <w:rFonts w:ascii="Times New Roman" w:hAnsi="Times New Roman" w:cs="Times New Roman"/>
          <w:color w:val="auto"/>
          <w:sz w:val="24"/>
          <w:szCs w:val="24"/>
          <w:lang w:val="en-GB"/>
        </w:rPr>
        <w:t>The opposite is the case with backward GVC participation. High share of foreign value added embodied in the domestic exports and the low share of domestic value added in foreign exports suggests that these countries produce standardised, price competitive products that bear li</w:t>
      </w:r>
      <w:r w:rsidR="00D16075" w:rsidRPr="00A03898">
        <w:rPr>
          <w:rFonts w:ascii="Times New Roman" w:hAnsi="Times New Roman" w:cs="Times New Roman"/>
          <w:color w:val="auto"/>
          <w:sz w:val="24"/>
          <w:szCs w:val="24"/>
          <w:lang w:val="en-GB"/>
        </w:rPr>
        <w:t>mited potential for sustainable growth</w:t>
      </w:r>
      <w:r w:rsidRPr="00A03898">
        <w:rPr>
          <w:rFonts w:ascii="Times New Roman" w:hAnsi="Times New Roman" w:cs="Times New Roman"/>
          <w:color w:val="auto"/>
          <w:sz w:val="24"/>
          <w:szCs w:val="24"/>
          <w:lang w:val="en-GB"/>
        </w:rPr>
        <w:t xml:space="preserve">. </w:t>
      </w:r>
    </w:p>
    <w:p w14:paraId="34129647" w14:textId="77777777" w:rsidR="00A03898" w:rsidRPr="00F7055D" w:rsidRDefault="00A03898" w:rsidP="00A03898">
      <w:pPr>
        <w:pStyle w:val="Body"/>
        <w:spacing w:line="360" w:lineRule="auto"/>
        <w:ind w:left="360"/>
        <w:jc w:val="both"/>
        <w:rPr>
          <w:rFonts w:ascii="Times New Roman" w:hAnsi="Times New Roman" w:cs="Times New Roman"/>
          <w:b/>
          <w:sz w:val="24"/>
          <w:szCs w:val="24"/>
          <w:lang w:val="en-GB"/>
        </w:rPr>
      </w:pPr>
      <w:r w:rsidRPr="00747780">
        <w:rPr>
          <w:rFonts w:ascii="Times New Roman" w:hAnsi="Times New Roman" w:cs="Times New Roman"/>
          <w:b/>
          <w:sz w:val="24"/>
          <w:szCs w:val="24"/>
          <w:lang w:val="en-GB"/>
        </w:rPr>
        <w:t>Fig.</w:t>
      </w:r>
      <w:r>
        <w:rPr>
          <w:rFonts w:ascii="Times New Roman" w:hAnsi="Times New Roman" w:cs="Times New Roman"/>
          <w:b/>
          <w:sz w:val="24"/>
          <w:szCs w:val="24"/>
          <w:lang w:val="en-GB"/>
        </w:rPr>
        <w:t xml:space="preserve"> 4 </w:t>
      </w:r>
      <w:r>
        <w:rPr>
          <w:rFonts w:ascii="Times New Roman" w:hAnsi="Times New Roman" w:cs="Times New Roman"/>
          <w:sz w:val="24"/>
          <w:szCs w:val="24"/>
          <w:lang w:val="en-GB"/>
        </w:rPr>
        <w:t>Forward and backward participation of CEE manufacturing industries in EU28 GVC 2012-2016 (average values in %)</w:t>
      </w:r>
    </w:p>
    <w:p w14:paraId="481BFA48" w14:textId="77777777" w:rsidR="00A03898" w:rsidRPr="00F2499B" w:rsidRDefault="00A03898" w:rsidP="00A03898">
      <w:pPr>
        <w:pStyle w:val="Body"/>
        <w:spacing w:line="360" w:lineRule="auto"/>
        <w:ind w:left="360"/>
        <w:rPr>
          <w:rFonts w:ascii="Times New Roman" w:hAnsi="Times New Roman" w:cs="Times New Roman"/>
          <w:sz w:val="24"/>
          <w:szCs w:val="24"/>
          <w:lang w:val="en-GB"/>
        </w:rPr>
      </w:pPr>
      <w:r>
        <w:rPr>
          <w:rFonts w:ascii="Times New Roman" w:hAnsi="Times New Roman" w:cs="Times New Roman"/>
          <w:noProof/>
          <w:sz w:val="24"/>
          <w:szCs w:val="24"/>
        </w:rPr>
        <w:drawing>
          <wp:inline distT="0" distB="0" distL="0" distR="0" wp14:anchorId="745D89D9" wp14:editId="437E470A">
            <wp:extent cx="5798744" cy="365760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4.pdf"/>
                    <pic:cNvPicPr/>
                  </pic:nvPicPr>
                  <pic:blipFill>
                    <a:blip r:embed="rId14">
                      <a:extLst>
                        <a:ext uri="{28A0092B-C50C-407E-A947-70E740481C1C}">
                          <a14:useLocalDpi xmlns:a14="http://schemas.microsoft.com/office/drawing/2010/main" val="0"/>
                        </a:ext>
                      </a:extLst>
                    </a:blip>
                    <a:stretch>
                      <a:fillRect/>
                    </a:stretch>
                  </pic:blipFill>
                  <pic:spPr>
                    <a:xfrm>
                      <a:off x="0" y="0"/>
                      <a:ext cx="5817649" cy="3669524"/>
                    </a:xfrm>
                    <a:prstGeom prst="rect">
                      <a:avLst/>
                    </a:prstGeom>
                  </pic:spPr>
                </pic:pic>
              </a:graphicData>
            </a:graphic>
          </wp:inline>
        </w:drawing>
      </w:r>
    </w:p>
    <w:p w14:paraId="21AC2835" w14:textId="6B1B6AEF" w:rsidR="00486814" w:rsidRPr="00A03898" w:rsidRDefault="00B819CA" w:rsidP="004736C5">
      <w:pPr>
        <w:pStyle w:val="Body"/>
        <w:numPr>
          <w:ilvl w:val="0"/>
          <w:numId w:val="5"/>
        </w:numPr>
        <w:spacing w:line="360" w:lineRule="auto"/>
        <w:rPr>
          <w:rFonts w:ascii="Times New Roman" w:eastAsia="Times New Roman" w:hAnsi="Times New Roman" w:cs="Times New Roman"/>
          <w:b/>
          <w:bCs/>
          <w:color w:val="auto"/>
          <w:sz w:val="24"/>
          <w:szCs w:val="24"/>
          <w:lang w:val="en-GB"/>
        </w:rPr>
      </w:pPr>
      <w:r w:rsidRPr="00A03898">
        <w:rPr>
          <w:rFonts w:ascii="Times New Roman" w:hAnsi="Times New Roman" w:cs="Times New Roman"/>
          <w:b/>
          <w:bCs/>
          <w:color w:val="auto"/>
          <w:sz w:val="24"/>
          <w:szCs w:val="24"/>
          <w:lang w:val="en-GB"/>
        </w:rPr>
        <w:t>Results</w:t>
      </w:r>
    </w:p>
    <w:p w14:paraId="1D206A11" w14:textId="1D013E92" w:rsidR="00123BF9" w:rsidRPr="00A03898" w:rsidRDefault="009E73E2" w:rsidP="003B6E49">
      <w:pPr>
        <w:pStyle w:val="Body"/>
        <w:spacing w:line="360" w:lineRule="auto"/>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 xml:space="preserve">Starting point of empirical investigation is </w:t>
      </w:r>
      <w:r w:rsidR="00246A3D"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 xml:space="preserve">assessment of appropriateness of our specification. </w:t>
      </w:r>
      <w:r w:rsidR="00123BF9" w:rsidRPr="00A03898">
        <w:rPr>
          <w:rFonts w:ascii="Times New Roman" w:hAnsi="Times New Roman" w:cs="Times New Roman"/>
          <w:color w:val="auto"/>
          <w:sz w:val="24"/>
          <w:szCs w:val="24"/>
          <w:lang w:val="en-GB"/>
        </w:rPr>
        <w:t>M2/m1 tests for autocorrelation in dynamic panel estimation suggest</w:t>
      </w:r>
      <w:r w:rsidR="00E7114E" w:rsidRPr="00A03898">
        <w:rPr>
          <w:rFonts w:ascii="Times New Roman" w:hAnsi="Times New Roman" w:cs="Times New Roman"/>
          <w:color w:val="auto"/>
          <w:sz w:val="24"/>
          <w:szCs w:val="24"/>
          <w:lang w:val="en-GB"/>
        </w:rPr>
        <w:t xml:space="preserve"> the</w:t>
      </w:r>
      <w:r w:rsidR="00123BF9" w:rsidRPr="00A03898">
        <w:rPr>
          <w:rFonts w:ascii="Times New Roman" w:hAnsi="Times New Roman" w:cs="Times New Roman"/>
          <w:color w:val="auto"/>
          <w:sz w:val="24"/>
          <w:szCs w:val="24"/>
          <w:lang w:val="en-GB"/>
        </w:rPr>
        <w:t xml:space="preserve"> absence of second order autocorrelation while </w:t>
      </w:r>
      <w:proofErr w:type="spellStart"/>
      <w:r w:rsidR="00123BF9" w:rsidRPr="00A03898">
        <w:rPr>
          <w:rFonts w:ascii="Times New Roman" w:hAnsi="Times New Roman" w:cs="Times New Roman"/>
          <w:color w:val="auto"/>
          <w:sz w:val="24"/>
          <w:szCs w:val="24"/>
          <w:lang w:val="en-GB"/>
        </w:rPr>
        <w:t>Sargan</w:t>
      </w:r>
      <w:proofErr w:type="spellEnd"/>
      <w:r w:rsidR="00123BF9" w:rsidRPr="00A03898">
        <w:rPr>
          <w:rFonts w:ascii="Times New Roman" w:hAnsi="Times New Roman" w:cs="Times New Roman"/>
          <w:color w:val="auto"/>
          <w:sz w:val="24"/>
          <w:szCs w:val="24"/>
          <w:lang w:val="en-GB"/>
        </w:rPr>
        <w:t xml:space="preserve">/Hansen tests for overidentifying restrictions </w:t>
      </w:r>
      <w:r w:rsidR="0024611E" w:rsidRPr="00A03898">
        <w:rPr>
          <w:rFonts w:ascii="Times New Roman" w:hAnsi="Times New Roman" w:cs="Times New Roman"/>
          <w:color w:val="auto"/>
          <w:sz w:val="24"/>
          <w:szCs w:val="24"/>
          <w:lang w:val="en-GB"/>
        </w:rPr>
        <w:t xml:space="preserve">and difference-in-difference </w:t>
      </w:r>
      <w:proofErr w:type="spellStart"/>
      <w:r w:rsidR="0024611E" w:rsidRPr="00A03898">
        <w:rPr>
          <w:rFonts w:ascii="Times New Roman" w:hAnsi="Times New Roman" w:cs="Times New Roman"/>
          <w:color w:val="auto"/>
          <w:sz w:val="24"/>
          <w:szCs w:val="24"/>
          <w:lang w:val="en-GB"/>
        </w:rPr>
        <w:t>Sargan</w:t>
      </w:r>
      <w:proofErr w:type="spellEnd"/>
      <w:r w:rsidR="0024611E" w:rsidRPr="00A03898">
        <w:rPr>
          <w:rFonts w:ascii="Times New Roman" w:hAnsi="Times New Roman" w:cs="Times New Roman"/>
          <w:color w:val="auto"/>
          <w:sz w:val="24"/>
          <w:szCs w:val="24"/>
          <w:lang w:val="en-GB"/>
        </w:rPr>
        <w:t xml:space="preserve"> tests for levels equation </w:t>
      </w:r>
      <w:r w:rsidR="00DB0DBE" w:rsidRPr="00A03898">
        <w:rPr>
          <w:rFonts w:ascii="Times New Roman" w:hAnsi="Times New Roman" w:cs="Times New Roman"/>
          <w:color w:val="auto"/>
          <w:sz w:val="24"/>
          <w:szCs w:val="24"/>
          <w:lang w:val="en-GB"/>
        </w:rPr>
        <w:t xml:space="preserve">confirm </w:t>
      </w:r>
      <w:r w:rsidR="002B4A7D" w:rsidRPr="00A03898">
        <w:rPr>
          <w:rFonts w:ascii="Times New Roman" w:hAnsi="Times New Roman" w:cs="Times New Roman"/>
          <w:color w:val="auto"/>
          <w:sz w:val="24"/>
          <w:szCs w:val="24"/>
          <w:lang w:val="en-GB"/>
        </w:rPr>
        <w:t xml:space="preserve">the </w:t>
      </w:r>
      <w:r w:rsidR="00DB0DBE" w:rsidRPr="00A03898">
        <w:rPr>
          <w:rFonts w:ascii="Times New Roman" w:hAnsi="Times New Roman" w:cs="Times New Roman"/>
          <w:color w:val="auto"/>
          <w:sz w:val="24"/>
          <w:szCs w:val="24"/>
          <w:lang w:val="en-GB"/>
        </w:rPr>
        <w:t>validity of used instruments</w:t>
      </w:r>
      <w:r w:rsidR="002B4A7D" w:rsidRPr="00A03898">
        <w:rPr>
          <w:rFonts w:ascii="Times New Roman" w:hAnsi="Times New Roman" w:cs="Times New Roman"/>
          <w:color w:val="auto"/>
          <w:sz w:val="24"/>
          <w:szCs w:val="24"/>
          <w:lang w:val="en-GB"/>
        </w:rPr>
        <w:t xml:space="preserve"> (contained in Appendix tables)</w:t>
      </w:r>
      <w:r w:rsidR="00DB0DBE" w:rsidRPr="00A03898">
        <w:rPr>
          <w:rFonts w:ascii="Times New Roman" w:hAnsi="Times New Roman" w:cs="Times New Roman"/>
          <w:color w:val="auto"/>
          <w:sz w:val="24"/>
          <w:szCs w:val="24"/>
          <w:lang w:val="en-GB"/>
        </w:rPr>
        <w:t xml:space="preserve">. It can be concluded that all relevant diagnostics provide support to our model and enable us to proceed with </w:t>
      </w:r>
      <w:r w:rsidR="0024611E" w:rsidRPr="00A03898">
        <w:rPr>
          <w:rFonts w:ascii="Times New Roman" w:hAnsi="Times New Roman" w:cs="Times New Roman"/>
          <w:color w:val="auto"/>
          <w:sz w:val="24"/>
          <w:szCs w:val="24"/>
          <w:lang w:val="en-GB"/>
        </w:rPr>
        <w:t xml:space="preserve">the </w:t>
      </w:r>
      <w:r w:rsidR="00DB0DBE" w:rsidRPr="00A03898">
        <w:rPr>
          <w:rFonts w:ascii="Times New Roman" w:hAnsi="Times New Roman" w:cs="Times New Roman"/>
          <w:color w:val="auto"/>
          <w:sz w:val="24"/>
          <w:szCs w:val="24"/>
          <w:lang w:val="en-GB"/>
        </w:rPr>
        <w:t xml:space="preserve">interpretation of results. </w:t>
      </w:r>
    </w:p>
    <w:p w14:paraId="6FE3BD38" w14:textId="7C805D54" w:rsidR="009F6655" w:rsidRPr="00A03898" w:rsidRDefault="00FE27A9" w:rsidP="009F6655">
      <w:pPr>
        <w:pStyle w:val="Body"/>
        <w:numPr>
          <w:ilvl w:val="1"/>
          <w:numId w:val="5"/>
        </w:numPr>
        <w:spacing w:line="360" w:lineRule="auto"/>
        <w:jc w:val="both"/>
        <w:rPr>
          <w:rFonts w:ascii="Times New Roman" w:hAnsi="Times New Roman" w:cs="Times New Roman"/>
          <w:i/>
          <w:iCs/>
          <w:color w:val="auto"/>
          <w:sz w:val="24"/>
          <w:szCs w:val="24"/>
          <w:lang w:val="en-GB"/>
        </w:rPr>
      </w:pPr>
      <w:r w:rsidRPr="00A03898">
        <w:rPr>
          <w:rFonts w:ascii="Times New Roman" w:hAnsi="Times New Roman" w:cs="Times New Roman"/>
          <w:i/>
          <w:iCs/>
          <w:color w:val="auto"/>
          <w:sz w:val="24"/>
          <w:szCs w:val="24"/>
          <w:lang w:val="en-GB"/>
        </w:rPr>
        <w:lastRenderedPageBreak/>
        <w:t>The i</w:t>
      </w:r>
      <w:r w:rsidR="009F6655" w:rsidRPr="00A03898">
        <w:rPr>
          <w:rFonts w:ascii="Times New Roman" w:hAnsi="Times New Roman" w:cs="Times New Roman"/>
          <w:i/>
          <w:iCs/>
          <w:color w:val="auto"/>
          <w:sz w:val="24"/>
          <w:szCs w:val="24"/>
          <w:lang w:val="en-GB"/>
        </w:rPr>
        <w:t xml:space="preserve">mpact of intra-EU28 trade on </w:t>
      </w:r>
      <w:r w:rsidR="00082DB7" w:rsidRPr="00A03898">
        <w:rPr>
          <w:rFonts w:ascii="Times New Roman" w:hAnsi="Times New Roman" w:cs="Times New Roman"/>
          <w:i/>
          <w:iCs/>
          <w:color w:val="auto"/>
          <w:sz w:val="24"/>
          <w:szCs w:val="24"/>
          <w:lang w:val="en-GB"/>
        </w:rPr>
        <w:t xml:space="preserve">the </w:t>
      </w:r>
      <w:r w:rsidR="009F6655" w:rsidRPr="00A03898">
        <w:rPr>
          <w:rFonts w:ascii="Times New Roman" w:hAnsi="Times New Roman" w:cs="Times New Roman"/>
          <w:i/>
          <w:iCs/>
          <w:color w:val="auto"/>
          <w:sz w:val="24"/>
          <w:szCs w:val="24"/>
          <w:lang w:val="en-GB"/>
        </w:rPr>
        <w:t>entrepreneurial outcomes</w:t>
      </w:r>
    </w:p>
    <w:p w14:paraId="2D641E63" w14:textId="2309DA98" w:rsidR="00876050" w:rsidRPr="00A03898" w:rsidRDefault="00876050" w:rsidP="003B6E49">
      <w:pPr>
        <w:pStyle w:val="Body"/>
        <w:spacing w:line="360" w:lineRule="auto"/>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As a starting point of</w:t>
      </w:r>
      <w:r w:rsidR="00601500" w:rsidRPr="00A03898">
        <w:rPr>
          <w:rFonts w:ascii="Times New Roman" w:hAnsi="Times New Roman" w:cs="Times New Roman"/>
          <w:color w:val="auto"/>
          <w:sz w:val="24"/>
          <w:szCs w:val="24"/>
          <w:lang w:val="en-GB"/>
        </w:rPr>
        <w:t xml:space="preserve"> the</w:t>
      </w:r>
      <w:r w:rsidRPr="00A03898">
        <w:rPr>
          <w:rFonts w:ascii="Times New Roman" w:hAnsi="Times New Roman" w:cs="Times New Roman"/>
          <w:color w:val="auto"/>
          <w:sz w:val="24"/>
          <w:szCs w:val="24"/>
          <w:lang w:val="en-GB"/>
        </w:rPr>
        <w:t xml:space="preserve"> investigation</w:t>
      </w:r>
      <w:r w:rsidR="00DB0DBE" w:rsidRPr="00A03898">
        <w:rPr>
          <w:rFonts w:ascii="Times New Roman" w:hAnsi="Times New Roman" w:cs="Times New Roman"/>
          <w:color w:val="auto"/>
          <w:sz w:val="24"/>
          <w:szCs w:val="24"/>
          <w:lang w:val="en-GB"/>
        </w:rPr>
        <w:t>,</w:t>
      </w:r>
      <w:r w:rsidRPr="00A03898">
        <w:rPr>
          <w:rFonts w:ascii="Times New Roman" w:hAnsi="Times New Roman" w:cs="Times New Roman"/>
          <w:color w:val="auto"/>
          <w:sz w:val="24"/>
          <w:szCs w:val="24"/>
          <w:lang w:val="en-GB"/>
        </w:rPr>
        <w:t xml:space="preserve"> we assess </w:t>
      </w:r>
      <w:r w:rsidR="003A0C44"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 xml:space="preserve">contribution of intra-EU28 trade to </w:t>
      </w:r>
      <w:r w:rsidR="00082DB7"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CEE entrepreneurial outcomes</w:t>
      </w:r>
      <w:r w:rsidR="00663843" w:rsidRPr="00A03898">
        <w:rPr>
          <w:rFonts w:ascii="Times New Roman" w:hAnsi="Times New Roman" w:cs="Times New Roman"/>
          <w:color w:val="auto"/>
          <w:sz w:val="24"/>
          <w:szCs w:val="24"/>
          <w:lang w:val="en-GB"/>
        </w:rPr>
        <w:t xml:space="preserve"> (Figure 5)</w:t>
      </w:r>
      <w:r w:rsidRPr="00A03898">
        <w:rPr>
          <w:rFonts w:ascii="Times New Roman" w:hAnsi="Times New Roman" w:cs="Times New Roman"/>
          <w:color w:val="auto"/>
          <w:sz w:val="24"/>
          <w:szCs w:val="24"/>
          <w:lang w:val="en-GB"/>
        </w:rPr>
        <w:t xml:space="preserve">. </w:t>
      </w:r>
      <w:r w:rsidR="00DB0DBE" w:rsidRPr="00A03898">
        <w:rPr>
          <w:rFonts w:ascii="Times New Roman" w:hAnsi="Times New Roman" w:cs="Times New Roman"/>
          <w:color w:val="auto"/>
          <w:sz w:val="24"/>
          <w:szCs w:val="24"/>
          <w:lang w:val="en-GB"/>
        </w:rPr>
        <w:t xml:space="preserve">Looking at findings for </w:t>
      </w:r>
      <w:r w:rsidR="00082DB7" w:rsidRPr="00A03898">
        <w:rPr>
          <w:rFonts w:ascii="Times New Roman" w:hAnsi="Times New Roman" w:cs="Times New Roman"/>
          <w:color w:val="auto"/>
          <w:sz w:val="24"/>
          <w:szCs w:val="24"/>
          <w:lang w:val="en-GB"/>
        </w:rPr>
        <w:t xml:space="preserve">the </w:t>
      </w:r>
      <w:r w:rsidR="00DB0DBE" w:rsidRPr="00A03898">
        <w:rPr>
          <w:rFonts w:ascii="Times New Roman" w:hAnsi="Times New Roman" w:cs="Times New Roman"/>
          <w:color w:val="auto"/>
          <w:sz w:val="24"/>
          <w:szCs w:val="24"/>
          <w:lang w:val="en-GB"/>
        </w:rPr>
        <w:t xml:space="preserve">whole exports and imports, a 1% increase in the share of EU28 in CEE exports increases </w:t>
      </w:r>
      <w:r w:rsidR="00E7114E" w:rsidRPr="00A03898">
        <w:rPr>
          <w:rFonts w:ascii="Times New Roman" w:hAnsi="Times New Roman" w:cs="Times New Roman"/>
          <w:color w:val="auto"/>
          <w:sz w:val="24"/>
          <w:szCs w:val="24"/>
          <w:lang w:val="en-GB"/>
        </w:rPr>
        <w:t xml:space="preserve">the </w:t>
      </w:r>
      <w:r w:rsidR="00DB0DBE" w:rsidRPr="00A03898">
        <w:rPr>
          <w:rFonts w:ascii="Times New Roman" w:hAnsi="Times New Roman" w:cs="Times New Roman"/>
          <w:color w:val="auto"/>
          <w:sz w:val="24"/>
          <w:szCs w:val="24"/>
          <w:lang w:val="en-GB"/>
        </w:rPr>
        <w:t xml:space="preserve">share of new businesses for </w:t>
      </w:r>
      <w:r w:rsidR="00082DB7" w:rsidRPr="00A03898">
        <w:rPr>
          <w:rFonts w:ascii="Times New Roman" w:hAnsi="Times New Roman" w:cs="Times New Roman"/>
          <w:color w:val="auto"/>
          <w:sz w:val="24"/>
          <w:szCs w:val="24"/>
          <w:lang w:val="en-GB"/>
        </w:rPr>
        <w:t>about</w:t>
      </w:r>
      <w:r w:rsidR="00DB0DBE" w:rsidRPr="00A03898">
        <w:rPr>
          <w:rFonts w:ascii="Times New Roman" w:hAnsi="Times New Roman" w:cs="Times New Roman"/>
          <w:color w:val="auto"/>
          <w:sz w:val="24"/>
          <w:szCs w:val="24"/>
          <w:lang w:val="en-GB"/>
        </w:rPr>
        <w:t xml:space="preserve"> 0.0</w:t>
      </w:r>
      <w:r w:rsidR="0024611E" w:rsidRPr="00A03898">
        <w:rPr>
          <w:rFonts w:ascii="Times New Roman" w:hAnsi="Times New Roman" w:cs="Times New Roman"/>
          <w:color w:val="auto"/>
          <w:sz w:val="24"/>
          <w:szCs w:val="24"/>
          <w:lang w:val="en-GB"/>
        </w:rPr>
        <w:t>8</w:t>
      </w:r>
      <w:r w:rsidR="00082DB7" w:rsidRPr="00A03898">
        <w:rPr>
          <w:rFonts w:ascii="Times New Roman" w:hAnsi="Times New Roman" w:cs="Times New Roman"/>
          <w:color w:val="auto"/>
          <w:sz w:val="24"/>
          <w:szCs w:val="24"/>
          <w:lang w:val="en-GB"/>
        </w:rPr>
        <w:t xml:space="preserve">% </w:t>
      </w:r>
      <w:r w:rsidR="00DB0DBE" w:rsidRPr="00A03898">
        <w:rPr>
          <w:rFonts w:ascii="Times New Roman" w:hAnsi="Times New Roman" w:cs="Times New Roman"/>
          <w:color w:val="auto"/>
          <w:sz w:val="24"/>
          <w:szCs w:val="24"/>
          <w:lang w:val="en-GB"/>
        </w:rPr>
        <w:t xml:space="preserve">while the effect on </w:t>
      </w:r>
      <w:r w:rsidR="00082DB7" w:rsidRPr="00A03898">
        <w:rPr>
          <w:rFonts w:ascii="Times New Roman" w:hAnsi="Times New Roman" w:cs="Times New Roman"/>
          <w:color w:val="auto"/>
          <w:sz w:val="24"/>
          <w:szCs w:val="24"/>
          <w:lang w:val="en-GB"/>
        </w:rPr>
        <w:t xml:space="preserve">the share of </w:t>
      </w:r>
      <w:r w:rsidR="00DB0DBE" w:rsidRPr="00A03898">
        <w:rPr>
          <w:rFonts w:ascii="Times New Roman" w:hAnsi="Times New Roman" w:cs="Times New Roman"/>
          <w:color w:val="auto"/>
          <w:sz w:val="24"/>
          <w:szCs w:val="24"/>
          <w:lang w:val="en-GB"/>
        </w:rPr>
        <w:t>high</w:t>
      </w:r>
      <w:r w:rsidR="00577982" w:rsidRPr="00A03898">
        <w:rPr>
          <w:rFonts w:ascii="Times New Roman" w:hAnsi="Times New Roman" w:cs="Times New Roman"/>
          <w:color w:val="auto"/>
          <w:sz w:val="24"/>
          <w:szCs w:val="24"/>
          <w:lang w:val="en-GB"/>
        </w:rPr>
        <w:t>-</w:t>
      </w:r>
      <w:r w:rsidR="00DB0DBE" w:rsidRPr="00A03898">
        <w:rPr>
          <w:rFonts w:ascii="Times New Roman" w:hAnsi="Times New Roman" w:cs="Times New Roman"/>
          <w:color w:val="auto"/>
          <w:sz w:val="24"/>
          <w:szCs w:val="24"/>
          <w:lang w:val="en-GB"/>
        </w:rPr>
        <w:t xml:space="preserve">growth firms ranges </w:t>
      </w:r>
      <w:r w:rsidR="00082DB7" w:rsidRPr="00A03898">
        <w:rPr>
          <w:rFonts w:ascii="Times New Roman" w:hAnsi="Times New Roman" w:cs="Times New Roman"/>
          <w:color w:val="auto"/>
          <w:sz w:val="24"/>
          <w:szCs w:val="24"/>
          <w:lang w:val="en-GB"/>
        </w:rPr>
        <w:t>around</w:t>
      </w:r>
      <w:r w:rsidR="00DB0DBE" w:rsidRPr="00A03898">
        <w:rPr>
          <w:rFonts w:ascii="Times New Roman" w:hAnsi="Times New Roman" w:cs="Times New Roman"/>
          <w:color w:val="auto"/>
          <w:sz w:val="24"/>
          <w:szCs w:val="24"/>
          <w:lang w:val="en-GB"/>
        </w:rPr>
        <w:t xml:space="preserve"> 0.03%. </w:t>
      </w:r>
      <w:r w:rsidR="00490FF9" w:rsidRPr="00A03898">
        <w:rPr>
          <w:rFonts w:ascii="Times New Roman" w:hAnsi="Times New Roman" w:cs="Times New Roman"/>
          <w:color w:val="auto"/>
          <w:sz w:val="24"/>
          <w:szCs w:val="24"/>
          <w:lang w:val="en-GB"/>
        </w:rPr>
        <w:t xml:space="preserve">Findings on imports are similar to the ones reported above. A 1% increase in </w:t>
      </w:r>
      <w:r w:rsidR="00E7114E" w:rsidRPr="00A03898">
        <w:rPr>
          <w:rFonts w:ascii="Times New Roman" w:hAnsi="Times New Roman" w:cs="Times New Roman"/>
          <w:color w:val="auto"/>
          <w:sz w:val="24"/>
          <w:szCs w:val="24"/>
          <w:lang w:val="en-GB"/>
        </w:rPr>
        <w:t xml:space="preserve">the </w:t>
      </w:r>
      <w:r w:rsidR="00490FF9" w:rsidRPr="00A03898">
        <w:rPr>
          <w:rFonts w:ascii="Times New Roman" w:hAnsi="Times New Roman" w:cs="Times New Roman"/>
          <w:color w:val="auto"/>
          <w:sz w:val="24"/>
          <w:szCs w:val="24"/>
          <w:lang w:val="en-GB"/>
        </w:rPr>
        <w:t xml:space="preserve">share of EU28 in total CEE imports increases </w:t>
      </w:r>
      <w:r w:rsidR="00E7114E" w:rsidRPr="00A03898">
        <w:rPr>
          <w:rFonts w:ascii="Times New Roman" w:hAnsi="Times New Roman" w:cs="Times New Roman"/>
          <w:color w:val="auto"/>
          <w:sz w:val="24"/>
          <w:szCs w:val="24"/>
          <w:lang w:val="en-GB"/>
        </w:rPr>
        <w:t xml:space="preserve">the </w:t>
      </w:r>
      <w:r w:rsidR="00490FF9" w:rsidRPr="00A03898">
        <w:rPr>
          <w:rFonts w:ascii="Times New Roman" w:hAnsi="Times New Roman" w:cs="Times New Roman"/>
          <w:color w:val="auto"/>
          <w:sz w:val="24"/>
          <w:szCs w:val="24"/>
          <w:lang w:val="en-GB"/>
        </w:rPr>
        <w:t>share of entrants in enterprise population for 0.</w:t>
      </w:r>
      <w:r w:rsidR="008F3BDB" w:rsidRPr="00A03898">
        <w:rPr>
          <w:rFonts w:ascii="Times New Roman" w:hAnsi="Times New Roman" w:cs="Times New Roman"/>
          <w:color w:val="auto"/>
          <w:sz w:val="24"/>
          <w:szCs w:val="24"/>
          <w:lang w:val="en-GB"/>
        </w:rPr>
        <w:t>08</w:t>
      </w:r>
      <w:r w:rsidR="00490FF9" w:rsidRPr="00A03898">
        <w:rPr>
          <w:rFonts w:ascii="Times New Roman" w:hAnsi="Times New Roman" w:cs="Times New Roman"/>
          <w:color w:val="auto"/>
          <w:sz w:val="24"/>
          <w:szCs w:val="24"/>
          <w:lang w:val="en-GB"/>
        </w:rPr>
        <w:t>%</w:t>
      </w:r>
      <w:r w:rsidR="008F3BDB" w:rsidRPr="00A03898">
        <w:rPr>
          <w:rFonts w:ascii="Times New Roman" w:hAnsi="Times New Roman" w:cs="Times New Roman"/>
          <w:color w:val="auto"/>
          <w:sz w:val="24"/>
          <w:szCs w:val="24"/>
          <w:lang w:val="en-GB"/>
        </w:rPr>
        <w:t xml:space="preserve"> and </w:t>
      </w:r>
      <w:r w:rsidR="00E7114E" w:rsidRPr="00A03898">
        <w:rPr>
          <w:rFonts w:ascii="Times New Roman" w:hAnsi="Times New Roman" w:cs="Times New Roman"/>
          <w:color w:val="auto"/>
          <w:sz w:val="24"/>
          <w:szCs w:val="24"/>
          <w:lang w:val="en-GB"/>
        </w:rPr>
        <w:t xml:space="preserve">the </w:t>
      </w:r>
      <w:r w:rsidR="008F3BDB" w:rsidRPr="00A03898">
        <w:rPr>
          <w:rFonts w:ascii="Times New Roman" w:hAnsi="Times New Roman" w:cs="Times New Roman"/>
          <w:color w:val="auto"/>
          <w:sz w:val="24"/>
          <w:szCs w:val="24"/>
          <w:lang w:val="en-GB"/>
        </w:rPr>
        <w:t>share of high growth firms for about 0.04%.</w:t>
      </w:r>
      <w:r w:rsidR="00490FF9" w:rsidRPr="00A03898">
        <w:rPr>
          <w:rFonts w:ascii="Times New Roman" w:hAnsi="Times New Roman" w:cs="Times New Roman"/>
          <w:color w:val="auto"/>
          <w:sz w:val="24"/>
          <w:szCs w:val="24"/>
          <w:lang w:val="en-GB"/>
        </w:rPr>
        <w:t xml:space="preserve"> </w:t>
      </w:r>
    </w:p>
    <w:p w14:paraId="1246C261" w14:textId="77777777" w:rsidR="00A03898" w:rsidRPr="0040487F" w:rsidRDefault="00A03898" w:rsidP="00A03898">
      <w:pPr>
        <w:pStyle w:val="Body"/>
        <w:spacing w:line="360" w:lineRule="auto"/>
        <w:jc w:val="both"/>
        <w:rPr>
          <w:rFonts w:ascii="Times New Roman" w:hAnsi="Times New Roman" w:cs="Times New Roman"/>
          <w:b/>
          <w:sz w:val="24"/>
          <w:szCs w:val="24"/>
          <w:lang w:val="en-GB"/>
        </w:rPr>
      </w:pPr>
      <w:r w:rsidRPr="00747780">
        <w:rPr>
          <w:rFonts w:ascii="Times New Roman" w:hAnsi="Times New Roman" w:cs="Times New Roman"/>
          <w:b/>
          <w:sz w:val="24"/>
          <w:szCs w:val="24"/>
          <w:lang w:val="en-GB"/>
        </w:rPr>
        <w:t>Fig.</w:t>
      </w:r>
      <w:r>
        <w:rPr>
          <w:rFonts w:ascii="Times New Roman" w:hAnsi="Times New Roman" w:cs="Times New Roman"/>
          <w:b/>
          <w:sz w:val="24"/>
          <w:szCs w:val="24"/>
          <w:lang w:val="en-GB"/>
        </w:rPr>
        <w:t xml:space="preserve"> 5 </w:t>
      </w:r>
      <w:r w:rsidRPr="00595DC4">
        <w:rPr>
          <w:rFonts w:ascii="Times New Roman" w:hAnsi="Times New Roman" w:cs="Times New Roman"/>
          <w:sz w:val="24"/>
          <w:szCs w:val="24"/>
          <w:lang w:val="en-GB"/>
        </w:rPr>
        <w:t>The impact of EU28 exports on the entrepreneurial outcomes in CEE manufacturing 2012-2016</w:t>
      </w:r>
    </w:p>
    <w:p w14:paraId="3F9BB118" w14:textId="77777777" w:rsidR="00A03898" w:rsidRDefault="00A03898" w:rsidP="00A03898">
      <w:pPr>
        <w:pStyle w:val="Body"/>
        <w:spacing w:line="360" w:lineRule="auto"/>
        <w:jc w:val="center"/>
        <w:rPr>
          <w:rFonts w:ascii="Times New Roman" w:hAnsi="Times New Roman" w:cs="Times New Roman"/>
          <w:sz w:val="24"/>
          <w:szCs w:val="24"/>
          <w:lang w:val="en-GB"/>
        </w:rPr>
      </w:pPr>
      <w:r>
        <w:rPr>
          <w:rFonts w:ascii="Times New Roman" w:hAnsi="Times New Roman" w:cs="Times New Roman"/>
          <w:noProof/>
          <w:sz w:val="24"/>
          <w:szCs w:val="24"/>
        </w:rPr>
        <w:drawing>
          <wp:inline distT="0" distB="0" distL="0" distR="0" wp14:anchorId="52E5C5DA" wp14:editId="53E417C2">
            <wp:extent cx="4572000" cy="2374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5.pdf"/>
                    <pic:cNvPicPr/>
                  </pic:nvPicPr>
                  <pic:blipFill>
                    <a:blip r:embed="rId15">
                      <a:extLst>
                        <a:ext uri="{28A0092B-C50C-407E-A947-70E740481C1C}">
                          <a14:useLocalDpi xmlns:a14="http://schemas.microsoft.com/office/drawing/2010/main" val="0"/>
                        </a:ext>
                      </a:extLst>
                    </a:blip>
                    <a:stretch>
                      <a:fillRect/>
                    </a:stretch>
                  </pic:blipFill>
                  <pic:spPr>
                    <a:xfrm>
                      <a:off x="0" y="0"/>
                      <a:ext cx="4572000" cy="2374900"/>
                    </a:xfrm>
                    <a:prstGeom prst="rect">
                      <a:avLst/>
                    </a:prstGeom>
                  </pic:spPr>
                </pic:pic>
              </a:graphicData>
            </a:graphic>
          </wp:inline>
        </w:drawing>
      </w:r>
    </w:p>
    <w:p w14:paraId="4483F571" w14:textId="53BC7E37" w:rsidR="00B27CAA" w:rsidRPr="00A03898" w:rsidRDefault="0046149B" w:rsidP="008F3BDB">
      <w:pPr>
        <w:pStyle w:val="Body"/>
        <w:spacing w:line="360" w:lineRule="auto"/>
        <w:ind w:firstLine="708"/>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 xml:space="preserve">The question that arises in </w:t>
      </w:r>
      <w:r w:rsidR="00692139"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 xml:space="preserve">light of </w:t>
      </w:r>
      <w:r w:rsidR="00246A3D"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 xml:space="preserve">above findings is </w:t>
      </w:r>
      <w:r w:rsidR="008F3BDB" w:rsidRPr="00A03898">
        <w:rPr>
          <w:rFonts w:ascii="Times New Roman" w:hAnsi="Times New Roman" w:cs="Times New Roman"/>
          <w:color w:val="auto"/>
          <w:sz w:val="24"/>
          <w:szCs w:val="24"/>
          <w:lang w:val="en-GB"/>
        </w:rPr>
        <w:t>what</w:t>
      </w:r>
      <w:r w:rsidRPr="00A03898">
        <w:rPr>
          <w:rFonts w:ascii="Times New Roman" w:hAnsi="Times New Roman" w:cs="Times New Roman"/>
          <w:color w:val="auto"/>
          <w:sz w:val="24"/>
          <w:szCs w:val="24"/>
          <w:lang w:val="en-GB"/>
        </w:rPr>
        <w:t xml:space="preserve"> type of goods </w:t>
      </w:r>
      <w:r w:rsidR="00E85B86" w:rsidRPr="00A03898">
        <w:rPr>
          <w:rFonts w:ascii="Times New Roman" w:hAnsi="Times New Roman" w:cs="Times New Roman"/>
          <w:color w:val="auto"/>
          <w:sz w:val="24"/>
          <w:szCs w:val="24"/>
          <w:lang w:val="en-GB"/>
        </w:rPr>
        <w:t xml:space="preserve">most </w:t>
      </w:r>
      <w:r w:rsidRPr="00A03898">
        <w:rPr>
          <w:rFonts w:ascii="Times New Roman" w:hAnsi="Times New Roman" w:cs="Times New Roman"/>
          <w:color w:val="auto"/>
          <w:sz w:val="24"/>
          <w:szCs w:val="24"/>
          <w:lang w:val="en-GB"/>
        </w:rPr>
        <w:t>facilitate</w:t>
      </w:r>
      <w:r w:rsidR="008F3BDB" w:rsidRPr="00A03898">
        <w:rPr>
          <w:rFonts w:ascii="Times New Roman" w:hAnsi="Times New Roman" w:cs="Times New Roman"/>
          <w:color w:val="auto"/>
          <w:sz w:val="24"/>
          <w:szCs w:val="24"/>
          <w:lang w:val="en-GB"/>
        </w:rPr>
        <w:t>s</w:t>
      </w:r>
      <w:r w:rsidRPr="00A03898">
        <w:rPr>
          <w:rFonts w:ascii="Times New Roman" w:hAnsi="Times New Roman" w:cs="Times New Roman"/>
          <w:color w:val="auto"/>
          <w:sz w:val="24"/>
          <w:szCs w:val="24"/>
          <w:lang w:val="en-GB"/>
        </w:rPr>
        <w:t xml:space="preserve"> </w:t>
      </w:r>
      <w:r w:rsidR="008F3BDB"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 xml:space="preserve">entrepreneurial outcomes. In </w:t>
      </w:r>
      <w:r w:rsidR="00E85B86"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production</w:t>
      </w:r>
      <w:r w:rsidR="008F3BDB" w:rsidRPr="00A03898">
        <w:rPr>
          <w:rFonts w:ascii="Times New Roman" w:hAnsi="Times New Roman" w:cs="Times New Roman"/>
          <w:color w:val="auto"/>
          <w:sz w:val="24"/>
          <w:szCs w:val="24"/>
          <w:lang w:val="en-GB"/>
        </w:rPr>
        <w:t>-</w:t>
      </w:r>
      <w:r w:rsidRPr="00A03898">
        <w:rPr>
          <w:rFonts w:ascii="Times New Roman" w:hAnsi="Times New Roman" w:cs="Times New Roman"/>
          <w:color w:val="auto"/>
          <w:sz w:val="24"/>
          <w:szCs w:val="24"/>
          <w:lang w:val="en-GB"/>
        </w:rPr>
        <w:t xml:space="preserve">oriented economies one would expect to find stronger effects of </w:t>
      </w:r>
      <w:r w:rsidR="008F3BDB" w:rsidRPr="00A03898">
        <w:rPr>
          <w:rFonts w:ascii="Times New Roman" w:hAnsi="Times New Roman" w:cs="Times New Roman"/>
          <w:color w:val="auto"/>
          <w:sz w:val="24"/>
          <w:szCs w:val="24"/>
          <w:lang w:val="en-GB"/>
        </w:rPr>
        <w:t xml:space="preserve">the </w:t>
      </w:r>
      <w:r w:rsidR="007E0094" w:rsidRPr="00A03898">
        <w:rPr>
          <w:rFonts w:ascii="Times New Roman" w:hAnsi="Times New Roman" w:cs="Times New Roman"/>
          <w:color w:val="auto"/>
          <w:sz w:val="24"/>
          <w:szCs w:val="24"/>
          <w:lang w:val="en-GB"/>
        </w:rPr>
        <w:t xml:space="preserve">imports of </w:t>
      </w:r>
      <w:r w:rsidRPr="00A03898">
        <w:rPr>
          <w:rFonts w:ascii="Times New Roman" w:hAnsi="Times New Roman" w:cs="Times New Roman"/>
          <w:color w:val="auto"/>
          <w:sz w:val="24"/>
          <w:szCs w:val="24"/>
          <w:lang w:val="en-GB"/>
        </w:rPr>
        <w:t xml:space="preserve">intermediate goods </w:t>
      </w:r>
      <w:r w:rsidR="008F3BDB" w:rsidRPr="00A03898">
        <w:rPr>
          <w:rFonts w:ascii="Times New Roman" w:hAnsi="Times New Roman" w:cs="Times New Roman"/>
          <w:color w:val="auto"/>
          <w:sz w:val="24"/>
          <w:szCs w:val="24"/>
          <w:lang w:val="en-GB"/>
        </w:rPr>
        <w:t>over</w:t>
      </w:r>
      <w:r w:rsidRPr="00A03898">
        <w:rPr>
          <w:rFonts w:ascii="Times New Roman" w:hAnsi="Times New Roman" w:cs="Times New Roman"/>
          <w:color w:val="auto"/>
          <w:sz w:val="24"/>
          <w:szCs w:val="24"/>
          <w:lang w:val="en-GB"/>
        </w:rPr>
        <w:t xml:space="preserve"> final ones since </w:t>
      </w:r>
      <w:r w:rsidR="00E85B86"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 xml:space="preserve">former are being used in </w:t>
      </w:r>
      <w:r w:rsidR="008F3BDB"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 xml:space="preserve">production process. </w:t>
      </w:r>
      <w:r w:rsidR="007E0094" w:rsidRPr="00A03898">
        <w:rPr>
          <w:rFonts w:ascii="Times New Roman" w:hAnsi="Times New Roman" w:cs="Times New Roman"/>
          <w:color w:val="auto"/>
          <w:sz w:val="24"/>
          <w:szCs w:val="24"/>
          <w:lang w:val="en-GB"/>
        </w:rPr>
        <w:t>E</w:t>
      </w:r>
      <w:r w:rsidRPr="00A03898">
        <w:rPr>
          <w:rFonts w:ascii="Times New Roman" w:hAnsi="Times New Roman" w:cs="Times New Roman"/>
          <w:color w:val="auto"/>
          <w:sz w:val="24"/>
          <w:szCs w:val="24"/>
          <w:lang w:val="en-GB"/>
        </w:rPr>
        <w:t>xports of final goods provide previously mentioned learning and scale effects which may have beneficial effect on entry</w:t>
      </w:r>
      <w:r w:rsidR="007E0094" w:rsidRPr="00A03898">
        <w:rPr>
          <w:rFonts w:ascii="Times New Roman" w:hAnsi="Times New Roman" w:cs="Times New Roman"/>
          <w:color w:val="auto"/>
          <w:sz w:val="24"/>
          <w:szCs w:val="24"/>
          <w:lang w:val="en-GB"/>
        </w:rPr>
        <w:t xml:space="preserve"> and</w:t>
      </w:r>
      <w:r w:rsidRPr="00A03898">
        <w:rPr>
          <w:rFonts w:ascii="Times New Roman" w:hAnsi="Times New Roman" w:cs="Times New Roman"/>
          <w:color w:val="auto"/>
          <w:sz w:val="24"/>
          <w:szCs w:val="24"/>
          <w:lang w:val="en-GB"/>
        </w:rPr>
        <w:t xml:space="preserve"> growth</w:t>
      </w:r>
      <w:r w:rsidR="007E0094" w:rsidRPr="00A03898">
        <w:rPr>
          <w:rFonts w:ascii="Times New Roman" w:hAnsi="Times New Roman" w:cs="Times New Roman"/>
          <w:color w:val="auto"/>
          <w:sz w:val="24"/>
          <w:szCs w:val="24"/>
          <w:lang w:val="en-GB"/>
        </w:rPr>
        <w:t xml:space="preserve"> </w:t>
      </w:r>
      <w:r w:rsidRPr="00A03898">
        <w:rPr>
          <w:rFonts w:ascii="Times New Roman" w:hAnsi="Times New Roman" w:cs="Times New Roman"/>
          <w:color w:val="auto"/>
          <w:sz w:val="24"/>
          <w:szCs w:val="24"/>
          <w:lang w:val="en-GB"/>
        </w:rPr>
        <w:t xml:space="preserve">of enterprises. </w:t>
      </w:r>
      <w:r w:rsidR="007E0094" w:rsidRPr="00A03898">
        <w:rPr>
          <w:rFonts w:ascii="Times New Roman" w:hAnsi="Times New Roman" w:cs="Times New Roman"/>
          <w:color w:val="auto"/>
          <w:sz w:val="24"/>
          <w:szCs w:val="24"/>
          <w:lang w:val="en-GB"/>
        </w:rPr>
        <w:t xml:space="preserve">Findings from Figure 5 reveal greater magnitude of exports </w:t>
      </w:r>
      <w:r w:rsidR="008F3BDB" w:rsidRPr="00A03898">
        <w:rPr>
          <w:rFonts w:ascii="Times New Roman" w:hAnsi="Times New Roman" w:cs="Times New Roman"/>
          <w:color w:val="auto"/>
          <w:sz w:val="24"/>
          <w:szCs w:val="24"/>
          <w:lang w:val="en-GB"/>
        </w:rPr>
        <w:t xml:space="preserve">and imports </w:t>
      </w:r>
      <w:r w:rsidR="007E0094" w:rsidRPr="00A03898">
        <w:rPr>
          <w:rFonts w:ascii="Times New Roman" w:hAnsi="Times New Roman" w:cs="Times New Roman"/>
          <w:color w:val="auto"/>
          <w:sz w:val="24"/>
          <w:szCs w:val="24"/>
          <w:lang w:val="en-GB"/>
        </w:rPr>
        <w:t xml:space="preserve">of </w:t>
      </w:r>
      <w:r w:rsidR="00E85B86" w:rsidRPr="00A03898">
        <w:rPr>
          <w:rFonts w:ascii="Times New Roman" w:hAnsi="Times New Roman" w:cs="Times New Roman"/>
          <w:color w:val="auto"/>
          <w:sz w:val="24"/>
          <w:szCs w:val="24"/>
          <w:lang w:val="en-GB"/>
        </w:rPr>
        <w:t xml:space="preserve">the </w:t>
      </w:r>
      <w:r w:rsidR="007E0094" w:rsidRPr="00A03898">
        <w:rPr>
          <w:rFonts w:ascii="Times New Roman" w:hAnsi="Times New Roman" w:cs="Times New Roman"/>
          <w:color w:val="auto"/>
          <w:sz w:val="24"/>
          <w:szCs w:val="24"/>
          <w:lang w:val="en-GB"/>
        </w:rPr>
        <w:t xml:space="preserve">final </w:t>
      </w:r>
      <w:r w:rsidR="00E85B86" w:rsidRPr="00A03898">
        <w:rPr>
          <w:rFonts w:ascii="Times New Roman" w:hAnsi="Times New Roman" w:cs="Times New Roman"/>
          <w:color w:val="auto"/>
          <w:sz w:val="24"/>
          <w:szCs w:val="24"/>
          <w:lang w:val="en-GB"/>
        </w:rPr>
        <w:t>as opposed to the</w:t>
      </w:r>
      <w:r w:rsidR="007E0094" w:rsidRPr="00A03898">
        <w:rPr>
          <w:rFonts w:ascii="Times New Roman" w:hAnsi="Times New Roman" w:cs="Times New Roman"/>
          <w:color w:val="auto"/>
          <w:sz w:val="24"/>
          <w:szCs w:val="24"/>
          <w:lang w:val="en-GB"/>
        </w:rPr>
        <w:t xml:space="preserve"> intermediate goods</w:t>
      </w:r>
      <w:r w:rsidR="008F3BDB" w:rsidRPr="00A03898">
        <w:rPr>
          <w:rFonts w:ascii="Times New Roman" w:hAnsi="Times New Roman" w:cs="Times New Roman"/>
          <w:color w:val="auto"/>
          <w:sz w:val="24"/>
          <w:szCs w:val="24"/>
          <w:lang w:val="en-GB"/>
        </w:rPr>
        <w:t xml:space="preserve">. </w:t>
      </w:r>
      <w:r w:rsidR="00490FF9" w:rsidRPr="00A03898">
        <w:rPr>
          <w:rFonts w:ascii="Times New Roman" w:hAnsi="Times New Roman" w:cs="Times New Roman"/>
          <w:color w:val="auto"/>
          <w:sz w:val="24"/>
          <w:szCs w:val="24"/>
          <w:lang w:val="en-GB"/>
        </w:rPr>
        <w:t>L</w:t>
      </w:r>
      <w:r w:rsidR="007E0094" w:rsidRPr="00A03898">
        <w:rPr>
          <w:rFonts w:ascii="Times New Roman" w:hAnsi="Times New Roman" w:cs="Times New Roman"/>
          <w:color w:val="auto"/>
          <w:sz w:val="24"/>
          <w:szCs w:val="24"/>
          <w:lang w:val="en-GB"/>
        </w:rPr>
        <w:t>earning by exporting and scale effects of large integrated market such as EU provide opportunities that have somewhat greater effect on the share of entrants and high</w:t>
      </w:r>
      <w:r w:rsidR="00577982" w:rsidRPr="00A03898">
        <w:rPr>
          <w:rFonts w:ascii="Times New Roman" w:hAnsi="Times New Roman" w:cs="Times New Roman"/>
          <w:color w:val="auto"/>
          <w:sz w:val="24"/>
          <w:szCs w:val="24"/>
          <w:lang w:val="en-GB"/>
        </w:rPr>
        <w:t>-</w:t>
      </w:r>
      <w:r w:rsidR="007E0094" w:rsidRPr="00A03898">
        <w:rPr>
          <w:rFonts w:ascii="Times New Roman" w:hAnsi="Times New Roman" w:cs="Times New Roman"/>
          <w:color w:val="auto"/>
          <w:sz w:val="24"/>
          <w:szCs w:val="24"/>
          <w:lang w:val="en-GB"/>
        </w:rPr>
        <w:t>growth firms. However, these findings also raise questions about the origin and</w:t>
      </w:r>
      <w:r w:rsidR="002B6E10" w:rsidRPr="00A03898">
        <w:rPr>
          <w:rFonts w:ascii="Times New Roman" w:hAnsi="Times New Roman" w:cs="Times New Roman"/>
          <w:color w:val="auto"/>
          <w:sz w:val="24"/>
          <w:szCs w:val="24"/>
          <w:lang w:val="en-GB"/>
        </w:rPr>
        <w:t xml:space="preserve"> the</w:t>
      </w:r>
      <w:r w:rsidR="007E0094" w:rsidRPr="00A03898">
        <w:rPr>
          <w:rFonts w:ascii="Times New Roman" w:hAnsi="Times New Roman" w:cs="Times New Roman"/>
          <w:color w:val="auto"/>
          <w:sz w:val="24"/>
          <w:szCs w:val="24"/>
          <w:lang w:val="en-GB"/>
        </w:rPr>
        <w:t xml:space="preserve"> destination of CEE imports and exports and the role played by </w:t>
      </w:r>
      <w:r w:rsidR="003103B8" w:rsidRPr="00A03898">
        <w:rPr>
          <w:rFonts w:ascii="Times New Roman" w:hAnsi="Times New Roman" w:cs="Times New Roman"/>
          <w:color w:val="auto"/>
          <w:sz w:val="24"/>
          <w:szCs w:val="24"/>
          <w:lang w:val="en-GB"/>
        </w:rPr>
        <w:t xml:space="preserve">the </w:t>
      </w:r>
      <w:r w:rsidR="007E0094" w:rsidRPr="00A03898">
        <w:rPr>
          <w:rFonts w:ascii="Times New Roman" w:hAnsi="Times New Roman" w:cs="Times New Roman"/>
          <w:color w:val="auto"/>
          <w:sz w:val="24"/>
          <w:szCs w:val="24"/>
          <w:lang w:val="en-GB"/>
        </w:rPr>
        <w:t>integration in European value chains</w:t>
      </w:r>
      <w:r w:rsidR="00A05356" w:rsidRPr="00A03898">
        <w:rPr>
          <w:rFonts w:ascii="Times New Roman" w:hAnsi="Times New Roman" w:cs="Times New Roman"/>
          <w:color w:val="auto"/>
          <w:sz w:val="24"/>
          <w:szCs w:val="24"/>
          <w:lang w:val="en-GB"/>
        </w:rPr>
        <w:t xml:space="preserve">. We address these questions in more detail in next sections. </w:t>
      </w:r>
    </w:p>
    <w:p w14:paraId="464C5BEA" w14:textId="77777777" w:rsidR="008D1389" w:rsidRPr="00A03898" w:rsidRDefault="008D1389" w:rsidP="008F3BDB">
      <w:pPr>
        <w:pStyle w:val="Body"/>
        <w:spacing w:line="360" w:lineRule="auto"/>
        <w:ind w:firstLine="708"/>
        <w:jc w:val="both"/>
        <w:rPr>
          <w:rFonts w:ascii="Times New Roman" w:hAnsi="Times New Roman" w:cs="Times New Roman"/>
          <w:color w:val="auto"/>
          <w:sz w:val="24"/>
          <w:szCs w:val="24"/>
          <w:lang w:val="en-GB"/>
        </w:rPr>
      </w:pPr>
    </w:p>
    <w:p w14:paraId="4DD8B47B" w14:textId="6B72373F" w:rsidR="009F6655" w:rsidRPr="00A03898" w:rsidRDefault="00A05356" w:rsidP="009F6655">
      <w:pPr>
        <w:pStyle w:val="Body"/>
        <w:numPr>
          <w:ilvl w:val="1"/>
          <w:numId w:val="5"/>
        </w:numPr>
        <w:spacing w:line="360" w:lineRule="auto"/>
        <w:jc w:val="both"/>
        <w:rPr>
          <w:rFonts w:ascii="Times New Roman" w:hAnsi="Times New Roman" w:cs="Times New Roman"/>
          <w:i/>
          <w:iCs/>
          <w:color w:val="auto"/>
          <w:sz w:val="24"/>
          <w:szCs w:val="24"/>
          <w:lang w:val="en-GB"/>
        </w:rPr>
      </w:pPr>
      <w:r w:rsidRPr="00A03898">
        <w:rPr>
          <w:rFonts w:ascii="Times New Roman" w:hAnsi="Times New Roman" w:cs="Times New Roman"/>
          <w:i/>
          <w:iCs/>
          <w:color w:val="auto"/>
          <w:sz w:val="24"/>
          <w:szCs w:val="24"/>
          <w:lang w:val="en-GB"/>
        </w:rPr>
        <w:lastRenderedPageBreak/>
        <w:t>Trade origin and destination effects</w:t>
      </w:r>
    </w:p>
    <w:p w14:paraId="5BBD67BD" w14:textId="5C231ABB" w:rsidR="00C70396" w:rsidRPr="00A03898" w:rsidRDefault="008D2AB9" w:rsidP="00DD7948">
      <w:pPr>
        <w:pStyle w:val="Body"/>
        <w:spacing w:line="360" w:lineRule="auto"/>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 xml:space="preserve">One of </w:t>
      </w:r>
      <w:r w:rsidR="00A13932"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 xml:space="preserve">effects of market integration should be </w:t>
      </w:r>
      <w:r w:rsidR="00246A3D" w:rsidRPr="00A03898">
        <w:rPr>
          <w:rFonts w:ascii="Times New Roman" w:hAnsi="Times New Roman" w:cs="Times New Roman"/>
          <w:color w:val="auto"/>
          <w:sz w:val="24"/>
          <w:szCs w:val="24"/>
          <w:lang w:val="en-GB"/>
        </w:rPr>
        <w:t xml:space="preserve">a </w:t>
      </w:r>
      <w:r w:rsidRPr="00A03898">
        <w:rPr>
          <w:rFonts w:ascii="Times New Roman" w:hAnsi="Times New Roman" w:cs="Times New Roman"/>
          <w:color w:val="auto"/>
          <w:sz w:val="24"/>
          <w:szCs w:val="24"/>
          <w:lang w:val="en-GB"/>
        </w:rPr>
        <w:t xml:space="preserve">gradual orientation of indigenous producers towards demand within the borders of </w:t>
      </w:r>
      <w:r w:rsidR="00A13932"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 xml:space="preserve">single market. </w:t>
      </w:r>
      <w:r w:rsidR="002B6E10" w:rsidRPr="00A03898">
        <w:rPr>
          <w:rFonts w:ascii="Times New Roman" w:hAnsi="Times New Roman" w:cs="Times New Roman"/>
          <w:color w:val="auto"/>
          <w:sz w:val="24"/>
          <w:szCs w:val="24"/>
          <w:lang w:val="en-GB"/>
        </w:rPr>
        <w:t>However, f</w:t>
      </w:r>
      <w:r w:rsidRPr="00A03898">
        <w:rPr>
          <w:rFonts w:ascii="Times New Roman" w:hAnsi="Times New Roman" w:cs="Times New Roman"/>
          <w:color w:val="auto"/>
          <w:sz w:val="24"/>
          <w:szCs w:val="24"/>
          <w:lang w:val="en-GB"/>
        </w:rPr>
        <w:t xml:space="preserve">irms and industries from </w:t>
      </w:r>
      <w:r w:rsidR="00A13932"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 xml:space="preserve">less advanced parts of integration such as CEE may lack required capabilities </w:t>
      </w:r>
      <w:r w:rsidR="00A13932" w:rsidRPr="00A03898">
        <w:rPr>
          <w:rFonts w:ascii="Times New Roman" w:hAnsi="Times New Roman" w:cs="Times New Roman"/>
          <w:color w:val="auto"/>
          <w:sz w:val="24"/>
          <w:szCs w:val="24"/>
          <w:lang w:val="en-GB"/>
        </w:rPr>
        <w:t>to meet</w:t>
      </w:r>
      <w:r w:rsidRPr="00A03898">
        <w:rPr>
          <w:rFonts w:ascii="Times New Roman" w:hAnsi="Times New Roman" w:cs="Times New Roman"/>
          <w:color w:val="auto"/>
          <w:sz w:val="24"/>
          <w:szCs w:val="24"/>
          <w:lang w:val="en-GB"/>
        </w:rPr>
        <w:t xml:space="preserve"> sophisticated demand of advanced members of integration. </w:t>
      </w:r>
      <w:r w:rsidR="00E176C3" w:rsidRPr="00A03898">
        <w:rPr>
          <w:rFonts w:ascii="Times New Roman" w:hAnsi="Times New Roman" w:cs="Times New Roman"/>
          <w:color w:val="auto"/>
          <w:sz w:val="24"/>
          <w:szCs w:val="24"/>
          <w:lang w:val="en-GB"/>
        </w:rPr>
        <w:t xml:space="preserve">Even </w:t>
      </w:r>
      <w:r w:rsidR="00490FF9" w:rsidRPr="00A03898">
        <w:rPr>
          <w:rFonts w:ascii="Times New Roman" w:hAnsi="Times New Roman" w:cs="Times New Roman"/>
          <w:color w:val="auto"/>
          <w:sz w:val="24"/>
          <w:szCs w:val="24"/>
          <w:lang w:val="en-GB"/>
        </w:rPr>
        <w:t xml:space="preserve">when such barriers can be </w:t>
      </w:r>
      <w:r w:rsidR="00A13932" w:rsidRPr="00A03898">
        <w:rPr>
          <w:rFonts w:ascii="Times New Roman" w:hAnsi="Times New Roman" w:cs="Times New Roman"/>
          <w:color w:val="auto"/>
          <w:sz w:val="24"/>
          <w:szCs w:val="24"/>
          <w:lang w:val="en-GB"/>
        </w:rPr>
        <w:t>overcome</w:t>
      </w:r>
      <w:r w:rsidR="00B65C86" w:rsidRPr="00A03898">
        <w:rPr>
          <w:rFonts w:ascii="Times New Roman" w:hAnsi="Times New Roman" w:cs="Times New Roman"/>
          <w:color w:val="auto"/>
          <w:sz w:val="24"/>
          <w:szCs w:val="24"/>
          <w:lang w:val="en-GB"/>
        </w:rPr>
        <w:t>,</w:t>
      </w:r>
      <w:r w:rsidR="00E176C3" w:rsidRPr="00A03898">
        <w:rPr>
          <w:rFonts w:ascii="Times New Roman" w:hAnsi="Times New Roman" w:cs="Times New Roman"/>
          <w:color w:val="auto"/>
          <w:sz w:val="24"/>
          <w:szCs w:val="24"/>
          <w:lang w:val="en-GB"/>
        </w:rPr>
        <w:t xml:space="preserve"> firms from less advanced countries may </w:t>
      </w:r>
      <w:r w:rsidR="00A13932" w:rsidRPr="00A03898">
        <w:rPr>
          <w:rFonts w:ascii="Times New Roman" w:hAnsi="Times New Roman" w:cs="Times New Roman"/>
          <w:color w:val="auto"/>
          <w:sz w:val="24"/>
          <w:szCs w:val="24"/>
          <w:lang w:val="en-GB"/>
        </w:rPr>
        <w:t>still</w:t>
      </w:r>
      <w:r w:rsidR="00E176C3" w:rsidRPr="00A03898">
        <w:rPr>
          <w:rFonts w:ascii="Times New Roman" w:hAnsi="Times New Roman" w:cs="Times New Roman"/>
          <w:color w:val="auto"/>
          <w:sz w:val="24"/>
          <w:szCs w:val="24"/>
          <w:lang w:val="en-GB"/>
        </w:rPr>
        <w:t xml:space="preserve"> face barriers in </w:t>
      </w:r>
      <w:r w:rsidR="00B65C86" w:rsidRPr="00A03898">
        <w:rPr>
          <w:rFonts w:ascii="Times New Roman" w:hAnsi="Times New Roman" w:cs="Times New Roman"/>
          <w:color w:val="auto"/>
          <w:sz w:val="24"/>
          <w:szCs w:val="24"/>
          <w:lang w:val="en-GB"/>
        </w:rPr>
        <w:t xml:space="preserve">the </w:t>
      </w:r>
      <w:r w:rsidR="00E176C3" w:rsidRPr="00A03898">
        <w:rPr>
          <w:rFonts w:ascii="Times New Roman" w:hAnsi="Times New Roman" w:cs="Times New Roman"/>
          <w:color w:val="auto"/>
          <w:sz w:val="24"/>
          <w:szCs w:val="24"/>
          <w:lang w:val="en-GB"/>
        </w:rPr>
        <w:t xml:space="preserve">form of country of origin effect, i.e. the adverse perception about the quality of own products by their potential users. Inability of integrations to remedy such market failures may motivate some producers to forego potential benefits of integration and focus on external markets where their products enjoy </w:t>
      </w:r>
      <w:r w:rsidR="002B6E10" w:rsidRPr="00A03898">
        <w:rPr>
          <w:rFonts w:ascii="Times New Roman" w:hAnsi="Times New Roman" w:cs="Times New Roman"/>
          <w:color w:val="auto"/>
          <w:sz w:val="24"/>
          <w:szCs w:val="24"/>
          <w:lang w:val="en-GB"/>
        </w:rPr>
        <w:t>better</w:t>
      </w:r>
      <w:r w:rsidR="00E176C3" w:rsidRPr="00A03898">
        <w:rPr>
          <w:rFonts w:ascii="Times New Roman" w:hAnsi="Times New Roman" w:cs="Times New Roman"/>
          <w:color w:val="auto"/>
          <w:sz w:val="24"/>
          <w:szCs w:val="24"/>
          <w:lang w:val="en-GB"/>
        </w:rPr>
        <w:t xml:space="preserve"> reputation. </w:t>
      </w:r>
    </w:p>
    <w:p w14:paraId="525B4C60" w14:textId="77777777" w:rsidR="00A03898" w:rsidRPr="00F41BFE" w:rsidRDefault="00A03898" w:rsidP="00A03898">
      <w:pPr>
        <w:pStyle w:val="Body"/>
        <w:spacing w:line="360" w:lineRule="auto"/>
        <w:jc w:val="both"/>
        <w:rPr>
          <w:rFonts w:ascii="Times New Roman" w:hAnsi="Times New Roman" w:cs="Times New Roman"/>
          <w:b/>
          <w:sz w:val="24"/>
          <w:szCs w:val="24"/>
          <w:lang w:val="en-GB"/>
        </w:rPr>
      </w:pPr>
      <w:r w:rsidRPr="00747780">
        <w:rPr>
          <w:rFonts w:ascii="Times New Roman" w:hAnsi="Times New Roman" w:cs="Times New Roman"/>
          <w:b/>
          <w:sz w:val="24"/>
          <w:szCs w:val="24"/>
          <w:lang w:val="en-GB"/>
        </w:rPr>
        <w:t>Fig.</w:t>
      </w:r>
      <w:r>
        <w:rPr>
          <w:rFonts w:ascii="Times New Roman" w:hAnsi="Times New Roman" w:cs="Times New Roman"/>
          <w:b/>
          <w:sz w:val="24"/>
          <w:szCs w:val="24"/>
          <w:lang w:val="en-GB"/>
        </w:rPr>
        <w:t xml:space="preserve"> 6 </w:t>
      </w:r>
      <w:r w:rsidRPr="00595DC4">
        <w:rPr>
          <w:rFonts w:ascii="Times New Roman" w:hAnsi="Times New Roman" w:cs="Times New Roman"/>
          <w:sz w:val="24"/>
          <w:szCs w:val="24"/>
          <w:lang w:val="en-GB"/>
        </w:rPr>
        <w:t xml:space="preserve">The impact of </w:t>
      </w:r>
      <w:r>
        <w:rPr>
          <w:rFonts w:ascii="Times New Roman" w:hAnsi="Times New Roman" w:cs="Times New Roman"/>
          <w:sz w:val="24"/>
          <w:szCs w:val="24"/>
          <w:lang w:val="en-GB"/>
        </w:rPr>
        <w:t>EU15 and EU13 trade</w:t>
      </w:r>
      <w:r w:rsidRPr="00595DC4">
        <w:rPr>
          <w:rFonts w:ascii="Times New Roman" w:hAnsi="Times New Roman" w:cs="Times New Roman"/>
          <w:sz w:val="24"/>
          <w:szCs w:val="24"/>
          <w:lang w:val="en-GB"/>
        </w:rPr>
        <w:t xml:space="preserve"> on the entrepreneurial outcomes in CEE manufacturing 2012-2016</w:t>
      </w:r>
    </w:p>
    <w:p w14:paraId="138DDD70" w14:textId="77777777" w:rsidR="00A03898" w:rsidRDefault="00A03898" w:rsidP="00A03898">
      <w:pPr>
        <w:pStyle w:val="Body"/>
        <w:spacing w:line="360" w:lineRule="auto"/>
        <w:jc w:val="center"/>
        <w:rPr>
          <w:rFonts w:ascii="Times New Roman" w:hAnsi="Times New Roman" w:cs="Times New Roman"/>
          <w:sz w:val="24"/>
          <w:szCs w:val="24"/>
          <w:lang w:val="en-GB"/>
        </w:rPr>
      </w:pPr>
      <w:r>
        <w:rPr>
          <w:rFonts w:ascii="Times New Roman" w:hAnsi="Times New Roman" w:cs="Times New Roman"/>
          <w:noProof/>
          <w:sz w:val="24"/>
          <w:szCs w:val="24"/>
        </w:rPr>
        <w:drawing>
          <wp:inline distT="0" distB="0" distL="0" distR="0" wp14:anchorId="4474CE01" wp14:editId="500FDEAB">
            <wp:extent cx="4572000" cy="2374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6.pdf"/>
                    <pic:cNvPicPr/>
                  </pic:nvPicPr>
                  <pic:blipFill>
                    <a:blip r:embed="rId16">
                      <a:extLst>
                        <a:ext uri="{28A0092B-C50C-407E-A947-70E740481C1C}">
                          <a14:useLocalDpi xmlns:a14="http://schemas.microsoft.com/office/drawing/2010/main" val="0"/>
                        </a:ext>
                      </a:extLst>
                    </a:blip>
                    <a:stretch>
                      <a:fillRect/>
                    </a:stretch>
                  </pic:blipFill>
                  <pic:spPr>
                    <a:xfrm>
                      <a:off x="0" y="0"/>
                      <a:ext cx="4572000" cy="2374900"/>
                    </a:xfrm>
                    <a:prstGeom prst="rect">
                      <a:avLst/>
                    </a:prstGeom>
                  </pic:spPr>
                </pic:pic>
              </a:graphicData>
            </a:graphic>
          </wp:inline>
        </w:drawing>
      </w:r>
    </w:p>
    <w:p w14:paraId="6C0CDE1D" w14:textId="47C2EAA7" w:rsidR="00CD1FD6" w:rsidRPr="00A03898" w:rsidRDefault="00FB0469" w:rsidP="006A7D76">
      <w:pPr>
        <w:pStyle w:val="Body"/>
        <w:spacing w:line="360" w:lineRule="auto"/>
        <w:ind w:firstLine="708"/>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 xml:space="preserve">To explore </w:t>
      </w:r>
      <w:r w:rsidR="000B6407"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 xml:space="preserve">existence of such effects, we distinguish </w:t>
      </w:r>
      <w:r w:rsidR="00A13932" w:rsidRPr="00A03898">
        <w:rPr>
          <w:rFonts w:ascii="Times New Roman" w:hAnsi="Times New Roman" w:cs="Times New Roman"/>
          <w:color w:val="auto"/>
          <w:sz w:val="24"/>
          <w:szCs w:val="24"/>
          <w:lang w:val="en-GB"/>
        </w:rPr>
        <w:t xml:space="preserve">between </w:t>
      </w:r>
      <w:r w:rsidRPr="00A03898">
        <w:rPr>
          <w:rFonts w:ascii="Times New Roman" w:hAnsi="Times New Roman" w:cs="Times New Roman"/>
          <w:color w:val="auto"/>
          <w:sz w:val="24"/>
          <w:szCs w:val="24"/>
          <w:lang w:val="en-GB"/>
        </w:rPr>
        <w:t xml:space="preserve">trade flows taking place </w:t>
      </w:r>
      <w:r w:rsidR="00A13932" w:rsidRPr="00A03898">
        <w:rPr>
          <w:rFonts w:ascii="Times New Roman" w:hAnsi="Times New Roman" w:cs="Times New Roman"/>
          <w:color w:val="auto"/>
          <w:sz w:val="24"/>
          <w:szCs w:val="24"/>
          <w:lang w:val="en-GB"/>
        </w:rPr>
        <w:t>among</w:t>
      </w:r>
      <w:r w:rsidRPr="00A03898">
        <w:rPr>
          <w:rFonts w:ascii="Times New Roman" w:hAnsi="Times New Roman" w:cs="Times New Roman"/>
          <w:color w:val="auto"/>
          <w:sz w:val="24"/>
          <w:szCs w:val="24"/>
          <w:lang w:val="en-GB"/>
        </w:rPr>
        <w:t xml:space="preserve"> CEE and Western European (EU15) member states and trade flows taking place within </w:t>
      </w:r>
      <w:r w:rsidR="00B65C86" w:rsidRPr="00A03898">
        <w:rPr>
          <w:rFonts w:ascii="Times New Roman" w:hAnsi="Times New Roman" w:cs="Times New Roman"/>
          <w:color w:val="auto"/>
          <w:sz w:val="24"/>
          <w:szCs w:val="24"/>
          <w:lang w:val="en-GB"/>
        </w:rPr>
        <w:t xml:space="preserve">a </w:t>
      </w:r>
      <w:r w:rsidRPr="00A03898">
        <w:rPr>
          <w:rFonts w:ascii="Times New Roman" w:hAnsi="Times New Roman" w:cs="Times New Roman"/>
          <w:color w:val="auto"/>
          <w:sz w:val="24"/>
          <w:szCs w:val="24"/>
          <w:lang w:val="en-GB"/>
        </w:rPr>
        <w:t xml:space="preserve">group of new (EU13) Europe involving </w:t>
      </w:r>
      <w:r w:rsidR="000B6407" w:rsidRPr="00A03898">
        <w:rPr>
          <w:rFonts w:ascii="Times New Roman" w:hAnsi="Times New Roman" w:cs="Times New Roman"/>
          <w:color w:val="auto"/>
          <w:sz w:val="24"/>
          <w:szCs w:val="24"/>
          <w:lang w:val="en-GB"/>
        </w:rPr>
        <w:t xml:space="preserve">CEE </w:t>
      </w:r>
      <w:r w:rsidRPr="00A03898">
        <w:rPr>
          <w:rFonts w:ascii="Times New Roman" w:hAnsi="Times New Roman" w:cs="Times New Roman"/>
          <w:color w:val="auto"/>
          <w:sz w:val="24"/>
          <w:szCs w:val="24"/>
          <w:lang w:val="en-GB"/>
        </w:rPr>
        <w:t xml:space="preserve">countries. </w:t>
      </w:r>
      <w:r w:rsidR="00A13932" w:rsidRPr="00A03898">
        <w:rPr>
          <w:rFonts w:ascii="Times New Roman" w:hAnsi="Times New Roman" w:cs="Times New Roman"/>
          <w:color w:val="auto"/>
          <w:sz w:val="24"/>
          <w:szCs w:val="24"/>
          <w:lang w:val="en-GB"/>
        </w:rPr>
        <w:t xml:space="preserve">Our findings reveal </w:t>
      </w:r>
      <w:r w:rsidR="00CD1FD6" w:rsidRPr="00A03898">
        <w:rPr>
          <w:rFonts w:ascii="Times New Roman" w:hAnsi="Times New Roman" w:cs="Times New Roman"/>
          <w:color w:val="auto"/>
          <w:sz w:val="24"/>
          <w:szCs w:val="24"/>
          <w:lang w:val="en-GB"/>
        </w:rPr>
        <w:t xml:space="preserve">that EU15 market contributes to growth but not to the entry of new firms. Trade between EU13 countries (CEE region), on the other hand, facilitates </w:t>
      </w:r>
      <w:r w:rsidR="00B65C86" w:rsidRPr="00A03898">
        <w:rPr>
          <w:rFonts w:ascii="Times New Roman" w:hAnsi="Times New Roman" w:cs="Times New Roman"/>
          <w:color w:val="auto"/>
          <w:sz w:val="24"/>
          <w:szCs w:val="24"/>
          <w:lang w:val="en-GB"/>
        </w:rPr>
        <w:t xml:space="preserve">the </w:t>
      </w:r>
      <w:r w:rsidR="00CD1FD6" w:rsidRPr="00A03898">
        <w:rPr>
          <w:rFonts w:ascii="Times New Roman" w:hAnsi="Times New Roman" w:cs="Times New Roman"/>
          <w:color w:val="auto"/>
          <w:sz w:val="24"/>
          <w:szCs w:val="24"/>
          <w:lang w:val="en-GB"/>
        </w:rPr>
        <w:t xml:space="preserve">increase in shares of both entrants and high growth firms through export and (in case of entry) import effects. </w:t>
      </w:r>
      <w:r w:rsidR="002B6E10" w:rsidRPr="00A03898">
        <w:rPr>
          <w:rFonts w:ascii="Times New Roman" w:hAnsi="Times New Roman" w:cs="Times New Roman"/>
          <w:color w:val="auto"/>
          <w:sz w:val="24"/>
          <w:szCs w:val="24"/>
          <w:lang w:val="en-GB"/>
        </w:rPr>
        <w:t xml:space="preserve">These findings point to </w:t>
      </w:r>
      <w:r w:rsidR="00B65C86" w:rsidRPr="00A03898">
        <w:rPr>
          <w:rFonts w:ascii="Times New Roman" w:hAnsi="Times New Roman" w:cs="Times New Roman"/>
          <w:color w:val="auto"/>
          <w:sz w:val="24"/>
          <w:szCs w:val="24"/>
          <w:lang w:val="en-GB"/>
        </w:rPr>
        <w:t xml:space="preserve">the </w:t>
      </w:r>
      <w:r w:rsidR="002B6E10" w:rsidRPr="00A03898">
        <w:rPr>
          <w:rFonts w:ascii="Times New Roman" w:hAnsi="Times New Roman" w:cs="Times New Roman"/>
          <w:color w:val="auto"/>
          <w:sz w:val="24"/>
          <w:szCs w:val="24"/>
          <w:lang w:val="en-GB"/>
        </w:rPr>
        <w:t xml:space="preserve">relevance of local market conditions in less advanced parts of integration for new business formation. </w:t>
      </w:r>
      <w:r w:rsidR="006A7D76" w:rsidRPr="00A03898">
        <w:rPr>
          <w:rFonts w:ascii="Times New Roman" w:hAnsi="Times New Roman" w:cs="Times New Roman"/>
          <w:color w:val="auto"/>
          <w:sz w:val="24"/>
          <w:szCs w:val="24"/>
          <w:lang w:val="en-GB"/>
        </w:rPr>
        <w:t xml:space="preserve">Access to markets of advanced countries, on the other hand, provides </w:t>
      </w:r>
      <w:r w:rsidR="00CD1FD6" w:rsidRPr="00A03898">
        <w:rPr>
          <w:rFonts w:ascii="Times New Roman" w:hAnsi="Times New Roman" w:cs="Times New Roman"/>
          <w:color w:val="auto"/>
          <w:sz w:val="24"/>
          <w:szCs w:val="24"/>
          <w:lang w:val="en-GB"/>
        </w:rPr>
        <w:t>knowledge and technology spillovers through learning by exporting</w:t>
      </w:r>
      <w:r w:rsidR="006A7D76" w:rsidRPr="00A03898">
        <w:rPr>
          <w:rFonts w:ascii="Times New Roman" w:hAnsi="Times New Roman" w:cs="Times New Roman"/>
          <w:color w:val="auto"/>
          <w:sz w:val="24"/>
          <w:szCs w:val="24"/>
          <w:lang w:val="en-GB"/>
        </w:rPr>
        <w:t xml:space="preserve"> that help firms to achieve higher growth rates</w:t>
      </w:r>
      <w:r w:rsidR="00CD1FD6" w:rsidRPr="00A03898">
        <w:rPr>
          <w:rFonts w:ascii="Times New Roman" w:hAnsi="Times New Roman" w:cs="Times New Roman"/>
          <w:color w:val="auto"/>
          <w:sz w:val="24"/>
          <w:szCs w:val="24"/>
          <w:lang w:val="en-GB"/>
        </w:rPr>
        <w:t xml:space="preserve">. </w:t>
      </w:r>
    </w:p>
    <w:p w14:paraId="1593BEAD" w14:textId="2D500254" w:rsidR="007328EF" w:rsidRPr="00A03898" w:rsidRDefault="009F6655" w:rsidP="007328EF">
      <w:pPr>
        <w:pStyle w:val="Body"/>
        <w:numPr>
          <w:ilvl w:val="1"/>
          <w:numId w:val="5"/>
        </w:numPr>
        <w:spacing w:line="360" w:lineRule="auto"/>
        <w:jc w:val="both"/>
        <w:rPr>
          <w:rFonts w:ascii="Times New Roman" w:hAnsi="Times New Roman" w:cs="Times New Roman"/>
          <w:i/>
          <w:iCs/>
          <w:color w:val="auto"/>
          <w:sz w:val="24"/>
          <w:szCs w:val="24"/>
          <w:lang w:val="en-GB"/>
        </w:rPr>
      </w:pPr>
      <w:r w:rsidRPr="00A03898">
        <w:rPr>
          <w:rFonts w:ascii="Times New Roman" w:hAnsi="Times New Roman" w:cs="Times New Roman"/>
          <w:i/>
          <w:iCs/>
          <w:color w:val="auto"/>
          <w:sz w:val="24"/>
          <w:szCs w:val="24"/>
          <w:lang w:val="en-GB"/>
        </w:rPr>
        <w:lastRenderedPageBreak/>
        <w:t xml:space="preserve">Participation in </w:t>
      </w:r>
      <w:r w:rsidR="0024611E" w:rsidRPr="00A03898">
        <w:rPr>
          <w:rFonts w:ascii="Times New Roman" w:hAnsi="Times New Roman" w:cs="Times New Roman"/>
          <w:i/>
          <w:iCs/>
          <w:color w:val="auto"/>
          <w:sz w:val="24"/>
          <w:szCs w:val="24"/>
          <w:lang w:val="en-GB"/>
        </w:rPr>
        <w:t>European value chains</w:t>
      </w:r>
    </w:p>
    <w:p w14:paraId="405EF7C2" w14:textId="0142EB9C" w:rsidR="00781EB9" w:rsidRPr="00A03898" w:rsidRDefault="004822AF" w:rsidP="007328EF">
      <w:pPr>
        <w:pStyle w:val="Body"/>
        <w:spacing w:line="360" w:lineRule="auto"/>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 xml:space="preserve">It was suggested </w:t>
      </w:r>
      <w:r w:rsidR="000C77E6" w:rsidRPr="00A03898">
        <w:rPr>
          <w:rFonts w:ascii="Times New Roman" w:hAnsi="Times New Roman" w:cs="Times New Roman"/>
          <w:color w:val="auto"/>
          <w:sz w:val="24"/>
          <w:szCs w:val="24"/>
          <w:lang w:val="en-GB"/>
        </w:rPr>
        <w:t>in</w:t>
      </w:r>
      <w:r w:rsidRPr="00A03898">
        <w:rPr>
          <w:rFonts w:ascii="Times New Roman" w:hAnsi="Times New Roman" w:cs="Times New Roman"/>
          <w:color w:val="auto"/>
          <w:sz w:val="24"/>
          <w:szCs w:val="24"/>
          <w:lang w:val="en-GB"/>
        </w:rPr>
        <w:t xml:space="preserve"> previous sections that one of </w:t>
      </w:r>
      <w:r w:rsidR="000C77E6"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 xml:space="preserve">channels for impact of market integration on entrepreneurial outcomes in CEE could be </w:t>
      </w:r>
      <w:r w:rsidR="00961653"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 xml:space="preserve">integration of domestic producers in European value chains. </w:t>
      </w:r>
      <w:r w:rsidR="00CD1FD6"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 xml:space="preserve">next part of analysis introduces measures of backward and forward GVC participation. The relevance of these channels is supposed to shift as countries climb development ladder. </w:t>
      </w:r>
      <w:r w:rsidR="00F3744C" w:rsidRPr="00A03898">
        <w:rPr>
          <w:rFonts w:ascii="Times New Roman" w:hAnsi="Times New Roman" w:cs="Times New Roman"/>
          <w:color w:val="auto"/>
          <w:sz w:val="24"/>
          <w:szCs w:val="24"/>
          <w:lang w:val="en-GB"/>
        </w:rPr>
        <w:t>Less advanced c</w:t>
      </w:r>
      <w:r w:rsidRPr="00A03898">
        <w:rPr>
          <w:rFonts w:ascii="Times New Roman" w:hAnsi="Times New Roman" w:cs="Times New Roman"/>
          <w:color w:val="auto"/>
          <w:sz w:val="24"/>
          <w:szCs w:val="24"/>
          <w:lang w:val="en-GB"/>
        </w:rPr>
        <w:t>ountries perform standardised cost-competitive activities</w:t>
      </w:r>
      <w:r w:rsidR="00B10C55" w:rsidRPr="00A03898">
        <w:rPr>
          <w:rFonts w:ascii="Times New Roman" w:hAnsi="Times New Roman" w:cs="Times New Roman"/>
          <w:color w:val="auto"/>
          <w:sz w:val="24"/>
          <w:szCs w:val="24"/>
          <w:lang w:val="en-GB"/>
        </w:rPr>
        <w:t>,</w:t>
      </w:r>
      <w:r w:rsidRPr="00A03898">
        <w:rPr>
          <w:rFonts w:ascii="Times New Roman" w:hAnsi="Times New Roman" w:cs="Times New Roman"/>
          <w:color w:val="auto"/>
          <w:sz w:val="24"/>
          <w:szCs w:val="24"/>
          <w:lang w:val="en-GB"/>
        </w:rPr>
        <w:t xml:space="preserve"> </w:t>
      </w:r>
      <w:r w:rsidR="00781EB9" w:rsidRPr="00A03898">
        <w:rPr>
          <w:rFonts w:ascii="Times New Roman" w:hAnsi="Times New Roman" w:cs="Times New Roman"/>
          <w:color w:val="auto"/>
          <w:sz w:val="24"/>
          <w:szCs w:val="24"/>
          <w:lang w:val="en-GB"/>
        </w:rPr>
        <w:t>such as assembling</w:t>
      </w:r>
      <w:r w:rsidR="00B10C55" w:rsidRPr="00A03898">
        <w:rPr>
          <w:rFonts w:ascii="Times New Roman" w:hAnsi="Times New Roman" w:cs="Times New Roman"/>
          <w:color w:val="auto"/>
          <w:sz w:val="24"/>
          <w:szCs w:val="24"/>
          <w:lang w:val="en-GB"/>
        </w:rPr>
        <w:t>,</w:t>
      </w:r>
      <w:r w:rsidR="00781EB9" w:rsidRPr="00A03898">
        <w:rPr>
          <w:rFonts w:ascii="Times New Roman" w:hAnsi="Times New Roman" w:cs="Times New Roman"/>
          <w:color w:val="auto"/>
          <w:sz w:val="24"/>
          <w:szCs w:val="24"/>
          <w:lang w:val="en-GB"/>
        </w:rPr>
        <w:t xml:space="preserve"> that typically bear little own added value and thus their export </w:t>
      </w:r>
      <w:r w:rsidR="00CD1FD6" w:rsidRPr="00A03898">
        <w:rPr>
          <w:rFonts w:ascii="Times New Roman" w:hAnsi="Times New Roman" w:cs="Times New Roman"/>
          <w:color w:val="auto"/>
          <w:sz w:val="24"/>
          <w:szCs w:val="24"/>
          <w:lang w:val="en-GB"/>
        </w:rPr>
        <w:t>embod</w:t>
      </w:r>
      <w:r w:rsidR="00F3744C" w:rsidRPr="00A03898">
        <w:rPr>
          <w:rFonts w:ascii="Times New Roman" w:hAnsi="Times New Roman" w:cs="Times New Roman"/>
          <w:color w:val="auto"/>
          <w:sz w:val="24"/>
          <w:szCs w:val="24"/>
          <w:lang w:val="en-GB"/>
        </w:rPr>
        <w:t>ies</w:t>
      </w:r>
      <w:r w:rsidR="00781EB9" w:rsidRPr="00A03898">
        <w:rPr>
          <w:rFonts w:ascii="Times New Roman" w:hAnsi="Times New Roman" w:cs="Times New Roman"/>
          <w:color w:val="auto"/>
          <w:sz w:val="24"/>
          <w:szCs w:val="24"/>
          <w:lang w:val="en-GB"/>
        </w:rPr>
        <w:t xml:space="preserve"> considerable portion of foreign value added. As knowledge and technological capabilities of countries increase, the share of domestic value added increases not only in </w:t>
      </w:r>
      <w:r w:rsidR="00F3744C" w:rsidRPr="00A03898">
        <w:rPr>
          <w:rFonts w:ascii="Times New Roman" w:hAnsi="Times New Roman" w:cs="Times New Roman"/>
          <w:color w:val="auto"/>
          <w:sz w:val="24"/>
          <w:szCs w:val="24"/>
          <w:lang w:val="en-GB"/>
        </w:rPr>
        <w:t xml:space="preserve">their </w:t>
      </w:r>
      <w:r w:rsidR="00781EB9" w:rsidRPr="00A03898">
        <w:rPr>
          <w:rFonts w:ascii="Times New Roman" w:hAnsi="Times New Roman" w:cs="Times New Roman"/>
          <w:color w:val="auto"/>
          <w:sz w:val="24"/>
          <w:szCs w:val="24"/>
          <w:lang w:val="en-GB"/>
        </w:rPr>
        <w:t>own exports but also in exports of other</w:t>
      </w:r>
      <w:r w:rsidR="00F3744C" w:rsidRPr="00A03898">
        <w:rPr>
          <w:rFonts w:ascii="Times New Roman" w:hAnsi="Times New Roman" w:cs="Times New Roman"/>
          <w:color w:val="auto"/>
          <w:sz w:val="24"/>
          <w:szCs w:val="24"/>
          <w:lang w:val="en-GB"/>
        </w:rPr>
        <w:t xml:space="preserve"> </w:t>
      </w:r>
      <w:r w:rsidR="00781EB9" w:rsidRPr="00A03898">
        <w:rPr>
          <w:rFonts w:ascii="Times New Roman" w:hAnsi="Times New Roman" w:cs="Times New Roman"/>
          <w:color w:val="auto"/>
          <w:sz w:val="24"/>
          <w:szCs w:val="24"/>
          <w:lang w:val="en-GB"/>
        </w:rPr>
        <w:t xml:space="preserve">countries </w:t>
      </w:r>
      <w:r w:rsidR="00F3744C" w:rsidRPr="00A03898">
        <w:rPr>
          <w:rFonts w:ascii="Times New Roman" w:hAnsi="Times New Roman" w:cs="Times New Roman"/>
          <w:color w:val="auto"/>
          <w:sz w:val="24"/>
          <w:szCs w:val="24"/>
          <w:lang w:val="en-GB"/>
        </w:rPr>
        <w:t>related</w:t>
      </w:r>
      <w:r w:rsidR="00781EB9" w:rsidRPr="00A03898">
        <w:rPr>
          <w:rFonts w:ascii="Times New Roman" w:hAnsi="Times New Roman" w:cs="Times New Roman"/>
          <w:color w:val="auto"/>
          <w:sz w:val="24"/>
          <w:szCs w:val="24"/>
          <w:lang w:val="en-GB"/>
        </w:rPr>
        <w:t xml:space="preserve"> through </w:t>
      </w:r>
      <w:r w:rsidR="00F3744C" w:rsidRPr="00A03898">
        <w:rPr>
          <w:rFonts w:ascii="Times New Roman" w:hAnsi="Times New Roman" w:cs="Times New Roman"/>
          <w:color w:val="auto"/>
          <w:sz w:val="24"/>
          <w:szCs w:val="24"/>
          <w:lang w:val="en-GB"/>
        </w:rPr>
        <w:t xml:space="preserve">downstream </w:t>
      </w:r>
      <w:r w:rsidR="00781EB9" w:rsidRPr="00A03898">
        <w:rPr>
          <w:rFonts w:ascii="Times New Roman" w:hAnsi="Times New Roman" w:cs="Times New Roman"/>
          <w:color w:val="auto"/>
          <w:sz w:val="24"/>
          <w:szCs w:val="24"/>
          <w:lang w:val="en-GB"/>
        </w:rPr>
        <w:t>value chain</w:t>
      </w:r>
      <w:r w:rsidR="00F3744C" w:rsidRPr="00A03898">
        <w:rPr>
          <w:rFonts w:ascii="Times New Roman" w:hAnsi="Times New Roman" w:cs="Times New Roman"/>
          <w:color w:val="auto"/>
          <w:sz w:val="24"/>
          <w:szCs w:val="24"/>
          <w:lang w:val="en-GB"/>
        </w:rPr>
        <w:t xml:space="preserve"> linkages</w:t>
      </w:r>
      <w:r w:rsidR="00070FDD" w:rsidRPr="00A03898">
        <w:rPr>
          <w:rFonts w:ascii="Times New Roman" w:hAnsi="Times New Roman" w:cs="Times New Roman"/>
          <w:color w:val="auto"/>
          <w:sz w:val="24"/>
          <w:szCs w:val="24"/>
          <w:lang w:val="en-GB"/>
        </w:rPr>
        <w:t xml:space="preserve"> (Lee, 2019)</w:t>
      </w:r>
      <w:r w:rsidR="00781EB9" w:rsidRPr="00A03898">
        <w:rPr>
          <w:rFonts w:ascii="Times New Roman" w:hAnsi="Times New Roman" w:cs="Times New Roman"/>
          <w:color w:val="auto"/>
          <w:sz w:val="24"/>
          <w:szCs w:val="24"/>
          <w:lang w:val="en-GB"/>
        </w:rPr>
        <w:t xml:space="preserve">. </w:t>
      </w:r>
    </w:p>
    <w:p w14:paraId="5E421FFB" w14:textId="77777777" w:rsidR="00A03898" w:rsidRPr="00F41BFE" w:rsidRDefault="00A03898" w:rsidP="00A03898">
      <w:pPr>
        <w:pStyle w:val="Body"/>
        <w:spacing w:line="360" w:lineRule="auto"/>
        <w:jc w:val="both"/>
        <w:rPr>
          <w:rFonts w:ascii="Times New Roman" w:hAnsi="Times New Roman" w:cs="Times New Roman"/>
          <w:b/>
          <w:sz w:val="24"/>
          <w:szCs w:val="24"/>
          <w:lang w:val="en-GB"/>
        </w:rPr>
      </w:pPr>
      <w:r w:rsidRPr="00747780">
        <w:rPr>
          <w:rFonts w:ascii="Times New Roman" w:hAnsi="Times New Roman" w:cs="Times New Roman"/>
          <w:b/>
          <w:sz w:val="24"/>
          <w:szCs w:val="24"/>
          <w:lang w:val="en-GB"/>
        </w:rPr>
        <w:t>Fig.</w:t>
      </w:r>
      <w:r>
        <w:rPr>
          <w:rFonts w:ascii="Times New Roman" w:hAnsi="Times New Roman" w:cs="Times New Roman"/>
          <w:b/>
          <w:sz w:val="24"/>
          <w:szCs w:val="24"/>
          <w:lang w:val="en-GB"/>
        </w:rPr>
        <w:t xml:space="preserve"> 7 </w:t>
      </w:r>
      <w:r w:rsidRPr="00595DC4">
        <w:rPr>
          <w:rFonts w:ascii="Times New Roman" w:hAnsi="Times New Roman" w:cs="Times New Roman"/>
          <w:sz w:val="24"/>
          <w:szCs w:val="24"/>
          <w:lang w:val="en-GB"/>
        </w:rPr>
        <w:t xml:space="preserve">The impact of </w:t>
      </w:r>
      <w:r>
        <w:rPr>
          <w:rFonts w:ascii="Times New Roman" w:hAnsi="Times New Roman" w:cs="Times New Roman"/>
          <w:sz w:val="24"/>
          <w:szCs w:val="24"/>
          <w:lang w:val="en-GB"/>
        </w:rPr>
        <w:t>GVC participation</w:t>
      </w:r>
      <w:r w:rsidRPr="00595DC4">
        <w:rPr>
          <w:rFonts w:ascii="Times New Roman" w:hAnsi="Times New Roman" w:cs="Times New Roman"/>
          <w:sz w:val="24"/>
          <w:szCs w:val="24"/>
          <w:lang w:val="en-GB"/>
        </w:rPr>
        <w:t xml:space="preserve"> on the entrepreneurial outcomes in CEE manufacturing 2012-2016</w:t>
      </w:r>
    </w:p>
    <w:p w14:paraId="29D1CA49" w14:textId="77777777" w:rsidR="00A03898" w:rsidRDefault="00A03898" w:rsidP="00A03898">
      <w:pPr>
        <w:pStyle w:val="Body"/>
        <w:spacing w:line="360" w:lineRule="auto"/>
        <w:jc w:val="center"/>
        <w:rPr>
          <w:rFonts w:ascii="Times New Roman" w:hAnsi="Times New Roman" w:cs="Times New Roman"/>
          <w:sz w:val="24"/>
          <w:szCs w:val="24"/>
          <w:lang w:val="en-GB"/>
        </w:rPr>
      </w:pPr>
      <w:r>
        <w:rPr>
          <w:rFonts w:ascii="Times New Roman" w:hAnsi="Times New Roman" w:cs="Times New Roman"/>
          <w:noProof/>
          <w:sz w:val="24"/>
          <w:szCs w:val="24"/>
        </w:rPr>
        <w:drawing>
          <wp:inline distT="0" distB="0" distL="0" distR="0" wp14:anchorId="704A0DC9" wp14:editId="63FFCBDB">
            <wp:extent cx="4572000" cy="2374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7.pdf"/>
                    <pic:cNvPicPr/>
                  </pic:nvPicPr>
                  <pic:blipFill>
                    <a:blip r:embed="rId17">
                      <a:extLst>
                        <a:ext uri="{28A0092B-C50C-407E-A947-70E740481C1C}">
                          <a14:useLocalDpi xmlns:a14="http://schemas.microsoft.com/office/drawing/2010/main" val="0"/>
                        </a:ext>
                      </a:extLst>
                    </a:blip>
                    <a:stretch>
                      <a:fillRect/>
                    </a:stretch>
                  </pic:blipFill>
                  <pic:spPr>
                    <a:xfrm>
                      <a:off x="0" y="0"/>
                      <a:ext cx="4572000" cy="2374900"/>
                    </a:xfrm>
                    <a:prstGeom prst="rect">
                      <a:avLst/>
                    </a:prstGeom>
                  </pic:spPr>
                </pic:pic>
              </a:graphicData>
            </a:graphic>
          </wp:inline>
        </w:drawing>
      </w:r>
    </w:p>
    <w:p w14:paraId="50F60DA4" w14:textId="446773C6" w:rsidR="00571E2B" w:rsidRPr="00A03898" w:rsidRDefault="00571E2B" w:rsidP="007328EF">
      <w:pPr>
        <w:pStyle w:val="Body"/>
        <w:spacing w:line="360" w:lineRule="auto"/>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ab/>
        <w:t>We observe positive effect of forward GVC participation on firm entry and growth but</w:t>
      </w:r>
      <w:r w:rsidR="00B705B4" w:rsidRPr="00A03898">
        <w:rPr>
          <w:rFonts w:ascii="Times New Roman" w:hAnsi="Times New Roman" w:cs="Times New Roman"/>
          <w:color w:val="auto"/>
          <w:sz w:val="24"/>
          <w:szCs w:val="24"/>
          <w:lang w:val="en-GB"/>
        </w:rPr>
        <w:t xml:space="preserve"> only weakly significant and negative effect of backward GVC participation in two cases. </w:t>
      </w:r>
      <w:r w:rsidRPr="00A03898">
        <w:rPr>
          <w:rFonts w:ascii="Times New Roman" w:hAnsi="Times New Roman" w:cs="Times New Roman"/>
          <w:color w:val="auto"/>
          <w:sz w:val="24"/>
          <w:szCs w:val="24"/>
          <w:lang w:val="en-GB"/>
        </w:rPr>
        <w:t xml:space="preserve">It is evident also that effects of forward participation are unusually high. For example, increase in </w:t>
      </w:r>
      <w:r w:rsidR="000169B2"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 xml:space="preserve">share of domestic value added embodied in EU28 exports </w:t>
      </w:r>
      <w:r w:rsidR="000169B2" w:rsidRPr="00A03898">
        <w:rPr>
          <w:rFonts w:ascii="Times New Roman" w:hAnsi="Times New Roman" w:cs="Times New Roman"/>
          <w:color w:val="auto"/>
          <w:sz w:val="24"/>
          <w:szCs w:val="24"/>
          <w:lang w:val="en-GB"/>
        </w:rPr>
        <w:t>by</w:t>
      </w:r>
      <w:r w:rsidRPr="00A03898">
        <w:rPr>
          <w:rFonts w:ascii="Times New Roman" w:hAnsi="Times New Roman" w:cs="Times New Roman"/>
          <w:color w:val="auto"/>
          <w:sz w:val="24"/>
          <w:szCs w:val="24"/>
          <w:lang w:val="en-GB"/>
        </w:rPr>
        <w:t xml:space="preserve"> 1</w:t>
      </w:r>
      <w:r w:rsidR="00A03898">
        <w:rPr>
          <w:rFonts w:ascii="Times New Roman" w:hAnsi="Times New Roman" w:cs="Times New Roman"/>
          <w:color w:val="auto"/>
          <w:sz w:val="24"/>
          <w:szCs w:val="24"/>
          <w:lang w:val="en-GB"/>
        </w:rPr>
        <w:t xml:space="preserve"> percentage point</w:t>
      </w:r>
      <w:r w:rsidRPr="00A03898">
        <w:rPr>
          <w:rFonts w:ascii="Times New Roman" w:hAnsi="Times New Roman" w:cs="Times New Roman"/>
          <w:color w:val="auto"/>
          <w:sz w:val="24"/>
          <w:szCs w:val="24"/>
          <w:lang w:val="en-GB"/>
        </w:rPr>
        <w:t xml:space="preserve"> would, according to our findings, increase </w:t>
      </w:r>
      <w:r w:rsidR="000169B2"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 xml:space="preserve">share of entrants </w:t>
      </w:r>
      <w:r w:rsidR="000169B2" w:rsidRPr="00A03898">
        <w:rPr>
          <w:rFonts w:ascii="Times New Roman" w:hAnsi="Times New Roman" w:cs="Times New Roman"/>
          <w:color w:val="auto"/>
          <w:sz w:val="24"/>
          <w:szCs w:val="24"/>
          <w:lang w:val="en-GB"/>
        </w:rPr>
        <w:t>by</w:t>
      </w:r>
      <w:r w:rsidRPr="00A03898">
        <w:rPr>
          <w:rFonts w:ascii="Times New Roman" w:hAnsi="Times New Roman" w:cs="Times New Roman"/>
          <w:color w:val="auto"/>
          <w:sz w:val="24"/>
          <w:szCs w:val="24"/>
          <w:lang w:val="en-GB"/>
        </w:rPr>
        <w:t xml:space="preserve"> 38</w:t>
      </w:r>
      <w:r w:rsidR="00A03898">
        <w:rPr>
          <w:rFonts w:ascii="Times New Roman" w:hAnsi="Times New Roman" w:cs="Times New Roman"/>
          <w:color w:val="auto"/>
          <w:sz w:val="24"/>
          <w:szCs w:val="24"/>
          <w:lang w:val="en-GB"/>
        </w:rPr>
        <w:t xml:space="preserve"> percentage points</w:t>
      </w:r>
      <w:r w:rsidRPr="00A03898">
        <w:rPr>
          <w:rFonts w:ascii="Times New Roman" w:hAnsi="Times New Roman" w:cs="Times New Roman"/>
          <w:color w:val="auto"/>
          <w:sz w:val="24"/>
          <w:szCs w:val="24"/>
          <w:lang w:val="en-GB"/>
        </w:rPr>
        <w:t xml:space="preserve"> and </w:t>
      </w:r>
      <w:r w:rsidR="000169B2"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 xml:space="preserve">share of high-growth firms </w:t>
      </w:r>
      <w:r w:rsidR="000169B2" w:rsidRPr="00A03898">
        <w:rPr>
          <w:rFonts w:ascii="Times New Roman" w:hAnsi="Times New Roman" w:cs="Times New Roman"/>
          <w:color w:val="auto"/>
          <w:sz w:val="24"/>
          <w:szCs w:val="24"/>
          <w:lang w:val="en-GB"/>
        </w:rPr>
        <w:t>by</w:t>
      </w:r>
      <w:r w:rsidR="00A03898">
        <w:rPr>
          <w:rFonts w:ascii="Times New Roman" w:hAnsi="Times New Roman" w:cs="Times New Roman"/>
          <w:color w:val="auto"/>
          <w:sz w:val="24"/>
          <w:szCs w:val="24"/>
          <w:lang w:val="en-GB"/>
        </w:rPr>
        <w:t xml:space="preserve"> </w:t>
      </w:r>
      <w:r w:rsidRPr="00A03898">
        <w:rPr>
          <w:rFonts w:ascii="Times New Roman" w:hAnsi="Times New Roman" w:cs="Times New Roman"/>
          <w:color w:val="auto"/>
          <w:sz w:val="24"/>
          <w:szCs w:val="24"/>
          <w:lang w:val="en-GB"/>
        </w:rPr>
        <w:t>14</w:t>
      </w:r>
      <w:r w:rsidR="00A03898">
        <w:rPr>
          <w:rFonts w:ascii="Times New Roman" w:hAnsi="Times New Roman" w:cs="Times New Roman"/>
          <w:color w:val="auto"/>
          <w:sz w:val="24"/>
          <w:szCs w:val="24"/>
          <w:lang w:val="en-GB"/>
        </w:rPr>
        <w:t xml:space="preserve"> percentage points</w:t>
      </w:r>
      <w:r w:rsidRPr="00A03898">
        <w:rPr>
          <w:rFonts w:ascii="Times New Roman" w:hAnsi="Times New Roman" w:cs="Times New Roman"/>
          <w:color w:val="auto"/>
          <w:sz w:val="24"/>
          <w:szCs w:val="24"/>
          <w:lang w:val="en-GB"/>
        </w:rPr>
        <w:t xml:space="preserve">. Such high magnitude of findings may seem odd at first. However, one should recall that the average share of domestic value added from CEE industries in EU28 exports </w:t>
      </w:r>
      <w:r w:rsidR="00B705B4" w:rsidRPr="00A03898">
        <w:rPr>
          <w:rFonts w:ascii="Times New Roman" w:hAnsi="Times New Roman" w:cs="Times New Roman"/>
          <w:color w:val="auto"/>
          <w:sz w:val="24"/>
          <w:szCs w:val="24"/>
          <w:lang w:val="en-GB"/>
        </w:rPr>
        <w:t xml:space="preserve">(forward GVC measure) </w:t>
      </w:r>
      <w:r w:rsidRPr="00A03898">
        <w:rPr>
          <w:rFonts w:ascii="Times New Roman" w:hAnsi="Times New Roman" w:cs="Times New Roman"/>
          <w:color w:val="auto"/>
          <w:sz w:val="24"/>
          <w:szCs w:val="24"/>
          <w:lang w:val="en-GB"/>
        </w:rPr>
        <w:t xml:space="preserve">is 0.02% with its median value being 0.008%. Moreover, 90% of our industries have shares of domestic value added in EU exports below 0.05%. </w:t>
      </w:r>
    </w:p>
    <w:p w14:paraId="3DD6A1E2" w14:textId="66E2D9D4" w:rsidR="009F6655" w:rsidRPr="00A03898" w:rsidRDefault="004822AF" w:rsidP="007328EF">
      <w:pPr>
        <w:pStyle w:val="Body"/>
        <w:spacing w:line="360" w:lineRule="auto"/>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lastRenderedPageBreak/>
        <w:t xml:space="preserve">  </w:t>
      </w:r>
      <w:r w:rsidR="00DE4236" w:rsidRPr="00A03898">
        <w:rPr>
          <w:rFonts w:ascii="Times New Roman" w:hAnsi="Times New Roman" w:cs="Times New Roman"/>
          <w:color w:val="auto"/>
          <w:sz w:val="24"/>
          <w:szCs w:val="24"/>
          <w:lang w:val="en-GB"/>
        </w:rPr>
        <w:tab/>
        <w:t>The above not only provides further confirmation of position of CEE producers in low valu</w:t>
      </w:r>
      <w:r w:rsidR="00275939" w:rsidRPr="00A03898">
        <w:rPr>
          <w:rFonts w:ascii="Times New Roman" w:hAnsi="Times New Roman" w:cs="Times New Roman"/>
          <w:color w:val="auto"/>
          <w:sz w:val="24"/>
          <w:szCs w:val="24"/>
          <w:lang w:val="en-GB"/>
        </w:rPr>
        <w:t>e</w:t>
      </w:r>
      <w:r w:rsidR="00DE4236" w:rsidRPr="00A03898">
        <w:rPr>
          <w:rFonts w:ascii="Times New Roman" w:hAnsi="Times New Roman" w:cs="Times New Roman"/>
          <w:color w:val="auto"/>
          <w:sz w:val="24"/>
          <w:szCs w:val="24"/>
          <w:lang w:val="en-GB"/>
        </w:rPr>
        <w:t xml:space="preserve"> added segments of European value chain but also makes our coefficients more understandable. Assuming </w:t>
      </w:r>
      <w:r w:rsidR="00920429" w:rsidRPr="00A03898">
        <w:rPr>
          <w:rFonts w:ascii="Times New Roman" w:hAnsi="Times New Roman" w:cs="Times New Roman"/>
          <w:color w:val="auto"/>
          <w:sz w:val="24"/>
          <w:szCs w:val="24"/>
          <w:lang w:val="en-GB"/>
        </w:rPr>
        <w:t xml:space="preserve">the </w:t>
      </w:r>
      <w:r w:rsidR="00DE4236" w:rsidRPr="00A03898">
        <w:rPr>
          <w:rFonts w:ascii="Times New Roman" w:hAnsi="Times New Roman" w:cs="Times New Roman"/>
          <w:color w:val="auto"/>
          <w:sz w:val="24"/>
          <w:szCs w:val="24"/>
          <w:lang w:val="en-GB"/>
        </w:rPr>
        <w:t>unit change at median value</w:t>
      </w:r>
      <w:r w:rsidR="009B5564" w:rsidRPr="00A03898">
        <w:rPr>
          <w:rFonts w:ascii="Times New Roman" w:hAnsi="Times New Roman" w:cs="Times New Roman"/>
          <w:color w:val="auto"/>
          <w:sz w:val="24"/>
          <w:szCs w:val="24"/>
          <w:lang w:val="en-GB"/>
        </w:rPr>
        <w:t>,</w:t>
      </w:r>
      <w:r w:rsidR="00DE4236" w:rsidRPr="00A03898">
        <w:rPr>
          <w:rFonts w:ascii="Times New Roman" w:hAnsi="Times New Roman" w:cs="Times New Roman"/>
          <w:color w:val="auto"/>
          <w:sz w:val="24"/>
          <w:szCs w:val="24"/>
          <w:lang w:val="en-GB"/>
        </w:rPr>
        <w:t xml:space="preserve"> it follows that </w:t>
      </w:r>
      <w:r w:rsidR="006C15DE" w:rsidRPr="00A03898">
        <w:rPr>
          <w:rFonts w:ascii="Times New Roman" w:hAnsi="Times New Roman" w:cs="Times New Roman"/>
          <w:color w:val="auto"/>
          <w:sz w:val="24"/>
          <w:szCs w:val="24"/>
          <w:lang w:val="en-GB"/>
        </w:rPr>
        <w:t>1% increase</w:t>
      </w:r>
      <w:r w:rsidR="00DE4236" w:rsidRPr="00A03898">
        <w:rPr>
          <w:rFonts w:ascii="Times New Roman" w:hAnsi="Times New Roman" w:cs="Times New Roman"/>
          <w:color w:val="auto"/>
          <w:sz w:val="24"/>
          <w:szCs w:val="24"/>
          <w:lang w:val="en-GB"/>
        </w:rPr>
        <w:t xml:space="preserve"> in forward GVC participation would induce 0.038</w:t>
      </w:r>
      <w:r w:rsidR="0005257A">
        <w:rPr>
          <w:rFonts w:ascii="Times New Roman" w:hAnsi="Times New Roman" w:cs="Times New Roman"/>
          <w:color w:val="auto"/>
          <w:sz w:val="24"/>
          <w:szCs w:val="24"/>
          <w:lang w:val="en-GB"/>
        </w:rPr>
        <w:t xml:space="preserve"> percentage points</w:t>
      </w:r>
      <w:r w:rsidR="00DE4236" w:rsidRPr="00A03898">
        <w:rPr>
          <w:rFonts w:ascii="Times New Roman" w:hAnsi="Times New Roman" w:cs="Times New Roman"/>
          <w:color w:val="auto"/>
          <w:sz w:val="24"/>
          <w:szCs w:val="24"/>
          <w:lang w:val="en-GB"/>
        </w:rPr>
        <w:t xml:space="preserve"> higher share of new entrants and 0.014</w:t>
      </w:r>
      <w:r w:rsidR="0005257A">
        <w:rPr>
          <w:rFonts w:ascii="Times New Roman" w:hAnsi="Times New Roman" w:cs="Times New Roman"/>
          <w:color w:val="auto"/>
          <w:sz w:val="24"/>
          <w:szCs w:val="24"/>
          <w:lang w:val="en-GB"/>
        </w:rPr>
        <w:t xml:space="preserve"> percentage points</w:t>
      </w:r>
      <w:r w:rsidR="00DE4236" w:rsidRPr="00A03898">
        <w:rPr>
          <w:rFonts w:ascii="Times New Roman" w:hAnsi="Times New Roman" w:cs="Times New Roman"/>
          <w:color w:val="auto"/>
          <w:sz w:val="24"/>
          <w:szCs w:val="24"/>
          <w:lang w:val="en-GB"/>
        </w:rPr>
        <w:t xml:space="preserve"> </w:t>
      </w:r>
      <w:r w:rsidR="00275939" w:rsidRPr="00A03898">
        <w:rPr>
          <w:rFonts w:ascii="Times New Roman" w:hAnsi="Times New Roman" w:cs="Times New Roman"/>
          <w:color w:val="auto"/>
          <w:sz w:val="24"/>
          <w:szCs w:val="24"/>
          <w:lang w:val="en-GB"/>
        </w:rPr>
        <w:t>increase in</w:t>
      </w:r>
      <w:r w:rsidR="00DE4236" w:rsidRPr="00A03898">
        <w:rPr>
          <w:rFonts w:ascii="Times New Roman" w:hAnsi="Times New Roman" w:cs="Times New Roman"/>
          <w:color w:val="auto"/>
          <w:sz w:val="24"/>
          <w:szCs w:val="24"/>
          <w:lang w:val="en-GB"/>
        </w:rPr>
        <w:t xml:space="preserve"> </w:t>
      </w:r>
      <w:r w:rsidR="009B5564" w:rsidRPr="00A03898">
        <w:rPr>
          <w:rFonts w:ascii="Times New Roman" w:hAnsi="Times New Roman" w:cs="Times New Roman"/>
          <w:color w:val="auto"/>
          <w:sz w:val="24"/>
          <w:szCs w:val="24"/>
          <w:lang w:val="en-GB"/>
        </w:rPr>
        <w:t xml:space="preserve">the </w:t>
      </w:r>
      <w:r w:rsidR="00DE4236" w:rsidRPr="00A03898">
        <w:rPr>
          <w:rFonts w:ascii="Times New Roman" w:hAnsi="Times New Roman" w:cs="Times New Roman"/>
          <w:color w:val="auto"/>
          <w:sz w:val="24"/>
          <w:szCs w:val="24"/>
          <w:lang w:val="en-GB"/>
        </w:rPr>
        <w:t>share of</w:t>
      </w:r>
      <w:r w:rsidR="00275939" w:rsidRPr="00A03898">
        <w:rPr>
          <w:rFonts w:ascii="Times New Roman" w:hAnsi="Times New Roman" w:cs="Times New Roman"/>
          <w:color w:val="auto"/>
          <w:sz w:val="24"/>
          <w:szCs w:val="24"/>
          <w:lang w:val="en-GB"/>
        </w:rPr>
        <w:t xml:space="preserve"> high</w:t>
      </w:r>
      <w:r w:rsidR="00577982" w:rsidRPr="00A03898">
        <w:rPr>
          <w:rFonts w:ascii="Times New Roman" w:hAnsi="Times New Roman" w:cs="Times New Roman"/>
          <w:color w:val="auto"/>
          <w:sz w:val="24"/>
          <w:szCs w:val="24"/>
          <w:lang w:val="en-GB"/>
        </w:rPr>
        <w:t>-</w:t>
      </w:r>
      <w:r w:rsidR="00275939" w:rsidRPr="00A03898">
        <w:rPr>
          <w:rFonts w:ascii="Times New Roman" w:hAnsi="Times New Roman" w:cs="Times New Roman"/>
          <w:color w:val="auto"/>
          <w:sz w:val="24"/>
          <w:szCs w:val="24"/>
          <w:lang w:val="en-GB"/>
        </w:rPr>
        <w:t>growth firms. These findings clearly show that upgrading of knowledge and technological capabilities of CEE industries, a precondition for increase in domestic value added</w:t>
      </w:r>
      <w:r w:rsidR="006A7D76" w:rsidRPr="00A03898">
        <w:rPr>
          <w:rFonts w:ascii="Times New Roman" w:hAnsi="Times New Roman" w:cs="Times New Roman"/>
          <w:color w:val="auto"/>
          <w:sz w:val="24"/>
          <w:szCs w:val="24"/>
          <w:lang w:val="en-GB"/>
        </w:rPr>
        <w:t>,</w:t>
      </w:r>
      <w:r w:rsidR="00275939" w:rsidRPr="00A03898">
        <w:rPr>
          <w:rFonts w:ascii="Times New Roman" w:hAnsi="Times New Roman" w:cs="Times New Roman"/>
          <w:color w:val="auto"/>
          <w:sz w:val="24"/>
          <w:szCs w:val="24"/>
          <w:lang w:val="en-GB"/>
        </w:rPr>
        <w:t xml:space="preserve"> holds a key for </w:t>
      </w:r>
      <w:r w:rsidR="006353A3" w:rsidRPr="00A03898">
        <w:rPr>
          <w:rFonts w:ascii="Times New Roman" w:hAnsi="Times New Roman" w:cs="Times New Roman"/>
          <w:color w:val="auto"/>
          <w:sz w:val="24"/>
          <w:szCs w:val="24"/>
          <w:lang w:val="en-GB"/>
        </w:rPr>
        <w:t>advancing</w:t>
      </w:r>
      <w:r w:rsidR="00275939" w:rsidRPr="00A03898">
        <w:rPr>
          <w:rFonts w:ascii="Times New Roman" w:hAnsi="Times New Roman" w:cs="Times New Roman"/>
          <w:color w:val="auto"/>
          <w:sz w:val="24"/>
          <w:szCs w:val="24"/>
          <w:lang w:val="en-GB"/>
        </w:rPr>
        <w:t xml:space="preserve"> of CEE manufacturing </w:t>
      </w:r>
      <w:r w:rsidR="006353A3" w:rsidRPr="00A03898">
        <w:rPr>
          <w:rFonts w:ascii="Times New Roman" w:hAnsi="Times New Roman" w:cs="Times New Roman"/>
          <w:color w:val="auto"/>
          <w:sz w:val="24"/>
          <w:szCs w:val="24"/>
          <w:lang w:val="en-GB"/>
        </w:rPr>
        <w:t>up the</w:t>
      </w:r>
      <w:r w:rsidR="00275939" w:rsidRPr="00A03898">
        <w:rPr>
          <w:rFonts w:ascii="Times New Roman" w:hAnsi="Times New Roman" w:cs="Times New Roman"/>
          <w:color w:val="auto"/>
          <w:sz w:val="24"/>
          <w:szCs w:val="24"/>
          <w:lang w:val="en-GB"/>
        </w:rPr>
        <w:t xml:space="preserve"> ladder of global, and particularly EU, value chains. </w:t>
      </w:r>
    </w:p>
    <w:p w14:paraId="50EDE3F7" w14:textId="5541637D" w:rsidR="00CD52C8" w:rsidRPr="00A03898" w:rsidRDefault="00CD52C8" w:rsidP="007328EF">
      <w:pPr>
        <w:pStyle w:val="Body"/>
        <w:spacing w:line="360" w:lineRule="auto"/>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ab/>
        <w:t>Our findings also reveal that beneficial forward effects have much stronger roots in the integration in value chains of producers from advanced EU member states (EU15).  Together, these findings have important implications not only for CEE but for policy formulation across advancing countries. They show that building of domestic knowledge and technological capabilities coupled with forward integration in value chains of advanced countries produces far stronger effects on business dynamics than backward integration through standardised cost-competitive activities.</w:t>
      </w:r>
    </w:p>
    <w:p w14:paraId="0801BE80" w14:textId="613EE88E" w:rsidR="00904F33" w:rsidRPr="00A03898" w:rsidRDefault="00B960A6" w:rsidP="00F2440A">
      <w:pPr>
        <w:pStyle w:val="Body"/>
        <w:numPr>
          <w:ilvl w:val="1"/>
          <w:numId w:val="5"/>
        </w:numPr>
        <w:spacing w:line="360" w:lineRule="auto"/>
        <w:jc w:val="both"/>
        <w:rPr>
          <w:rFonts w:ascii="Times New Roman" w:hAnsi="Times New Roman" w:cs="Times New Roman"/>
          <w:color w:val="auto"/>
          <w:sz w:val="24"/>
          <w:szCs w:val="24"/>
          <w:lang w:val="en-GB"/>
        </w:rPr>
      </w:pPr>
      <w:r w:rsidRPr="00A03898">
        <w:rPr>
          <w:rFonts w:ascii="Times New Roman" w:hAnsi="Times New Roman" w:cs="Times New Roman"/>
          <w:i/>
          <w:iCs/>
          <w:color w:val="auto"/>
          <w:sz w:val="24"/>
          <w:szCs w:val="24"/>
          <w:lang w:val="en-GB"/>
        </w:rPr>
        <w:t>Mediating role of technological intensity</w:t>
      </w:r>
    </w:p>
    <w:p w14:paraId="04A880D8" w14:textId="7BA5FBB6" w:rsidR="00F80E75" w:rsidRDefault="00AB0C03" w:rsidP="00B705B4">
      <w:pPr>
        <w:pStyle w:val="Body"/>
        <w:spacing w:line="360" w:lineRule="auto"/>
        <w:ind w:firstLine="360"/>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The</w:t>
      </w:r>
      <w:r w:rsidR="00904F33" w:rsidRPr="00A03898">
        <w:rPr>
          <w:rFonts w:ascii="Times New Roman" w:hAnsi="Times New Roman" w:cs="Times New Roman"/>
          <w:color w:val="auto"/>
          <w:sz w:val="24"/>
          <w:szCs w:val="24"/>
          <w:lang w:val="en-GB"/>
        </w:rPr>
        <w:t xml:space="preserve"> analysis so far indicates that both trade and GVC integration facilitate entry and growth of CEE firms. The question that further arises is whether these effects are equally distributed across all industries. </w:t>
      </w:r>
      <w:r w:rsidR="00B705B4" w:rsidRPr="00A03898">
        <w:rPr>
          <w:rFonts w:ascii="Times New Roman" w:hAnsi="Times New Roman" w:cs="Times New Roman"/>
          <w:color w:val="auto"/>
          <w:sz w:val="24"/>
          <w:szCs w:val="24"/>
          <w:lang w:val="en-GB"/>
        </w:rPr>
        <w:t xml:space="preserve">Empirical literature in Section 2 argues that high technology intensive industries offer greater opportunities for start-ups and high growth firms. </w:t>
      </w:r>
      <w:r w:rsidRPr="00A03898">
        <w:rPr>
          <w:rFonts w:ascii="Times New Roman" w:hAnsi="Times New Roman" w:cs="Times New Roman"/>
          <w:color w:val="auto"/>
          <w:sz w:val="24"/>
          <w:szCs w:val="24"/>
          <w:lang w:val="en-GB"/>
        </w:rPr>
        <w:t xml:space="preserve">To explore whether technological intensity of industry plays a role in the relationship between market integration and firm entry and growth we next introduce </w:t>
      </w:r>
      <w:r w:rsidR="006A7D76" w:rsidRPr="00A03898">
        <w:rPr>
          <w:rFonts w:ascii="Times New Roman" w:hAnsi="Times New Roman" w:cs="Times New Roman"/>
          <w:color w:val="auto"/>
          <w:sz w:val="24"/>
          <w:szCs w:val="24"/>
          <w:lang w:val="en-GB"/>
        </w:rPr>
        <w:t xml:space="preserve">an </w:t>
      </w:r>
      <w:r w:rsidRPr="00A03898">
        <w:rPr>
          <w:rFonts w:ascii="Times New Roman" w:hAnsi="Times New Roman" w:cs="Times New Roman"/>
          <w:color w:val="auto"/>
          <w:sz w:val="24"/>
          <w:szCs w:val="24"/>
          <w:lang w:val="en-GB"/>
        </w:rPr>
        <w:t xml:space="preserve">interaction between technological intensity and our measures of trade and GVC participation. </w:t>
      </w:r>
      <w:r w:rsidR="00A92C2A" w:rsidRPr="00A03898">
        <w:rPr>
          <w:rFonts w:ascii="Times New Roman" w:hAnsi="Times New Roman" w:cs="Times New Roman"/>
          <w:color w:val="auto"/>
          <w:sz w:val="24"/>
          <w:szCs w:val="24"/>
          <w:lang w:val="en-GB"/>
        </w:rPr>
        <w:t>For convenience of exposition, the r</w:t>
      </w:r>
      <w:r w:rsidRPr="00A03898">
        <w:rPr>
          <w:rFonts w:ascii="Times New Roman" w:hAnsi="Times New Roman" w:cs="Times New Roman"/>
          <w:color w:val="auto"/>
          <w:sz w:val="24"/>
          <w:szCs w:val="24"/>
          <w:lang w:val="en-GB"/>
        </w:rPr>
        <w:t xml:space="preserve">esults are presented as </w:t>
      </w:r>
      <w:r w:rsidR="00B705B4" w:rsidRPr="00A03898">
        <w:rPr>
          <w:rFonts w:ascii="Times New Roman" w:hAnsi="Times New Roman" w:cs="Times New Roman"/>
          <w:color w:val="auto"/>
          <w:sz w:val="24"/>
          <w:szCs w:val="24"/>
          <w:lang w:val="en-GB"/>
        </w:rPr>
        <w:t>marginal effects</w:t>
      </w:r>
      <w:r w:rsidRPr="00A03898">
        <w:rPr>
          <w:rFonts w:ascii="Times New Roman" w:hAnsi="Times New Roman" w:cs="Times New Roman"/>
          <w:color w:val="auto"/>
          <w:sz w:val="24"/>
          <w:szCs w:val="24"/>
          <w:lang w:val="en-GB"/>
        </w:rPr>
        <w:t xml:space="preserve"> </w:t>
      </w:r>
      <w:r w:rsidR="00B705B4" w:rsidRPr="00A03898">
        <w:rPr>
          <w:rFonts w:ascii="Times New Roman" w:hAnsi="Times New Roman" w:cs="Times New Roman"/>
          <w:color w:val="auto"/>
          <w:sz w:val="24"/>
          <w:szCs w:val="24"/>
          <w:lang w:val="en-GB"/>
        </w:rPr>
        <w:t>for</w:t>
      </w:r>
      <w:r w:rsidRPr="00A03898">
        <w:rPr>
          <w:rFonts w:ascii="Times New Roman" w:hAnsi="Times New Roman" w:cs="Times New Roman"/>
          <w:color w:val="auto"/>
          <w:sz w:val="24"/>
          <w:szCs w:val="24"/>
          <w:lang w:val="en-GB"/>
        </w:rPr>
        <w:t xml:space="preserve"> groups of low and high technology intensive industries. </w:t>
      </w:r>
    </w:p>
    <w:p w14:paraId="31DE952F" w14:textId="77777777" w:rsidR="00A03898" w:rsidRPr="00A03898" w:rsidRDefault="00A03898" w:rsidP="00A03898">
      <w:pPr>
        <w:pStyle w:val="Body"/>
        <w:spacing w:line="360" w:lineRule="auto"/>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ab/>
        <w:t>Figure 8 presents results for EU28, EU15 and EU13 exports and imports impact on the share of start-ups. We find positive effects on the share of start-ups from increases in both EU export and import shares and there appears no statistically significant difference between low and high technology intensive industries. Hence, our findings are closer to the literature suggesting that technological intensity does not play relevant role in shaping of entrepreneurial outcomes (</w:t>
      </w:r>
      <w:proofErr w:type="spellStart"/>
      <w:r w:rsidRPr="00A03898">
        <w:rPr>
          <w:rFonts w:ascii="Times New Roman" w:hAnsi="Times New Roman" w:cs="Times New Roman"/>
          <w:color w:val="auto"/>
          <w:sz w:val="24"/>
          <w:szCs w:val="24"/>
          <w:lang w:val="en-GB"/>
        </w:rPr>
        <w:t>Almus</w:t>
      </w:r>
      <w:proofErr w:type="spellEnd"/>
      <w:r w:rsidRPr="00A03898">
        <w:rPr>
          <w:rFonts w:ascii="Times New Roman" w:hAnsi="Times New Roman" w:cs="Times New Roman"/>
          <w:color w:val="auto"/>
          <w:sz w:val="24"/>
          <w:szCs w:val="24"/>
          <w:lang w:val="en-GB"/>
        </w:rPr>
        <w:t xml:space="preserve"> and </w:t>
      </w:r>
      <w:proofErr w:type="spellStart"/>
      <w:r w:rsidRPr="00A03898">
        <w:rPr>
          <w:rFonts w:ascii="Times New Roman" w:hAnsi="Times New Roman" w:cs="Times New Roman"/>
          <w:color w:val="auto"/>
          <w:sz w:val="24"/>
          <w:szCs w:val="24"/>
          <w:lang w:val="en-GB"/>
        </w:rPr>
        <w:t>Nerlinger</w:t>
      </w:r>
      <w:proofErr w:type="spellEnd"/>
      <w:r w:rsidRPr="00A03898">
        <w:rPr>
          <w:rFonts w:ascii="Times New Roman" w:hAnsi="Times New Roman" w:cs="Times New Roman"/>
          <w:color w:val="auto"/>
          <w:sz w:val="24"/>
          <w:szCs w:val="24"/>
          <w:lang w:val="en-GB"/>
        </w:rPr>
        <w:t xml:space="preserve"> 2000; </w:t>
      </w:r>
      <w:proofErr w:type="spellStart"/>
      <w:r w:rsidRPr="00A03898">
        <w:rPr>
          <w:rFonts w:ascii="Times New Roman" w:hAnsi="Times New Roman" w:cs="Times New Roman"/>
          <w:color w:val="auto"/>
          <w:sz w:val="24"/>
          <w:szCs w:val="24"/>
          <w:lang w:val="en-GB"/>
        </w:rPr>
        <w:t>H</w:t>
      </w:r>
      <w:r w:rsidRPr="00A03898">
        <w:rPr>
          <w:color w:val="auto"/>
          <w:lang w:val="en-GB"/>
        </w:rPr>
        <w:t>ö</w:t>
      </w:r>
      <w:r w:rsidRPr="00A03898">
        <w:rPr>
          <w:rFonts w:ascii="Times New Roman" w:hAnsi="Times New Roman" w:cs="Times New Roman"/>
          <w:color w:val="auto"/>
          <w:sz w:val="24"/>
          <w:szCs w:val="24"/>
          <w:lang w:val="en-GB"/>
        </w:rPr>
        <w:t>lzl</w:t>
      </w:r>
      <w:proofErr w:type="spellEnd"/>
      <w:r w:rsidRPr="00A03898">
        <w:rPr>
          <w:rFonts w:ascii="Times New Roman" w:hAnsi="Times New Roman" w:cs="Times New Roman"/>
          <w:color w:val="auto"/>
          <w:sz w:val="24"/>
          <w:szCs w:val="24"/>
          <w:lang w:val="en-GB"/>
        </w:rPr>
        <w:t xml:space="preserve"> 2009; Du and </w:t>
      </w:r>
      <w:proofErr w:type="spellStart"/>
      <w:r w:rsidRPr="00A03898">
        <w:rPr>
          <w:rFonts w:ascii="Times New Roman" w:hAnsi="Times New Roman" w:cs="Times New Roman"/>
          <w:color w:val="auto"/>
          <w:sz w:val="24"/>
          <w:szCs w:val="24"/>
          <w:lang w:val="en-GB"/>
        </w:rPr>
        <w:t>Temouri</w:t>
      </w:r>
      <w:proofErr w:type="spellEnd"/>
      <w:r w:rsidRPr="00A03898">
        <w:rPr>
          <w:rFonts w:ascii="Times New Roman" w:hAnsi="Times New Roman" w:cs="Times New Roman"/>
          <w:color w:val="auto"/>
          <w:sz w:val="24"/>
          <w:szCs w:val="24"/>
          <w:lang w:val="en-GB"/>
        </w:rPr>
        <w:t xml:space="preserve"> 2015; Segarra-</w:t>
      </w:r>
      <w:proofErr w:type="spellStart"/>
      <w:r w:rsidRPr="00A03898">
        <w:rPr>
          <w:rFonts w:ascii="Times New Roman" w:hAnsi="Times New Roman" w:cs="Times New Roman"/>
          <w:color w:val="auto"/>
          <w:sz w:val="24"/>
          <w:szCs w:val="24"/>
          <w:lang w:val="en-GB"/>
        </w:rPr>
        <w:t>Blasco</w:t>
      </w:r>
      <w:proofErr w:type="spellEnd"/>
      <w:r w:rsidRPr="00A03898">
        <w:rPr>
          <w:rFonts w:ascii="Times New Roman" w:hAnsi="Times New Roman" w:cs="Times New Roman"/>
          <w:color w:val="auto"/>
          <w:sz w:val="24"/>
          <w:szCs w:val="24"/>
          <w:lang w:val="en-GB"/>
        </w:rPr>
        <w:t xml:space="preserve"> et al. 2018). </w:t>
      </w:r>
    </w:p>
    <w:p w14:paraId="29B669A2" w14:textId="55FF30B6" w:rsidR="00A03898" w:rsidRDefault="00A03898" w:rsidP="00B705B4">
      <w:pPr>
        <w:pStyle w:val="Body"/>
        <w:spacing w:line="360" w:lineRule="auto"/>
        <w:ind w:firstLine="360"/>
        <w:jc w:val="both"/>
        <w:rPr>
          <w:rFonts w:ascii="Times New Roman" w:hAnsi="Times New Roman" w:cs="Times New Roman"/>
          <w:color w:val="auto"/>
          <w:sz w:val="24"/>
          <w:szCs w:val="24"/>
          <w:lang w:val="en-GB"/>
        </w:rPr>
      </w:pPr>
    </w:p>
    <w:p w14:paraId="54386CF3" w14:textId="77777777" w:rsidR="00A03898" w:rsidRPr="006A7D76" w:rsidRDefault="00A03898" w:rsidP="00A03898">
      <w:pPr>
        <w:pStyle w:val="Body"/>
        <w:spacing w:line="360" w:lineRule="auto"/>
        <w:jc w:val="both"/>
        <w:rPr>
          <w:rFonts w:ascii="Times New Roman" w:hAnsi="Times New Roman" w:cs="Times New Roman"/>
          <w:b/>
          <w:sz w:val="24"/>
          <w:szCs w:val="24"/>
          <w:lang w:val="en-GB"/>
        </w:rPr>
      </w:pPr>
      <w:r w:rsidRPr="00747780">
        <w:rPr>
          <w:rFonts w:ascii="Times New Roman" w:hAnsi="Times New Roman" w:cs="Times New Roman"/>
          <w:b/>
          <w:sz w:val="24"/>
          <w:szCs w:val="24"/>
          <w:lang w:val="en-GB"/>
        </w:rPr>
        <w:lastRenderedPageBreak/>
        <w:t>Fig.</w:t>
      </w:r>
      <w:r>
        <w:rPr>
          <w:rFonts w:ascii="Times New Roman" w:hAnsi="Times New Roman" w:cs="Times New Roman"/>
          <w:b/>
          <w:sz w:val="24"/>
          <w:szCs w:val="24"/>
          <w:lang w:val="en-GB"/>
        </w:rPr>
        <w:t xml:space="preserve"> 8 </w:t>
      </w:r>
      <w:r>
        <w:rPr>
          <w:rFonts w:ascii="Times New Roman" w:hAnsi="Times New Roman" w:cs="Times New Roman"/>
          <w:sz w:val="24"/>
          <w:szCs w:val="24"/>
          <w:lang w:val="en-GB"/>
        </w:rPr>
        <w:t>Mediating effect of technological intensity on start-up share EU exports and imports</w:t>
      </w:r>
    </w:p>
    <w:p w14:paraId="13B87F5F" w14:textId="77777777" w:rsidR="00A03898" w:rsidRDefault="00A03898" w:rsidP="00A03898">
      <w:pPr>
        <w:pStyle w:val="Body"/>
        <w:spacing w:line="360" w:lineRule="auto"/>
        <w:jc w:val="center"/>
        <w:rPr>
          <w:rFonts w:ascii="Times New Roman" w:hAnsi="Times New Roman" w:cs="Times New Roman"/>
          <w:sz w:val="24"/>
          <w:szCs w:val="24"/>
          <w:lang w:val="en-GB"/>
        </w:rPr>
      </w:pPr>
      <w:r>
        <w:rPr>
          <w:rFonts w:ascii="Times New Roman" w:hAnsi="Times New Roman" w:cs="Times New Roman"/>
          <w:noProof/>
          <w:sz w:val="24"/>
          <w:szCs w:val="24"/>
        </w:rPr>
        <w:drawing>
          <wp:inline distT="0" distB="0" distL="0" distR="0" wp14:anchorId="27FB11DE" wp14:editId="65E92785">
            <wp:extent cx="5029200" cy="3657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8.pdf"/>
                    <pic:cNvPicPr/>
                  </pic:nvPicPr>
                  <pic:blipFill>
                    <a:blip r:embed="rId18">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p>
    <w:p w14:paraId="321FD714" w14:textId="77777777" w:rsidR="00A03898" w:rsidRPr="008A5A40" w:rsidRDefault="00A03898" w:rsidP="00A03898">
      <w:pPr>
        <w:pStyle w:val="Body"/>
        <w:spacing w:line="360" w:lineRule="auto"/>
        <w:jc w:val="both"/>
        <w:rPr>
          <w:rFonts w:ascii="Times New Roman" w:hAnsi="Times New Roman" w:cs="Times New Roman"/>
          <w:b/>
          <w:sz w:val="24"/>
          <w:szCs w:val="24"/>
          <w:lang w:val="en-GB"/>
        </w:rPr>
      </w:pPr>
      <w:r w:rsidRPr="00747780">
        <w:rPr>
          <w:rFonts w:ascii="Times New Roman" w:hAnsi="Times New Roman" w:cs="Times New Roman"/>
          <w:b/>
          <w:sz w:val="24"/>
          <w:szCs w:val="24"/>
          <w:lang w:val="en-GB"/>
        </w:rPr>
        <w:t>Fig.</w:t>
      </w:r>
      <w:r>
        <w:rPr>
          <w:rFonts w:ascii="Times New Roman" w:hAnsi="Times New Roman" w:cs="Times New Roman"/>
          <w:b/>
          <w:sz w:val="24"/>
          <w:szCs w:val="24"/>
          <w:lang w:val="en-GB"/>
        </w:rPr>
        <w:t xml:space="preserve"> 9 </w:t>
      </w:r>
      <w:r>
        <w:rPr>
          <w:rFonts w:ascii="Times New Roman" w:hAnsi="Times New Roman" w:cs="Times New Roman"/>
          <w:sz w:val="24"/>
          <w:szCs w:val="24"/>
          <w:lang w:val="en-GB"/>
        </w:rPr>
        <w:t>Mediating effect of technological intensity on high-growth share - EU exports and imports</w:t>
      </w:r>
    </w:p>
    <w:p w14:paraId="0A8AF6BB" w14:textId="77777777" w:rsidR="00A03898" w:rsidRPr="00F2499B" w:rsidRDefault="00A03898" w:rsidP="00A03898">
      <w:pPr>
        <w:pStyle w:val="Body"/>
        <w:spacing w:line="360" w:lineRule="auto"/>
        <w:jc w:val="center"/>
        <w:rPr>
          <w:rFonts w:ascii="Times New Roman" w:hAnsi="Times New Roman" w:cs="Times New Roman"/>
          <w:sz w:val="24"/>
          <w:szCs w:val="24"/>
          <w:lang w:val="en-GB"/>
        </w:rPr>
      </w:pPr>
      <w:r>
        <w:rPr>
          <w:rFonts w:ascii="Times New Roman" w:hAnsi="Times New Roman" w:cs="Times New Roman"/>
          <w:noProof/>
          <w:sz w:val="24"/>
          <w:szCs w:val="24"/>
        </w:rPr>
        <w:drawing>
          <wp:inline distT="0" distB="0" distL="0" distR="0" wp14:anchorId="10281CF5" wp14:editId="6DEB9F3E">
            <wp:extent cx="5029200" cy="3657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9.pdf"/>
                    <pic:cNvPicPr/>
                  </pic:nvPicPr>
                  <pic:blipFill>
                    <a:blip r:embed="rId19">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p>
    <w:p w14:paraId="01A8FA5D" w14:textId="2CDEE7B1" w:rsidR="00722F92" w:rsidRPr="00A03898" w:rsidRDefault="00242ED9" w:rsidP="00722F92">
      <w:pPr>
        <w:pStyle w:val="Body"/>
        <w:spacing w:line="360" w:lineRule="auto"/>
        <w:ind w:firstLine="708"/>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lastRenderedPageBreak/>
        <w:t>Findings with respect to the effects on high-growth firms are in line with the earlier ones (Figure 9). In all specifications, the difference in the effects of trade on increase in share of high-growth firms is not statistically significant</w:t>
      </w:r>
      <w:r w:rsidR="00560F7C" w:rsidRPr="00A03898">
        <w:rPr>
          <w:rFonts w:ascii="Times New Roman" w:hAnsi="Times New Roman" w:cs="Times New Roman"/>
          <w:color w:val="auto"/>
          <w:sz w:val="24"/>
          <w:szCs w:val="24"/>
          <w:lang w:val="en-GB"/>
        </w:rPr>
        <w:t>, which</w:t>
      </w:r>
      <w:r w:rsidRPr="00A03898">
        <w:rPr>
          <w:rFonts w:ascii="Times New Roman" w:hAnsi="Times New Roman" w:cs="Times New Roman"/>
          <w:color w:val="auto"/>
          <w:sz w:val="24"/>
          <w:szCs w:val="24"/>
          <w:lang w:val="en-GB"/>
        </w:rPr>
        <w:t xml:space="preserve"> suggest</w:t>
      </w:r>
      <w:r w:rsidR="00560F7C" w:rsidRPr="00A03898">
        <w:rPr>
          <w:rFonts w:ascii="Times New Roman" w:hAnsi="Times New Roman" w:cs="Times New Roman"/>
          <w:color w:val="auto"/>
          <w:sz w:val="24"/>
          <w:szCs w:val="24"/>
          <w:lang w:val="en-GB"/>
        </w:rPr>
        <w:t>s</w:t>
      </w:r>
      <w:r w:rsidRPr="00A03898">
        <w:rPr>
          <w:rFonts w:ascii="Times New Roman" w:hAnsi="Times New Roman" w:cs="Times New Roman"/>
          <w:color w:val="auto"/>
          <w:sz w:val="24"/>
          <w:szCs w:val="24"/>
          <w:lang w:val="en-GB"/>
        </w:rPr>
        <w:t xml:space="preserve"> that </w:t>
      </w:r>
      <w:r w:rsidR="00560F7C"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 xml:space="preserve">benefits from trade detected in earlier parts of analysis are distributed across all subsectors of manufacturing regardless of their technological intensity. </w:t>
      </w:r>
      <w:r w:rsidR="008C4162" w:rsidRPr="00A03898">
        <w:rPr>
          <w:rFonts w:ascii="Times New Roman" w:hAnsi="Times New Roman" w:cs="Times New Roman"/>
          <w:color w:val="auto"/>
          <w:sz w:val="24"/>
          <w:szCs w:val="24"/>
          <w:lang w:val="en-GB"/>
        </w:rPr>
        <w:t xml:space="preserve">Almost identical findings can be observed when one </w:t>
      </w:r>
      <w:r w:rsidR="00D83A20" w:rsidRPr="00A03898">
        <w:rPr>
          <w:rFonts w:ascii="Times New Roman" w:hAnsi="Times New Roman" w:cs="Times New Roman"/>
          <w:color w:val="auto"/>
          <w:sz w:val="24"/>
          <w:szCs w:val="24"/>
          <w:lang w:val="en-GB"/>
        </w:rPr>
        <w:t>takes into account the</w:t>
      </w:r>
      <w:r w:rsidR="008C4162" w:rsidRPr="00A03898">
        <w:rPr>
          <w:rFonts w:ascii="Times New Roman" w:hAnsi="Times New Roman" w:cs="Times New Roman"/>
          <w:color w:val="auto"/>
          <w:sz w:val="24"/>
          <w:szCs w:val="24"/>
          <w:lang w:val="en-GB"/>
        </w:rPr>
        <w:t xml:space="preserve"> </w:t>
      </w:r>
      <w:r w:rsidR="00D10EDF" w:rsidRPr="00A03898">
        <w:rPr>
          <w:rFonts w:ascii="Times New Roman" w:hAnsi="Times New Roman" w:cs="Times New Roman"/>
          <w:color w:val="auto"/>
          <w:sz w:val="24"/>
          <w:szCs w:val="24"/>
          <w:lang w:val="en-GB"/>
        </w:rPr>
        <w:t>effect</w:t>
      </w:r>
      <w:r w:rsidR="008C4162" w:rsidRPr="00A03898">
        <w:rPr>
          <w:rFonts w:ascii="Times New Roman" w:hAnsi="Times New Roman" w:cs="Times New Roman"/>
          <w:color w:val="auto"/>
          <w:sz w:val="24"/>
          <w:szCs w:val="24"/>
          <w:lang w:val="en-GB"/>
        </w:rPr>
        <w:t xml:space="preserve"> of technological intensity and forward GVC participation since in all cases we do not find statistically significant differences in magnitude of effects between two groups of industries.</w:t>
      </w:r>
      <w:r w:rsidR="00722F92" w:rsidRPr="00A03898">
        <w:rPr>
          <w:rFonts w:ascii="Times New Roman" w:hAnsi="Times New Roman" w:cs="Times New Roman"/>
          <w:color w:val="auto"/>
          <w:sz w:val="24"/>
          <w:szCs w:val="24"/>
          <w:lang w:val="en-GB"/>
        </w:rPr>
        <w:t xml:space="preserve"> In all three groupings of countries we observe positive effects of forward GVC integration on start-ups and high growth firms but the differences between two groups of industries are not statistically significant (Figure 10). It appears that </w:t>
      </w:r>
      <w:r w:rsidR="006669AF" w:rsidRPr="00A03898">
        <w:rPr>
          <w:rFonts w:ascii="Times New Roman" w:hAnsi="Times New Roman" w:cs="Times New Roman"/>
          <w:color w:val="auto"/>
          <w:sz w:val="24"/>
          <w:szCs w:val="24"/>
          <w:lang w:val="en-GB"/>
        </w:rPr>
        <w:t>advancing up the</w:t>
      </w:r>
      <w:r w:rsidR="00722F92" w:rsidRPr="00A03898">
        <w:rPr>
          <w:rFonts w:ascii="Times New Roman" w:hAnsi="Times New Roman" w:cs="Times New Roman"/>
          <w:color w:val="auto"/>
          <w:sz w:val="24"/>
          <w:szCs w:val="24"/>
          <w:lang w:val="en-GB"/>
        </w:rPr>
        <w:t xml:space="preserve"> value chains of industries that formed </w:t>
      </w:r>
      <w:r w:rsidR="006669AF" w:rsidRPr="00A03898">
        <w:rPr>
          <w:rFonts w:ascii="Times New Roman" w:hAnsi="Times New Roman" w:cs="Times New Roman"/>
          <w:color w:val="auto"/>
          <w:sz w:val="24"/>
          <w:szCs w:val="24"/>
          <w:lang w:val="en-GB"/>
        </w:rPr>
        <w:t xml:space="preserve">the </w:t>
      </w:r>
      <w:r w:rsidR="00722F92" w:rsidRPr="00A03898">
        <w:rPr>
          <w:rFonts w:ascii="Times New Roman" w:hAnsi="Times New Roman" w:cs="Times New Roman"/>
          <w:color w:val="auto"/>
          <w:sz w:val="24"/>
          <w:szCs w:val="24"/>
          <w:lang w:val="en-GB"/>
        </w:rPr>
        <w:t xml:space="preserve">basis </w:t>
      </w:r>
      <w:r w:rsidR="006669AF" w:rsidRPr="00A03898">
        <w:rPr>
          <w:rFonts w:ascii="Times New Roman" w:hAnsi="Times New Roman" w:cs="Times New Roman"/>
          <w:color w:val="auto"/>
          <w:sz w:val="24"/>
          <w:szCs w:val="24"/>
          <w:lang w:val="en-GB"/>
        </w:rPr>
        <w:t>for</w:t>
      </w:r>
      <w:r w:rsidR="00722F92" w:rsidRPr="00A03898">
        <w:rPr>
          <w:rFonts w:ascii="Times New Roman" w:hAnsi="Times New Roman" w:cs="Times New Roman"/>
          <w:color w:val="auto"/>
          <w:sz w:val="24"/>
          <w:szCs w:val="24"/>
          <w:lang w:val="en-GB"/>
        </w:rPr>
        <w:t xml:space="preserve"> the early development of CEE during 1990s and 2000s creates more opportunities for entry</w:t>
      </w:r>
      <w:r w:rsidR="00722F92" w:rsidRPr="00A03898">
        <w:rPr>
          <w:rStyle w:val="FootnoteReference"/>
          <w:rFonts w:ascii="Times New Roman" w:hAnsi="Times New Roman" w:cs="Times New Roman"/>
          <w:color w:val="auto"/>
          <w:sz w:val="24"/>
          <w:szCs w:val="24"/>
          <w:lang w:val="en-GB"/>
        </w:rPr>
        <w:footnoteReference w:id="2"/>
      </w:r>
      <w:r w:rsidR="00722F92" w:rsidRPr="00A03898">
        <w:rPr>
          <w:rFonts w:ascii="Times New Roman" w:hAnsi="Times New Roman" w:cs="Times New Roman"/>
          <w:color w:val="auto"/>
          <w:sz w:val="24"/>
          <w:szCs w:val="24"/>
          <w:lang w:val="en-GB"/>
        </w:rPr>
        <w:t xml:space="preserve">. </w:t>
      </w:r>
    </w:p>
    <w:p w14:paraId="732F338E" w14:textId="77777777" w:rsidR="00A03898" w:rsidRDefault="00A03898" w:rsidP="00A03898">
      <w:pPr>
        <w:pStyle w:val="Body"/>
        <w:spacing w:line="360" w:lineRule="auto"/>
        <w:jc w:val="both"/>
        <w:rPr>
          <w:rFonts w:ascii="Times New Roman" w:hAnsi="Times New Roman" w:cs="Times New Roman"/>
          <w:sz w:val="24"/>
          <w:szCs w:val="24"/>
          <w:lang w:val="en-GB"/>
        </w:rPr>
      </w:pPr>
      <w:r w:rsidRPr="00747780">
        <w:rPr>
          <w:rFonts w:ascii="Times New Roman" w:hAnsi="Times New Roman" w:cs="Times New Roman"/>
          <w:b/>
          <w:sz w:val="24"/>
          <w:szCs w:val="24"/>
          <w:lang w:val="en-GB"/>
        </w:rPr>
        <w:t>Fig.</w:t>
      </w:r>
      <w:r>
        <w:rPr>
          <w:rFonts w:ascii="Times New Roman" w:hAnsi="Times New Roman" w:cs="Times New Roman"/>
          <w:b/>
          <w:sz w:val="24"/>
          <w:szCs w:val="24"/>
          <w:lang w:val="en-GB"/>
        </w:rPr>
        <w:t xml:space="preserve"> 10 </w:t>
      </w:r>
      <w:r>
        <w:rPr>
          <w:rFonts w:ascii="Times New Roman" w:hAnsi="Times New Roman" w:cs="Times New Roman"/>
          <w:sz w:val="24"/>
          <w:szCs w:val="24"/>
          <w:lang w:val="en-GB"/>
        </w:rPr>
        <w:t>Mediating effect of technological intensity on firm start-ups and high-growth shares from EU forward GVC participation</w:t>
      </w:r>
    </w:p>
    <w:p w14:paraId="74D9C738" w14:textId="77777777" w:rsidR="00A03898" w:rsidRPr="00F2499B" w:rsidRDefault="00A03898" w:rsidP="00A03898">
      <w:pPr>
        <w:pStyle w:val="Body"/>
        <w:spacing w:line="360" w:lineRule="auto"/>
        <w:jc w:val="center"/>
        <w:rPr>
          <w:rFonts w:ascii="Times New Roman" w:hAnsi="Times New Roman" w:cs="Times New Roman"/>
          <w:sz w:val="24"/>
          <w:szCs w:val="24"/>
          <w:lang w:val="en-GB"/>
        </w:rPr>
      </w:pPr>
      <w:r>
        <w:rPr>
          <w:rFonts w:ascii="Times New Roman" w:hAnsi="Times New Roman" w:cs="Times New Roman"/>
          <w:noProof/>
          <w:sz w:val="24"/>
          <w:szCs w:val="24"/>
        </w:rPr>
        <w:drawing>
          <wp:inline distT="0" distB="0" distL="0" distR="0" wp14:anchorId="61BC9A44" wp14:editId="1B770456">
            <wp:extent cx="4567646" cy="3321924"/>
            <wp:effectExtent l="0" t="0" r="4445"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10.pdf"/>
                    <pic:cNvPicPr/>
                  </pic:nvPicPr>
                  <pic:blipFill>
                    <a:blip r:embed="rId20">
                      <a:extLst>
                        <a:ext uri="{28A0092B-C50C-407E-A947-70E740481C1C}">
                          <a14:useLocalDpi xmlns:a14="http://schemas.microsoft.com/office/drawing/2010/main" val="0"/>
                        </a:ext>
                      </a:extLst>
                    </a:blip>
                    <a:stretch>
                      <a:fillRect/>
                    </a:stretch>
                  </pic:blipFill>
                  <pic:spPr>
                    <a:xfrm>
                      <a:off x="0" y="0"/>
                      <a:ext cx="4575019" cy="3327286"/>
                    </a:xfrm>
                    <a:prstGeom prst="rect">
                      <a:avLst/>
                    </a:prstGeom>
                  </pic:spPr>
                </pic:pic>
              </a:graphicData>
            </a:graphic>
          </wp:inline>
        </w:drawing>
      </w:r>
    </w:p>
    <w:p w14:paraId="50DDD5CF" w14:textId="77777777" w:rsidR="00A03898" w:rsidRDefault="00A03898" w:rsidP="00A03898">
      <w:pPr>
        <w:pStyle w:val="Body"/>
        <w:spacing w:line="360" w:lineRule="auto"/>
        <w:jc w:val="both"/>
        <w:rPr>
          <w:rFonts w:ascii="Times New Roman" w:hAnsi="Times New Roman" w:cs="Times New Roman"/>
          <w:b/>
          <w:sz w:val="24"/>
          <w:szCs w:val="24"/>
          <w:lang w:val="en-GB"/>
        </w:rPr>
      </w:pPr>
    </w:p>
    <w:p w14:paraId="5985C98D" w14:textId="69604774" w:rsidR="00A03898" w:rsidRDefault="00A03898" w:rsidP="00A03898">
      <w:pPr>
        <w:pStyle w:val="Body"/>
        <w:spacing w:line="360" w:lineRule="auto"/>
        <w:jc w:val="both"/>
        <w:rPr>
          <w:rFonts w:ascii="Times New Roman" w:hAnsi="Times New Roman" w:cs="Times New Roman"/>
          <w:sz w:val="24"/>
          <w:szCs w:val="24"/>
          <w:lang w:val="en-GB"/>
        </w:rPr>
      </w:pPr>
      <w:r w:rsidRPr="00747780">
        <w:rPr>
          <w:rFonts w:ascii="Times New Roman" w:hAnsi="Times New Roman" w:cs="Times New Roman"/>
          <w:b/>
          <w:sz w:val="24"/>
          <w:szCs w:val="24"/>
          <w:lang w:val="en-GB"/>
        </w:rPr>
        <w:lastRenderedPageBreak/>
        <w:t>Fig.</w:t>
      </w:r>
      <w:r>
        <w:rPr>
          <w:rFonts w:ascii="Times New Roman" w:hAnsi="Times New Roman" w:cs="Times New Roman"/>
          <w:b/>
          <w:sz w:val="24"/>
          <w:szCs w:val="24"/>
          <w:lang w:val="en-GB"/>
        </w:rPr>
        <w:t xml:space="preserve"> 11 </w:t>
      </w:r>
      <w:r>
        <w:rPr>
          <w:rFonts w:ascii="Times New Roman" w:hAnsi="Times New Roman" w:cs="Times New Roman"/>
          <w:sz w:val="24"/>
          <w:szCs w:val="24"/>
          <w:lang w:val="en-GB"/>
        </w:rPr>
        <w:t>Mediating effect of technological intensity on firm start-ups and high-growth shares EU backward GVC participation</w:t>
      </w:r>
    </w:p>
    <w:p w14:paraId="7C920E99" w14:textId="77777777" w:rsidR="00A03898" w:rsidRDefault="00A03898" w:rsidP="00A03898">
      <w:pPr>
        <w:pStyle w:val="Body"/>
        <w:spacing w:line="360" w:lineRule="auto"/>
        <w:jc w:val="center"/>
        <w:rPr>
          <w:rFonts w:ascii="Times New Roman" w:hAnsi="Times New Roman" w:cs="Times New Roman"/>
          <w:sz w:val="24"/>
          <w:szCs w:val="24"/>
          <w:lang w:val="en-GB"/>
        </w:rPr>
      </w:pPr>
      <w:r>
        <w:rPr>
          <w:rFonts w:ascii="Times New Roman" w:hAnsi="Times New Roman" w:cs="Times New Roman"/>
          <w:noProof/>
          <w:sz w:val="24"/>
          <w:szCs w:val="24"/>
        </w:rPr>
        <w:drawing>
          <wp:inline distT="0" distB="0" distL="0" distR="0" wp14:anchorId="0A46ECC9" wp14:editId="5DF68F65">
            <wp:extent cx="5029200" cy="3657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11.pdf"/>
                    <pic:cNvPicPr/>
                  </pic:nvPicPr>
                  <pic:blipFill>
                    <a:blip r:embed="rId21">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p>
    <w:p w14:paraId="0674CDB1" w14:textId="757EF220" w:rsidR="004B7FB9" w:rsidRPr="00A03898" w:rsidRDefault="004972E7" w:rsidP="00B0096B">
      <w:pPr>
        <w:pStyle w:val="Body"/>
        <w:spacing w:line="360" w:lineRule="auto"/>
        <w:ind w:firstLine="360"/>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T</w:t>
      </w:r>
      <w:r w:rsidR="00CB6F7B" w:rsidRPr="00A03898">
        <w:rPr>
          <w:rFonts w:ascii="Times New Roman" w:hAnsi="Times New Roman" w:cs="Times New Roman"/>
          <w:color w:val="auto"/>
          <w:sz w:val="24"/>
          <w:szCs w:val="24"/>
          <w:lang w:val="en-GB"/>
        </w:rPr>
        <w:t xml:space="preserve">he </w:t>
      </w:r>
      <w:r w:rsidR="00C2591A" w:rsidRPr="00A03898">
        <w:rPr>
          <w:rFonts w:ascii="Times New Roman" w:hAnsi="Times New Roman" w:cs="Times New Roman"/>
          <w:color w:val="auto"/>
          <w:sz w:val="24"/>
          <w:szCs w:val="24"/>
          <w:lang w:val="en-GB"/>
        </w:rPr>
        <w:t xml:space="preserve">last part of this section </w:t>
      </w:r>
      <w:r w:rsidRPr="00A03898">
        <w:rPr>
          <w:rFonts w:ascii="Times New Roman" w:hAnsi="Times New Roman" w:cs="Times New Roman"/>
          <w:color w:val="auto"/>
          <w:sz w:val="24"/>
          <w:szCs w:val="24"/>
          <w:lang w:val="en-GB"/>
        </w:rPr>
        <w:t>pertains to</w:t>
      </w:r>
      <w:r w:rsidR="00C2591A" w:rsidRPr="00A03898">
        <w:rPr>
          <w:rFonts w:ascii="Times New Roman" w:hAnsi="Times New Roman" w:cs="Times New Roman"/>
          <w:color w:val="auto"/>
          <w:sz w:val="24"/>
          <w:szCs w:val="24"/>
          <w:lang w:val="en-GB"/>
        </w:rPr>
        <w:t xml:space="preserve"> the role of technological intensity in backward GVC participation</w:t>
      </w:r>
      <w:r w:rsidR="005C22CE" w:rsidRPr="00A03898">
        <w:rPr>
          <w:rFonts w:ascii="Times New Roman" w:hAnsi="Times New Roman" w:cs="Times New Roman"/>
          <w:color w:val="auto"/>
          <w:sz w:val="24"/>
          <w:szCs w:val="24"/>
          <w:lang w:val="en-GB"/>
        </w:rPr>
        <w:t xml:space="preserve"> (Figure 11)</w:t>
      </w:r>
      <w:r w:rsidR="00C2591A" w:rsidRPr="00A03898">
        <w:rPr>
          <w:rFonts w:ascii="Times New Roman" w:hAnsi="Times New Roman" w:cs="Times New Roman"/>
          <w:color w:val="auto"/>
          <w:sz w:val="24"/>
          <w:szCs w:val="24"/>
          <w:lang w:val="en-GB"/>
        </w:rPr>
        <w:t xml:space="preserve">. </w:t>
      </w:r>
      <w:r w:rsidR="004B7FB9" w:rsidRPr="00A03898">
        <w:rPr>
          <w:rFonts w:ascii="Times New Roman" w:hAnsi="Times New Roman" w:cs="Times New Roman"/>
          <w:color w:val="auto"/>
          <w:sz w:val="24"/>
          <w:szCs w:val="24"/>
          <w:lang w:val="en-GB"/>
        </w:rPr>
        <w:t xml:space="preserve">The interaction between technological intensity and backward GVC integration measure makes latter measure statistically significant. Findings for high growth firms are significant across all three specifications but those on start-ups are somewhat different from earlier ones. Effects of backward integration within EU28 and EU13 on start-ups seem to work only in industries with deeper backward GVC integration (above 50% of foreign value embodied in domestic gross exports) while the opposite is the case with EU15 backward integration. It follows that early integration in EU value chains provided CEE firms with scale effects and knowledge and skills advantages that enabled increase in the share of start-ups. However, at higher levels of integration, it is collaboration among firms within new EU member states that creates new business opportunities while </w:t>
      </w:r>
      <w:r w:rsidR="0049155D" w:rsidRPr="00A03898">
        <w:rPr>
          <w:rFonts w:ascii="Times New Roman" w:hAnsi="Times New Roman" w:cs="Times New Roman"/>
          <w:color w:val="auto"/>
          <w:sz w:val="24"/>
          <w:szCs w:val="24"/>
          <w:lang w:val="en-GB"/>
        </w:rPr>
        <w:t xml:space="preserve">the </w:t>
      </w:r>
      <w:r w:rsidR="004B7FB9" w:rsidRPr="00A03898">
        <w:rPr>
          <w:rFonts w:ascii="Times New Roman" w:hAnsi="Times New Roman" w:cs="Times New Roman"/>
          <w:color w:val="auto"/>
          <w:sz w:val="24"/>
          <w:szCs w:val="24"/>
          <w:lang w:val="en-GB"/>
        </w:rPr>
        <w:t xml:space="preserve">effects of “old” EU member states become statistically insignificant. Finally, as </w:t>
      </w:r>
      <w:r w:rsidR="0049155D" w:rsidRPr="00A03898">
        <w:rPr>
          <w:rFonts w:ascii="Times New Roman" w:hAnsi="Times New Roman" w:cs="Times New Roman"/>
          <w:color w:val="auto"/>
          <w:sz w:val="24"/>
          <w:szCs w:val="24"/>
          <w:lang w:val="en-GB"/>
        </w:rPr>
        <w:t xml:space="preserve">in </w:t>
      </w:r>
      <w:r w:rsidR="004B7FB9" w:rsidRPr="00A03898">
        <w:rPr>
          <w:rFonts w:ascii="Times New Roman" w:hAnsi="Times New Roman" w:cs="Times New Roman"/>
          <w:color w:val="auto"/>
          <w:sz w:val="24"/>
          <w:szCs w:val="24"/>
          <w:lang w:val="en-GB"/>
        </w:rPr>
        <w:t>previous</w:t>
      </w:r>
      <w:r w:rsidR="0049155D" w:rsidRPr="00A03898">
        <w:rPr>
          <w:rFonts w:ascii="Times New Roman" w:hAnsi="Times New Roman" w:cs="Times New Roman"/>
          <w:color w:val="auto"/>
          <w:sz w:val="24"/>
          <w:szCs w:val="24"/>
          <w:lang w:val="en-GB"/>
        </w:rPr>
        <w:t xml:space="preserve"> </w:t>
      </w:r>
      <w:proofErr w:type="gramStart"/>
      <w:r w:rsidR="0049155D" w:rsidRPr="00A03898">
        <w:rPr>
          <w:rFonts w:ascii="Times New Roman" w:hAnsi="Times New Roman" w:cs="Times New Roman"/>
          <w:color w:val="auto"/>
          <w:sz w:val="24"/>
          <w:szCs w:val="24"/>
          <w:lang w:val="en-GB"/>
        </w:rPr>
        <w:t xml:space="preserve">sections, </w:t>
      </w:r>
      <w:r w:rsidR="00F44348" w:rsidRPr="00A03898">
        <w:rPr>
          <w:rFonts w:ascii="Times New Roman" w:hAnsi="Times New Roman" w:cs="Times New Roman"/>
          <w:color w:val="auto"/>
          <w:sz w:val="24"/>
          <w:szCs w:val="24"/>
          <w:lang w:val="en-GB"/>
        </w:rPr>
        <w:t xml:space="preserve"> </w:t>
      </w:r>
      <w:r w:rsidR="004B7FB9" w:rsidRPr="00A03898">
        <w:rPr>
          <w:rFonts w:ascii="Times New Roman" w:hAnsi="Times New Roman" w:cs="Times New Roman"/>
          <w:color w:val="auto"/>
          <w:sz w:val="24"/>
          <w:szCs w:val="24"/>
          <w:lang w:val="en-GB"/>
        </w:rPr>
        <w:t xml:space="preserve"> </w:t>
      </w:r>
      <w:proofErr w:type="gramEnd"/>
      <w:r w:rsidR="004B7FB9" w:rsidRPr="00A03898">
        <w:rPr>
          <w:rFonts w:ascii="Times New Roman" w:hAnsi="Times New Roman" w:cs="Times New Roman"/>
          <w:color w:val="auto"/>
          <w:sz w:val="24"/>
          <w:szCs w:val="24"/>
          <w:lang w:val="en-GB"/>
        </w:rPr>
        <w:t xml:space="preserve">we do not detect statistically significant differences between industries of different technological intensity. </w:t>
      </w:r>
    </w:p>
    <w:p w14:paraId="6AE41E71" w14:textId="41A546D4" w:rsidR="00115ACC" w:rsidRPr="00A03898" w:rsidRDefault="008313BE" w:rsidP="00E56A0E">
      <w:pPr>
        <w:pStyle w:val="Body"/>
        <w:numPr>
          <w:ilvl w:val="1"/>
          <w:numId w:val="5"/>
        </w:numPr>
        <w:spacing w:line="360" w:lineRule="auto"/>
        <w:rPr>
          <w:rFonts w:ascii="Times New Roman" w:hAnsi="Times New Roman" w:cs="Times New Roman"/>
          <w:i/>
          <w:iCs/>
          <w:color w:val="auto"/>
          <w:sz w:val="24"/>
          <w:szCs w:val="24"/>
          <w:lang w:val="en-GB"/>
        </w:rPr>
      </w:pPr>
      <w:r w:rsidRPr="00A03898">
        <w:rPr>
          <w:rFonts w:ascii="Times New Roman" w:hAnsi="Times New Roman" w:cs="Times New Roman"/>
          <w:i/>
          <w:iCs/>
          <w:color w:val="auto"/>
          <w:sz w:val="24"/>
          <w:szCs w:val="24"/>
          <w:lang w:val="en-GB"/>
        </w:rPr>
        <w:t>Timing of entry effect</w:t>
      </w:r>
    </w:p>
    <w:p w14:paraId="6250F3E4" w14:textId="1C0458CD" w:rsidR="00540FBE" w:rsidRPr="00A03898" w:rsidRDefault="003F708B" w:rsidP="00FA6584">
      <w:pPr>
        <w:pStyle w:val="Body"/>
        <w:spacing w:line="360" w:lineRule="auto"/>
        <w:ind w:firstLine="360"/>
        <w:jc w:val="both"/>
        <w:rPr>
          <w:rFonts w:ascii="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 xml:space="preserve">Discussions of previous sections have </w:t>
      </w:r>
      <w:r w:rsidR="00B0096B" w:rsidRPr="00A03898">
        <w:rPr>
          <w:rFonts w:ascii="Times New Roman" w:hAnsi="Times New Roman" w:cs="Times New Roman"/>
          <w:color w:val="auto"/>
          <w:sz w:val="24"/>
          <w:szCs w:val="24"/>
          <w:lang w:val="en-GB"/>
        </w:rPr>
        <w:t>indicated</w:t>
      </w:r>
      <w:r w:rsidRPr="00A03898">
        <w:rPr>
          <w:rFonts w:ascii="Times New Roman" w:hAnsi="Times New Roman" w:cs="Times New Roman"/>
          <w:color w:val="auto"/>
          <w:sz w:val="24"/>
          <w:szCs w:val="24"/>
          <w:lang w:val="en-GB"/>
        </w:rPr>
        <w:t xml:space="preserve"> that benefits from intra-EU trade and GVC participation may not be evenly distributed among economies that entered integration at </w:t>
      </w:r>
      <w:r w:rsidRPr="00A03898">
        <w:rPr>
          <w:rFonts w:ascii="Times New Roman" w:hAnsi="Times New Roman" w:cs="Times New Roman"/>
          <w:color w:val="auto"/>
          <w:sz w:val="24"/>
          <w:szCs w:val="24"/>
          <w:lang w:val="en-GB"/>
        </w:rPr>
        <w:lastRenderedPageBreak/>
        <w:t xml:space="preserve">different points in time. Early entrants may have </w:t>
      </w:r>
      <w:r w:rsidR="001F320D" w:rsidRPr="00A03898">
        <w:rPr>
          <w:rFonts w:ascii="Times New Roman" w:hAnsi="Times New Roman" w:cs="Times New Roman"/>
          <w:color w:val="auto"/>
          <w:sz w:val="24"/>
          <w:szCs w:val="24"/>
          <w:lang w:val="en-GB"/>
        </w:rPr>
        <w:t xml:space="preserve">the </w:t>
      </w:r>
      <w:r w:rsidR="00B0096B" w:rsidRPr="00A03898">
        <w:rPr>
          <w:rFonts w:ascii="Times New Roman" w:hAnsi="Times New Roman" w:cs="Times New Roman"/>
          <w:color w:val="auto"/>
          <w:sz w:val="24"/>
          <w:szCs w:val="24"/>
          <w:lang w:val="en-GB"/>
        </w:rPr>
        <w:t>first mover advantages</w:t>
      </w:r>
      <w:r w:rsidRPr="00A03898">
        <w:rPr>
          <w:rFonts w:ascii="Times New Roman" w:hAnsi="Times New Roman" w:cs="Times New Roman"/>
          <w:color w:val="auto"/>
          <w:sz w:val="24"/>
          <w:szCs w:val="24"/>
          <w:lang w:val="en-GB"/>
        </w:rPr>
        <w:t xml:space="preserve"> </w:t>
      </w:r>
      <w:r w:rsidR="00246A3D" w:rsidRPr="00A03898">
        <w:rPr>
          <w:rFonts w:ascii="Times New Roman" w:hAnsi="Times New Roman" w:cs="Times New Roman"/>
          <w:color w:val="auto"/>
          <w:sz w:val="24"/>
          <w:szCs w:val="24"/>
          <w:lang w:val="en-GB"/>
        </w:rPr>
        <w:t xml:space="preserve">for </w:t>
      </w:r>
      <w:r w:rsidRPr="00A03898">
        <w:rPr>
          <w:rFonts w:ascii="Times New Roman" w:hAnsi="Times New Roman" w:cs="Times New Roman"/>
          <w:color w:val="auto"/>
          <w:sz w:val="24"/>
          <w:szCs w:val="24"/>
          <w:lang w:val="en-GB"/>
        </w:rPr>
        <w:t>integration in production networks with other members of integration</w:t>
      </w:r>
      <w:r w:rsidR="00CB6F7B" w:rsidRPr="00A03898">
        <w:rPr>
          <w:rFonts w:ascii="Times New Roman" w:hAnsi="Times New Roman" w:cs="Times New Roman"/>
          <w:color w:val="auto"/>
          <w:sz w:val="24"/>
          <w:szCs w:val="24"/>
          <w:lang w:val="en-GB"/>
        </w:rPr>
        <w:t xml:space="preserve"> and </w:t>
      </w:r>
      <w:r w:rsidRPr="00A03898">
        <w:rPr>
          <w:rFonts w:ascii="Times New Roman" w:hAnsi="Times New Roman" w:cs="Times New Roman"/>
          <w:color w:val="auto"/>
          <w:sz w:val="24"/>
          <w:szCs w:val="24"/>
          <w:lang w:val="en-GB"/>
        </w:rPr>
        <w:t xml:space="preserve">in </w:t>
      </w:r>
      <w:r w:rsidR="00B0096B"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penetration of other members’ markets. Finally, early access provides initial advantage in terms of knowledge and technology spillovers for indigenous economy. It can be thus expected that gains from integration be more directed towards industries in countries that were first to enter EU. To explore this issue</w:t>
      </w:r>
      <w:r w:rsidR="00577982" w:rsidRPr="00A03898">
        <w:rPr>
          <w:rFonts w:ascii="Times New Roman" w:hAnsi="Times New Roman" w:cs="Times New Roman"/>
          <w:color w:val="auto"/>
          <w:sz w:val="24"/>
          <w:szCs w:val="24"/>
          <w:lang w:val="en-GB"/>
        </w:rPr>
        <w:t>,</w:t>
      </w:r>
      <w:r w:rsidRPr="00A03898">
        <w:rPr>
          <w:rFonts w:ascii="Times New Roman" w:hAnsi="Times New Roman" w:cs="Times New Roman"/>
          <w:color w:val="auto"/>
          <w:sz w:val="24"/>
          <w:szCs w:val="24"/>
          <w:lang w:val="en-GB"/>
        </w:rPr>
        <w:t xml:space="preserve"> we next look into </w:t>
      </w:r>
      <w:r w:rsidR="00430AC2"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 xml:space="preserve">mediating effects of timing of EU </w:t>
      </w:r>
      <w:r w:rsidR="00B0096B" w:rsidRPr="00A03898">
        <w:rPr>
          <w:rFonts w:ascii="Times New Roman" w:hAnsi="Times New Roman" w:cs="Times New Roman"/>
          <w:color w:val="auto"/>
          <w:sz w:val="24"/>
          <w:szCs w:val="24"/>
          <w:lang w:val="en-GB"/>
        </w:rPr>
        <w:t>admission</w:t>
      </w:r>
      <w:r w:rsidRPr="00A03898">
        <w:rPr>
          <w:rFonts w:ascii="Times New Roman" w:hAnsi="Times New Roman" w:cs="Times New Roman"/>
          <w:color w:val="auto"/>
          <w:sz w:val="24"/>
          <w:szCs w:val="24"/>
          <w:lang w:val="en-GB"/>
        </w:rPr>
        <w:t xml:space="preserve"> on firm entry and growth shares. For this reason, </w:t>
      </w:r>
      <w:r w:rsidR="0088721D" w:rsidRPr="00A03898">
        <w:rPr>
          <w:rFonts w:ascii="Times New Roman" w:hAnsi="Times New Roman" w:cs="Times New Roman"/>
          <w:color w:val="auto"/>
          <w:sz w:val="24"/>
          <w:szCs w:val="24"/>
          <w:lang w:val="en-GB"/>
        </w:rPr>
        <w:t>dummy</w:t>
      </w:r>
      <w:r w:rsidR="009D157A" w:rsidRPr="00A03898">
        <w:rPr>
          <w:rFonts w:ascii="Times New Roman" w:hAnsi="Times New Roman" w:cs="Times New Roman"/>
          <w:color w:val="auto"/>
          <w:sz w:val="24"/>
          <w:szCs w:val="24"/>
          <w:lang w:val="en-GB"/>
        </w:rPr>
        <w:t xml:space="preserve"> variables for groups of countries (</w:t>
      </w:r>
      <w:proofErr w:type="spellStart"/>
      <w:r w:rsidR="009D157A" w:rsidRPr="00A03898">
        <w:rPr>
          <w:rFonts w:ascii="Times New Roman" w:hAnsi="Times New Roman" w:cs="Times New Roman"/>
          <w:color w:val="auto"/>
          <w:sz w:val="24"/>
          <w:szCs w:val="24"/>
          <w:lang w:val="en-GB"/>
        </w:rPr>
        <w:t>Visegrad</w:t>
      </w:r>
      <w:proofErr w:type="spellEnd"/>
      <w:r w:rsidR="009D157A" w:rsidRPr="00A03898">
        <w:rPr>
          <w:rFonts w:ascii="Times New Roman" w:hAnsi="Times New Roman" w:cs="Times New Roman"/>
          <w:color w:val="auto"/>
          <w:sz w:val="24"/>
          <w:szCs w:val="24"/>
          <w:lang w:val="en-GB"/>
        </w:rPr>
        <w:t xml:space="preserve"> and Baltic countries) are replaced with </w:t>
      </w:r>
      <w:r w:rsidR="0088721D" w:rsidRPr="00A03898">
        <w:rPr>
          <w:rFonts w:ascii="Times New Roman" w:hAnsi="Times New Roman" w:cs="Times New Roman"/>
          <w:color w:val="auto"/>
          <w:sz w:val="24"/>
          <w:szCs w:val="24"/>
          <w:lang w:val="en-GB"/>
        </w:rPr>
        <w:t xml:space="preserve">dummy </w:t>
      </w:r>
      <w:r w:rsidRPr="00A03898">
        <w:rPr>
          <w:rFonts w:ascii="Times New Roman" w:hAnsi="Times New Roman" w:cs="Times New Roman"/>
          <w:color w:val="auto"/>
          <w:sz w:val="24"/>
          <w:szCs w:val="24"/>
          <w:lang w:val="en-GB"/>
        </w:rPr>
        <w:t xml:space="preserve">variables controlling for three groups of countries, group of countries that </w:t>
      </w:r>
      <w:r w:rsidR="00430AC2" w:rsidRPr="00A03898">
        <w:rPr>
          <w:rFonts w:ascii="Times New Roman" w:hAnsi="Times New Roman" w:cs="Times New Roman"/>
          <w:color w:val="auto"/>
          <w:sz w:val="24"/>
          <w:szCs w:val="24"/>
          <w:lang w:val="en-GB"/>
        </w:rPr>
        <w:t>joined</w:t>
      </w:r>
      <w:r w:rsidRPr="00A03898">
        <w:rPr>
          <w:rFonts w:ascii="Times New Roman" w:hAnsi="Times New Roman" w:cs="Times New Roman"/>
          <w:color w:val="auto"/>
          <w:sz w:val="24"/>
          <w:szCs w:val="24"/>
          <w:lang w:val="en-GB"/>
        </w:rPr>
        <w:t xml:space="preserve"> </w:t>
      </w:r>
      <w:r w:rsidR="00430AC2" w:rsidRPr="00A03898">
        <w:rPr>
          <w:rFonts w:ascii="Times New Roman" w:hAnsi="Times New Roman" w:cs="Times New Roman"/>
          <w:color w:val="auto"/>
          <w:sz w:val="24"/>
          <w:szCs w:val="24"/>
          <w:lang w:val="en-GB"/>
        </w:rPr>
        <w:t xml:space="preserve">the </w:t>
      </w:r>
      <w:r w:rsidRPr="00A03898">
        <w:rPr>
          <w:rFonts w:ascii="Times New Roman" w:hAnsi="Times New Roman" w:cs="Times New Roman"/>
          <w:color w:val="auto"/>
          <w:sz w:val="24"/>
          <w:szCs w:val="24"/>
          <w:lang w:val="en-GB"/>
        </w:rPr>
        <w:t xml:space="preserve">EU in 2004, </w:t>
      </w:r>
      <w:r w:rsidR="00430AC2" w:rsidRPr="00A03898">
        <w:rPr>
          <w:rFonts w:ascii="Times New Roman" w:hAnsi="Times New Roman" w:cs="Times New Roman"/>
          <w:color w:val="auto"/>
          <w:sz w:val="24"/>
          <w:szCs w:val="24"/>
          <w:lang w:val="en-GB"/>
        </w:rPr>
        <w:t xml:space="preserve">then </w:t>
      </w:r>
      <w:r w:rsidRPr="00A03898">
        <w:rPr>
          <w:rFonts w:ascii="Times New Roman" w:hAnsi="Times New Roman" w:cs="Times New Roman"/>
          <w:color w:val="auto"/>
          <w:sz w:val="24"/>
          <w:szCs w:val="24"/>
          <w:lang w:val="en-GB"/>
        </w:rPr>
        <w:t xml:space="preserve">Bulgaria and Romania that </w:t>
      </w:r>
      <w:r w:rsidR="00430AC2" w:rsidRPr="00A03898">
        <w:rPr>
          <w:rFonts w:ascii="Times New Roman" w:hAnsi="Times New Roman" w:cs="Times New Roman"/>
          <w:color w:val="auto"/>
          <w:sz w:val="24"/>
          <w:szCs w:val="24"/>
          <w:lang w:val="en-GB"/>
        </w:rPr>
        <w:t>joined the</w:t>
      </w:r>
      <w:r w:rsidRPr="00A03898">
        <w:rPr>
          <w:rFonts w:ascii="Times New Roman" w:hAnsi="Times New Roman" w:cs="Times New Roman"/>
          <w:color w:val="auto"/>
          <w:sz w:val="24"/>
          <w:szCs w:val="24"/>
          <w:lang w:val="en-GB"/>
        </w:rPr>
        <w:t xml:space="preserve"> EU in 2006 and Croatia whose admission took place only in 2013.</w:t>
      </w:r>
      <w:r w:rsidR="009D157A" w:rsidRPr="00A03898">
        <w:rPr>
          <w:rFonts w:ascii="Times New Roman" w:hAnsi="Times New Roman" w:cs="Times New Roman"/>
          <w:color w:val="auto"/>
          <w:sz w:val="24"/>
          <w:szCs w:val="24"/>
          <w:lang w:val="en-GB"/>
        </w:rPr>
        <w:t xml:space="preserve"> These are then interacted with our key variables of interest. </w:t>
      </w:r>
    </w:p>
    <w:p w14:paraId="0079B885" w14:textId="77777777" w:rsidR="00A03898" w:rsidRDefault="00A03898" w:rsidP="00A03898">
      <w:pPr>
        <w:pStyle w:val="Body"/>
        <w:spacing w:line="360" w:lineRule="auto"/>
        <w:jc w:val="both"/>
        <w:rPr>
          <w:rFonts w:ascii="Times New Roman" w:hAnsi="Times New Roman" w:cs="Times New Roman"/>
          <w:sz w:val="24"/>
          <w:szCs w:val="24"/>
          <w:lang w:val="en-GB"/>
        </w:rPr>
      </w:pPr>
      <w:r w:rsidRPr="00747780">
        <w:rPr>
          <w:rFonts w:ascii="Times New Roman" w:hAnsi="Times New Roman" w:cs="Times New Roman"/>
          <w:b/>
          <w:sz w:val="24"/>
          <w:szCs w:val="24"/>
          <w:lang w:val="en-GB"/>
        </w:rPr>
        <w:t>Fig.</w:t>
      </w:r>
      <w:r>
        <w:rPr>
          <w:rFonts w:ascii="Times New Roman" w:hAnsi="Times New Roman" w:cs="Times New Roman"/>
          <w:b/>
          <w:sz w:val="24"/>
          <w:szCs w:val="24"/>
          <w:lang w:val="en-GB"/>
        </w:rPr>
        <w:t xml:space="preserve"> 12 </w:t>
      </w:r>
      <w:r>
        <w:rPr>
          <w:rFonts w:ascii="Times New Roman" w:hAnsi="Times New Roman" w:cs="Times New Roman"/>
          <w:sz w:val="24"/>
          <w:szCs w:val="24"/>
          <w:lang w:val="en-GB"/>
        </w:rPr>
        <w:t>Timing of entry to the EU effect on firm start-ups and high growth shares EU28 exports and imports</w:t>
      </w:r>
    </w:p>
    <w:p w14:paraId="58A8639D" w14:textId="77777777" w:rsidR="00A03898" w:rsidRPr="00560807" w:rsidRDefault="00A03898" w:rsidP="00A03898">
      <w:pPr>
        <w:pStyle w:val="Body"/>
        <w:spacing w:line="360" w:lineRule="auto"/>
        <w:jc w:val="center"/>
        <w:rPr>
          <w:rFonts w:ascii="Times New Roman" w:hAnsi="Times New Roman" w:cs="Times New Roman"/>
          <w:sz w:val="24"/>
          <w:szCs w:val="24"/>
          <w:lang w:val="en-GB"/>
        </w:rPr>
      </w:pPr>
      <w:r>
        <w:rPr>
          <w:rFonts w:ascii="Times New Roman" w:hAnsi="Times New Roman" w:cs="Times New Roman"/>
          <w:noProof/>
          <w:sz w:val="24"/>
          <w:szCs w:val="24"/>
        </w:rPr>
        <w:drawing>
          <wp:inline distT="0" distB="0" distL="0" distR="0" wp14:anchorId="4F0258B3" wp14:editId="2811A817">
            <wp:extent cx="502920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2.pdf"/>
                    <pic:cNvPicPr/>
                  </pic:nvPicPr>
                  <pic:blipFill>
                    <a:blip r:embed="rId22">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p>
    <w:p w14:paraId="11120E49" w14:textId="0333EA7F" w:rsidR="00280073" w:rsidRPr="00A03898" w:rsidRDefault="00A01ED5" w:rsidP="005B42A5">
      <w:pPr>
        <w:pStyle w:val="Body"/>
        <w:spacing w:line="360" w:lineRule="auto"/>
        <w:ind w:firstLine="708"/>
        <w:jc w:val="both"/>
        <w:rPr>
          <w:rFonts w:ascii="Times New Roman" w:eastAsia="Times New Roman" w:hAnsi="Times New Roman" w:cs="Times New Roman"/>
          <w:color w:val="auto"/>
          <w:sz w:val="24"/>
          <w:szCs w:val="24"/>
          <w:lang w:val="en-GB"/>
        </w:rPr>
      </w:pPr>
      <w:r w:rsidRPr="00A03898">
        <w:rPr>
          <w:rFonts w:ascii="Times New Roman" w:hAnsi="Times New Roman" w:cs="Times New Roman"/>
          <w:color w:val="auto"/>
          <w:sz w:val="24"/>
          <w:szCs w:val="24"/>
          <w:lang w:val="en-GB"/>
        </w:rPr>
        <w:t xml:space="preserve">Figure 12 presents </w:t>
      </w:r>
      <w:r w:rsidR="00540FBE" w:rsidRPr="00A03898">
        <w:rPr>
          <w:rFonts w:ascii="Times New Roman" w:hAnsi="Times New Roman" w:cs="Times New Roman"/>
          <w:color w:val="auto"/>
          <w:sz w:val="24"/>
          <w:szCs w:val="24"/>
          <w:lang w:val="en-GB"/>
        </w:rPr>
        <w:t xml:space="preserve">marginal effects derived from estimations with timing of entry interaction effects for EU28 exports and imports. </w:t>
      </w:r>
      <w:r w:rsidR="00560807" w:rsidRPr="00A03898">
        <w:rPr>
          <w:rFonts w:ascii="Times New Roman" w:hAnsi="Times New Roman" w:cs="Times New Roman"/>
          <w:color w:val="auto"/>
          <w:sz w:val="24"/>
          <w:szCs w:val="24"/>
          <w:lang w:val="en-GB"/>
        </w:rPr>
        <w:t xml:space="preserve">We find positive </w:t>
      </w:r>
      <w:r w:rsidR="00131139" w:rsidRPr="00A03898">
        <w:rPr>
          <w:rFonts w:ascii="Times New Roman" w:hAnsi="Times New Roman" w:cs="Times New Roman"/>
          <w:color w:val="auto"/>
          <w:sz w:val="24"/>
          <w:szCs w:val="24"/>
          <w:lang w:val="en-GB"/>
        </w:rPr>
        <w:t xml:space="preserve">effects from both exports and imports on shares of start-ups and high growth firms in all three groups of CEE countries. </w:t>
      </w:r>
      <w:r w:rsidR="0086100E" w:rsidRPr="00A03898">
        <w:rPr>
          <w:rFonts w:ascii="Times New Roman" w:eastAsia="Times New Roman" w:hAnsi="Times New Roman" w:cs="Times New Roman"/>
          <w:color w:val="auto"/>
          <w:sz w:val="24"/>
          <w:szCs w:val="24"/>
          <w:lang w:val="en-GB"/>
        </w:rPr>
        <w:t>We next turn to findings on the impact of timing of entry and forward and backward participation in European value chains</w:t>
      </w:r>
      <w:r w:rsidR="004A46ED" w:rsidRPr="00A03898">
        <w:rPr>
          <w:rFonts w:ascii="Times New Roman" w:eastAsia="Times New Roman" w:hAnsi="Times New Roman" w:cs="Times New Roman"/>
          <w:color w:val="auto"/>
          <w:sz w:val="24"/>
          <w:szCs w:val="24"/>
          <w:lang w:val="en-GB"/>
        </w:rPr>
        <w:t xml:space="preserve"> (Figure 13)</w:t>
      </w:r>
      <w:r w:rsidR="0086100E" w:rsidRPr="00A03898">
        <w:rPr>
          <w:rFonts w:ascii="Times New Roman" w:eastAsia="Times New Roman" w:hAnsi="Times New Roman" w:cs="Times New Roman"/>
          <w:color w:val="auto"/>
          <w:sz w:val="24"/>
          <w:szCs w:val="24"/>
          <w:lang w:val="en-GB"/>
        </w:rPr>
        <w:t xml:space="preserve">. </w:t>
      </w:r>
      <w:r w:rsidR="00280073" w:rsidRPr="00A03898">
        <w:rPr>
          <w:rFonts w:ascii="Times New Roman" w:eastAsia="Times New Roman" w:hAnsi="Times New Roman" w:cs="Times New Roman"/>
          <w:color w:val="auto"/>
          <w:sz w:val="24"/>
          <w:szCs w:val="24"/>
          <w:lang w:val="en-GB"/>
        </w:rPr>
        <w:t xml:space="preserve">In the 2004 cohort of CEE countries we find </w:t>
      </w:r>
      <w:r w:rsidR="00280073" w:rsidRPr="00A03898">
        <w:rPr>
          <w:rFonts w:ascii="Times New Roman" w:eastAsia="Times New Roman" w:hAnsi="Times New Roman" w:cs="Times New Roman"/>
          <w:color w:val="auto"/>
          <w:sz w:val="24"/>
          <w:szCs w:val="24"/>
          <w:lang w:val="en-GB"/>
        </w:rPr>
        <w:lastRenderedPageBreak/>
        <w:t xml:space="preserve">positive and increasing effects from both GVC integration channels on shares of start-ups and high growth firms. Forward integration seems to be important for 2006 cohort’s start-ups while backward integration appears relevant for high growth firms at low levels of integration and for start-ups in industries deeply integrated in EU28 GVCs. Finally, no statistically significant effects were found in 2013 cohort (Croatia, the last country to join </w:t>
      </w:r>
      <w:r w:rsidR="00430AC2" w:rsidRPr="00A03898">
        <w:rPr>
          <w:rFonts w:ascii="Times New Roman" w:eastAsia="Times New Roman" w:hAnsi="Times New Roman" w:cs="Times New Roman"/>
          <w:color w:val="auto"/>
          <w:sz w:val="24"/>
          <w:szCs w:val="24"/>
          <w:lang w:val="en-GB"/>
        </w:rPr>
        <w:t xml:space="preserve">the </w:t>
      </w:r>
      <w:r w:rsidR="00280073" w:rsidRPr="00A03898">
        <w:rPr>
          <w:rFonts w:ascii="Times New Roman" w:eastAsia="Times New Roman" w:hAnsi="Times New Roman" w:cs="Times New Roman"/>
          <w:color w:val="auto"/>
          <w:sz w:val="24"/>
          <w:szCs w:val="24"/>
          <w:lang w:val="en-GB"/>
        </w:rPr>
        <w:t xml:space="preserve">EU).  Such finding signals that firstcomers were ones to pick most of the gains from </w:t>
      </w:r>
      <w:r w:rsidR="00253DFE" w:rsidRPr="00A03898">
        <w:rPr>
          <w:rFonts w:ascii="Times New Roman" w:eastAsia="Times New Roman" w:hAnsi="Times New Roman" w:cs="Times New Roman"/>
          <w:color w:val="auto"/>
          <w:sz w:val="24"/>
          <w:szCs w:val="24"/>
          <w:lang w:val="en-GB"/>
        </w:rPr>
        <w:t xml:space="preserve">the </w:t>
      </w:r>
      <w:r w:rsidR="00280073" w:rsidRPr="00A03898">
        <w:rPr>
          <w:rFonts w:ascii="Times New Roman" w:eastAsia="Times New Roman" w:hAnsi="Times New Roman" w:cs="Times New Roman"/>
          <w:color w:val="auto"/>
          <w:sz w:val="24"/>
          <w:szCs w:val="24"/>
          <w:lang w:val="en-GB"/>
        </w:rPr>
        <w:t xml:space="preserve">EU GVC integration. </w:t>
      </w:r>
    </w:p>
    <w:p w14:paraId="2DE54150" w14:textId="77777777" w:rsidR="00A03898" w:rsidRPr="00F2499B" w:rsidRDefault="00A03898" w:rsidP="00A03898">
      <w:pPr>
        <w:pStyle w:val="Body"/>
        <w:spacing w:line="360" w:lineRule="auto"/>
        <w:jc w:val="both"/>
        <w:rPr>
          <w:rFonts w:ascii="Times New Roman" w:eastAsia="Times New Roman" w:hAnsi="Times New Roman" w:cs="Times New Roman"/>
          <w:sz w:val="24"/>
          <w:szCs w:val="24"/>
          <w:lang w:val="en-GB"/>
        </w:rPr>
      </w:pPr>
      <w:r w:rsidRPr="00747780">
        <w:rPr>
          <w:rFonts w:ascii="Times New Roman" w:hAnsi="Times New Roman" w:cs="Times New Roman"/>
          <w:b/>
          <w:sz w:val="24"/>
          <w:szCs w:val="24"/>
          <w:lang w:val="en-GB"/>
        </w:rPr>
        <w:t>Fig.</w:t>
      </w:r>
      <w:r>
        <w:rPr>
          <w:rFonts w:ascii="Times New Roman" w:hAnsi="Times New Roman" w:cs="Times New Roman"/>
          <w:b/>
          <w:sz w:val="24"/>
          <w:szCs w:val="24"/>
          <w:lang w:val="en-GB"/>
        </w:rPr>
        <w:t xml:space="preserve"> 13 </w:t>
      </w:r>
      <w:r>
        <w:rPr>
          <w:rFonts w:ascii="Times New Roman" w:hAnsi="Times New Roman" w:cs="Times New Roman"/>
          <w:sz w:val="24"/>
          <w:szCs w:val="24"/>
          <w:lang w:val="en-GB"/>
        </w:rPr>
        <w:t>Timing of entry to EU effect on firm start-ups and high growth shares forward and backward GVC participation</w:t>
      </w:r>
    </w:p>
    <w:p w14:paraId="4F0768D9" w14:textId="77777777" w:rsidR="00A03898" w:rsidRPr="00330FAB" w:rsidRDefault="00A03898" w:rsidP="00A03898">
      <w:pPr>
        <w:pStyle w:val="Body"/>
        <w:spacing w:line="360" w:lineRule="auto"/>
        <w:jc w:val="center"/>
        <w:rPr>
          <w:rFonts w:ascii="Times New Roman" w:hAnsi="Times New Roman" w:cs="Times New Roman"/>
          <w:b/>
          <w:bCs/>
          <w:sz w:val="24"/>
          <w:szCs w:val="24"/>
          <w:lang w:val="en-GB"/>
        </w:rPr>
      </w:pPr>
      <w:r>
        <w:rPr>
          <w:rFonts w:ascii="Times New Roman" w:hAnsi="Times New Roman" w:cs="Times New Roman"/>
          <w:b/>
          <w:bCs/>
          <w:noProof/>
          <w:sz w:val="24"/>
          <w:szCs w:val="24"/>
        </w:rPr>
        <w:drawing>
          <wp:inline distT="0" distB="0" distL="0" distR="0" wp14:anchorId="6A4E39AA" wp14:editId="56071569">
            <wp:extent cx="50292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3.pdf"/>
                    <pic:cNvPicPr/>
                  </pic:nvPicPr>
                  <pic:blipFill>
                    <a:blip r:embed="rId23">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p>
    <w:p w14:paraId="19816266" w14:textId="71E1A219" w:rsidR="00833889" w:rsidRPr="00A03898" w:rsidRDefault="008B1CAF" w:rsidP="00604FA7">
      <w:pPr>
        <w:spacing w:line="360" w:lineRule="auto"/>
        <w:ind w:firstLine="708"/>
        <w:jc w:val="both"/>
        <w:rPr>
          <w:rFonts w:eastAsia="Times New Roman"/>
          <w:u w:color="000000"/>
          <w:lang w:val="en-GB" w:eastAsia="hr-HR"/>
        </w:rPr>
      </w:pPr>
      <w:r w:rsidRPr="00A03898">
        <w:rPr>
          <w:rFonts w:eastAsia="Times New Roman"/>
          <w:u w:color="000000"/>
          <w:lang w:val="en-GB" w:eastAsia="hr-HR"/>
        </w:rPr>
        <w:t xml:space="preserve">To conclude this section, a reflection must be made on </w:t>
      </w:r>
      <w:r w:rsidR="009435EA" w:rsidRPr="00A03898">
        <w:rPr>
          <w:rFonts w:eastAsia="Times New Roman"/>
          <w:u w:color="000000"/>
          <w:lang w:val="en-GB" w:eastAsia="hr-HR"/>
        </w:rPr>
        <w:t xml:space="preserve">our </w:t>
      </w:r>
      <w:r w:rsidRPr="00A03898">
        <w:rPr>
          <w:rFonts w:eastAsia="Times New Roman"/>
          <w:u w:color="000000"/>
          <w:lang w:val="en-GB" w:eastAsia="hr-HR"/>
        </w:rPr>
        <w:t xml:space="preserve">research hypotheses. There is strong support </w:t>
      </w:r>
      <w:r w:rsidR="00D67A44" w:rsidRPr="00A03898">
        <w:rPr>
          <w:rFonts w:eastAsia="Times New Roman"/>
          <w:u w:color="000000"/>
          <w:lang w:val="en-GB" w:eastAsia="hr-HR"/>
        </w:rPr>
        <w:t>for the positive impact of exports</w:t>
      </w:r>
      <w:r w:rsidRPr="00A03898">
        <w:rPr>
          <w:rFonts w:eastAsia="Times New Roman"/>
          <w:u w:color="000000"/>
          <w:lang w:val="en-GB" w:eastAsia="hr-HR"/>
        </w:rPr>
        <w:t xml:space="preserve"> </w:t>
      </w:r>
      <w:r w:rsidR="00D67A44" w:rsidRPr="00A03898">
        <w:rPr>
          <w:rFonts w:eastAsia="Times New Roman"/>
          <w:u w:color="000000"/>
          <w:lang w:val="en-GB" w:eastAsia="hr-HR"/>
        </w:rPr>
        <w:t>(</w:t>
      </w:r>
      <w:r w:rsidRPr="00A03898">
        <w:rPr>
          <w:rFonts w:eastAsia="Times New Roman"/>
          <w:u w:color="000000"/>
          <w:lang w:val="en-GB" w:eastAsia="hr-HR"/>
        </w:rPr>
        <w:t>H1a</w:t>
      </w:r>
      <w:r w:rsidR="00D67A44" w:rsidRPr="00A03898">
        <w:rPr>
          <w:rFonts w:eastAsia="Times New Roman"/>
          <w:u w:color="000000"/>
          <w:lang w:val="en-GB" w:eastAsia="hr-HR"/>
        </w:rPr>
        <w:t>)</w:t>
      </w:r>
      <w:r w:rsidRPr="00A03898">
        <w:rPr>
          <w:rFonts w:eastAsia="Times New Roman"/>
          <w:u w:color="000000"/>
          <w:lang w:val="en-GB" w:eastAsia="hr-HR"/>
        </w:rPr>
        <w:t xml:space="preserve"> and </w:t>
      </w:r>
      <w:r w:rsidR="00D67A44" w:rsidRPr="00A03898">
        <w:rPr>
          <w:rFonts w:eastAsia="Times New Roman"/>
          <w:u w:color="000000"/>
          <w:lang w:val="en-GB" w:eastAsia="hr-HR"/>
        </w:rPr>
        <w:t>imports (</w:t>
      </w:r>
      <w:r w:rsidRPr="00A03898">
        <w:rPr>
          <w:rFonts w:eastAsia="Times New Roman"/>
          <w:u w:color="000000"/>
          <w:lang w:val="en-GB" w:eastAsia="hr-HR"/>
        </w:rPr>
        <w:t>H1b</w:t>
      </w:r>
      <w:r w:rsidR="00D67A44" w:rsidRPr="00A03898">
        <w:rPr>
          <w:rFonts w:eastAsia="Times New Roman"/>
          <w:u w:color="000000"/>
          <w:lang w:val="en-GB" w:eastAsia="hr-HR"/>
        </w:rPr>
        <w:t>)</w:t>
      </w:r>
      <w:r w:rsidRPr="00A03898">
        <w:rPr>
          <w:rFonts w:eastAsia="Times New Roman"/>
          <w:u w:color="000000"/>
          <w:lang w:val="en-GB" w:eastAsia="hr-HR"/>
        </w:rPr>
        <w:t xml:space="preserve"> a</w:t>
      </w:r>
      <w:r w:rsidR="00D67A44" w:rsidRPr="00A03898">
        <w:rPr>
          <w:rFonts w:eastAsia="Times New Roman"/>
          <w:u w:color="000000"/>
          <w:lang w:val="en-GB" w:eastAsia="hr-HR"/>
        </w:rPr>
        <w:t>s well as forward GVC participation</w:t>
      </w:r>
      <w:r w:rsidRPr="00A03898">
        <w:rPr>
          <w:rFonts w:eastAsia="Times New Roman"/>
          <w:u w:color="000000"/>
          <w:lang w:val="en-GB" w:eastAsia="hr-HR"/>
        </w:rPr>
        <w:t xml:space="preserve"> </w:t>
      </w:r>
      <w:r w:rsidR="00D67A44" w:rsidRPr="00A03898">
        <w:rPr>
          <w:rFonts w:eastAsia="Times New Roman"/>
          <w:u w:color="000000"/>
          <w:lang w:val="en-GB" w:eastAsia="hr-HR"/>
        </w:rPr>
        <w:t>(</w:t>
      </w:r>
      <w:r w:rsidRPr="00A03898">
        <w:rPr>
          <w:rFonts w:eastAsia="Times New Roman"/>
          <w:u w:color="000000"/>
          <w:lang w:val="en-GB" w:eastAsia="hr-HR"/>
        </w:rPr>
        <w:t>H2a</w:t>
      </w:r>
      <w:r w:rsidR="00D67A44" w:rsidRPr="00A03898">
        <w:rPr>
          <w:rFonts w:eastAsia="Times New Roman"/>
          <w:u w:color="000000"/>
          <w:lang w:val="en-GB" w:eastAsia="hr-HR"/>
        </w:rPr>
        <w:t>)</w:t>
      </w:r>
      <w:r w:rsidR="003D5332" w:rsidRPr="00A03898">
        <w:rPr>
          <w:rFonts w:eastAsia="Times New Roman"/>
          <w:u w:color="000000"/>
          <w:lang w:val="en-GB" w:eastAsia="hr-HR"/>
        </w:rPr>
        <w:t>,</w:t>
      </w:r>
      <w:r w:rsidRPr="00A03898">
        <w:rPr>
          <w:rFonts w:eastAsia="Times New Roman"/>
          <w:u w:color="000000"/>
          <w:lang w:val="en-GB" w:eastAsia="hr-HR"/>
        </w:rPr>
        <w:t xml:space="preserve"> but </w:t>
      </w:r>
      <w:r w:rsidR="003D5332" w:rsidRPr="00A03898">
        <w:rPr>
          <w:rFonts w:eastAsia="Times New Roman"/>
          <w:u w:color="000000"/>
          <w:lang w:val="en-GB" w:eastAsia="hr-HR"/>
        </w:rPr>
        <w:t xml:space="preserve">the </w:t>
      </w:r>
      <w:r w:rsidRPr="00A03898">
        <w:rPr>
          <w:rFonts w:eastAsia="Times New Roman"/>
          <w:u w:color="000000"/>
          <w:lang w:val="en-GB" w:eastAsia="hr-HR"/>
        </w:rPr>
        <w:t>coefficients on backward GVC integration measures were insignificant</w:t>
      </w:r>
      <w:r w:rsidR="003D5332" w:rsidRPr="00A03898">
        <w:rPr>
          <w:rFonts w:eastAsia="Times New Roman"/>
          <w:u w:color="000000"/>
          <w:lang w:val="en-GB" w:eastAsia="hr-HR"/>
        </w:rPr>
        <w:t>,</w:t>
      </w:r>
      <w:r w:rsidRPr="00A03898">
        <w:rPr>
          <w:rFonts w:eastAsia="Times New Roman"/>
          <w:u w:color="000000"/>
          <w:lang w:val="en-GB" w:eastAsia="hr-HR"/>
        </w:rPr>
        <w:t xml:space="preserve"> thus lacking enough evidence to confirm H2b. </w:t>
      </w:r>
      <w:r w:rsidR="009435EA" w:rsidRPr="00A03898">
        <w:rPr>
          <w:rFonts w:eastAsia="Times New Roman"/>
          <w:u w:color="000000"/>
          <w:lang w:val="en-GB" w:eastAsia="hr-HR"/>
        </w:rPr>
        <w:t>S</w:t>
      </w:r>
      <w:r w:rsidRPr="00A03898">
        <w:rPr>
          <w:rFonts w:eastAsia="Times New Roman"/>
          <w:u w:color="000000"/>
          <w:lang w:val="en-GB" w:eastAsia="hr-HR"/>
        </w:rPr>
        <w:t>upport is also found to H3</w:t>
      </w:r>
      <w:r w:rsidR="009435EA" w:rsidRPr="00A03898">
        <w:rPr>
          <w:rFonts w:eastAsia="Times New Roman"/>
          <w:u w:color="000000"/>
          <w:lang w:val="en-GB" w:eastAsia="hr-HR"/>
        </w:rPr>
        <w:t xml:space="preserve"> as</w:t>
      </w:r>
      <w:r w:rsidR="003D5332" w:rsidRPr="00A03898">
        <w:rPr>
          <w:rFonts w:eastAsia="Times New Roman"/>
          <w:u w:color="000000"/>
          <w:lang w:val="en-GB" w:eastAsia="hr-HR"/>
        </w:rPr>
        <w:t xml:space="preserve"> the</w:t>
      </w:r>
      <w:r w:rsidRPr="00A03898">
        <w:rPr>
          <w:rFonts w:eastAsia="Times New Roman"/>
          <w:u w:color="000000"/>
          <w:lang w:val="en-GB" w:eastAsia="hr-HR"/>
        </w:rPr>
        <w:t xml:space="preserve"> </w:t>
      </w:r>
      <w:r w:rsidR="00833889" w:rsidRPr="00A03898">
        <w:rPr>
          <w:rFonts w:eastAsia="Times New Roman"/>
          <w:u w:color="000000"/>
          <w:lang w:val="en-GB" w:eastAsia="hr-HR"/>
        </w:rPr>
        <w:t xml:space="preserve">effects of trade and GVC integration are found in both low and high technology intensive industries. Our findings confirm </w:t>
      </w:r>
      <w:r w:rsidR="003D5332" w:rsidRPr="00A03898">
        <w:rPr>
          <w:rFonts w:eastAsia="Times New Roman"/>
          <w:u w:color="000000"/>
          <w:lang w:val="en-GB" w:eastAsia="hr-HR"/>
        </w:rPr>
        <w:t>that</w:t>
      </w:r>
      <w:r w:rsidR="00833889" w:rsidRPr="00A03898">
        <w:rPr>
          <w:rFonts w:eastAsia="Times New Roman"/>
          <w:u w:color="000000"/>
          <w:lang w:val="en-GB" w:eastAsia="hr-HR"/>
        </w:rPr>
        <w:t xml:space="preserve"> H4 as evidence is found of influence from </w:t>
      </w:r>
      <w:r w:rsidR="00D67A44" w:rsidRPr="00A03898">
        <w:rPr>
          <w:rFonts w:eastAsia="Times New Roman"/>
          <w:u w:color="000000"/>
          <w:lang w:val="en-GB" w:eastAsia="hr-HR"/>
        </w:rPr>
        <w:t xml:space="preserve">trade linkages and GVC integration involving </w:t>
      </w:r>
      <w:r w:rsidR="00833889" w:rsidRPr="00A03898">
        <w:rPr>
          <w:rFonts w:eastAsia="Times New Roman"/>
          <w:u w:color="000000"/>
          <w:lang w:val="en-GB" w:eastAsia="hr-HR"/>
        </w:rPr>
        <w:t>both</w:t>
      </w:r>
      <w:r w:rsidR="00D67A44" w:rsidRPr="00A03898">
        <w:rPr>
          <w:rFonts w:eastAsia="Times New Roman"/>
          <w:u w:color="000000"/>
          <w:lang w:val="en-GB" w:eastAsia="hr-HR"/>
        </w:rPr>
        <w:t xml:space="preserve"> new</w:t>
      </w:r>
      <w:r w:rsidR="00833889" w:rsidRPr="00A03898">
        <w:rPr>
          <w:rFonts w:eastAsia="Times New Roman"/>
          <w:u w:color="000000"/>
          <w:lang w:val="en-GB" w:eastAsia="hr-HR"/>
        </w:rPr>
        <w:t xml:space="preserve"> and </w:t>
      </w:r>
      <w:r w:rsidR="00D67A44" w:rsidRPr="00A03898">
        <w:rPr>
          <w:rFonts w:eastAsia="Times New Roman"/>
          <w:u w:color="000000"/>
          <w:lang w:val="en-GB" w:eastAsia="hr-HR"/>
        </w:rPr>
        <w:t>old EU member states</w:t>
      </w:r>
      <w:r w:rsidR="00833889" w:rsidRPr="00A03898">
        <w:rPr>
          <w:rFonts w:eastAsia="Times New Roman"/>
          <w:u w:color="000000"/>
          <w:lang w:val="en-GB" w:eastAsia="hr-HR"/>
        </w:rPr>
        <w:t xml:space="preserve">. Finally, trade effects seem to be </w:t>
      </w:r>
      <w:r w:rsidR="003D5332" w:rsidRPr="00A03898">
        <w:rPr>
          <w:rFonts w:eastAsia="Times New Roman"/>
          <w:u w:color="000000"/>
          <w:lang w:val="en-GB" w:eastAsia="hr-HR"/>
        </w:rPr>
        <w:t xml:space="preserve">the </w:t>
      </w:r>
      <w:r w:rsidR="00833889" w:rsidRPr="00A03898">
        <w:rPr>
          <w:rFonts w:eastAsia="Times New Roman"/>
          <w:u w:color="000000"/>
          <w:lang w:val="en-GB" w:eastAsia="hr-HR"/>
        </w:rPr>
        <w:t xml:space="preserve">only relevant channel for latecomers in </w:t>
      </w:r>
      <w:r w:rsidR="003D5332" w:rsidRPr="00A03898">
        <w:rPr>
          <w:rFonts w:eastAsia="Times New Roman"/>
          <w:u w:color="000000"/>
          <w:lang w:val="en-GB" w:eastAsia="hr-HR"/>
        </w:rPr>
        <w:t xml:space="preserve">the </w:t>
      </w:r>
      <w:r w:rsidR="00833889" w:rsidRPr="00A03898">
        <w:rPr>
          <w:rFonts w:eastAsia="Times New Roman"/>
          <w:u w:color="000000"/>
          <w:lang w:val="en-GB" w:eastAsia="hr-HR"/>
        </w:rPr>
        <w:t>EU integrations</w:t>
      </w:r>
      <w:r w:rsidR="003D5332" w:rsidRPr="00A03898">
        <w:rPr>
          <w:rFonts w:eastAsia="Times New Roman"/>
          <w:u w:color="000000"/>
          <w:lang w:val="en-GB" w:eastAsia="hr-HR"/>
        </w:rPr>
        <w:t xml:space="preserve"> process</w:t>
      </w:r>
      <w:r w:rsidR="00833889" w:rsidRPr="00A03898">
        <w:rPr>
          <w:rFonts w:eastAsia="Times New Roman"/>
          <w:u w:color="000000"/>
          <w:lang w:val="en-GB" w:eastAsia="hr-HR"/>
        </w:rPr>
        <w:t xml:space="preserve"> </w:t>
      </w:r>
      <w:r w:rsidR="003D5332" w:rsidRPr="00A03898">
        <w:rPr>
          <w:rFonts w:eastAsia="Times New Roman"/>
          <w:u w:color="000000"/>
          <w:lang w:val="en-GB" w:eastAsia="hr-HR"/>
        </w:rPr>
        <w:t>whereby</w:t>
      </w:r>
      <w:r w:rsidR="00833889" w:rsidRPr="00A03898">
        <w:rPr>
          <w:rFonts w:eastAsia="Times New Roman"/>
          <w:u w:color="000000"/>
          <w:lang w:val="en-GB" w:eastAsia="hr-HR"/>
        </w:rPr>
        <w:t xml:space="preserve"> H5 is only partially</w:t>
      </w:r>
      <w:r w:rsidR="003D5332" w:rsidRPr="00A03898">
        <w:rPr>
          <w:rFonts w:eastAsia="Times New Roman"/>
          <w:u w:color="000000"/>
          <w:lang w:val="en-GB" w:eastAsia="hr-HR"/>
        </w:rPr>
        <w:t xml:space="preserve"> confirmed</w:t>
      </w:r>
      <w:r w:rsidR="00833889" w:rsidRPr="00A03898">
        <w:rPr>
          <w:rFonts w:eastAsia="Times New Roman"/>
          <w:u w:color="000000"/>
          <w:lang w:val="en-GB" w:eastAsia="hr-HR"/>
        </w:rPr>
        <w:t xml:space="preserve">. </w:t>
      </w:r>
    </w:p>
    <w:p w14:paraId="538394E3" w14:textId="77777777" w:rsidR="00DA45C4" w:rsidRPr="00A03898" w:rsidRDefault="00DA45C4" w:rsidP="00604FA7">
      <w:pPr>
        <w:spacing w:line="360" w:lineRule="auto"/>
        <w:ind w:firstLine="708"/>
        <w:jc w:val="both"/>
        <w:rPr>
          <w:rFonts w:eastAsia="Times New Roman"/>
          <w:u w:color="000000"/>
          <w:lang w:val="en-GB" w:eastAsia="hr-HR"/>
        </w:rPr>
      </w:pPr>
    </w:p>
    <w:p w14:paraId="68F21EBC" w14:textId="0F7797AC" w:rsidR="00C24DCD" w:rsidRPr="00A03898" w:rsidRDefault="009E5DA4" w:rsidP="0086100E">
      <w:pPr>
        <w:pStyle w:val="Body"/>
        <w:numPr>
          <w:ilvl w:val="0"/>
          <w:numId w:val="5"/>
        </w:numPr>
        <w:spacing w:line="360" w:lineRule="auto"/>
        <w:jc w:val="both"/>
        <w:rPr>
          <w:rFonts w:ascii="Times New Roman" w:eastAsia="Times New Roman" w:hAnsi="Times New Roman" w:cs="Times New Roman"/>
          <w:b/>
          <w:bCs/>
          <w:color w:val="auto"/>
          <w:sz w:val="24"/>
          <w:szCs w:val="24"/>
          <w:lang w:val="en-GB"/>
        </w:rPr>
      </w:pPr>
      <w:r w:rsidRPr="00A03898">
        <w:rPr>
          <w:rFonts w:ascii="Times New Roman" w:hAnsi="Times New Roman" w:cs="Times New Roman"/>
          <w:b/>
          <w:bCs/>
          <w:color w:val="auto"/>
          <w:sz w:val="24"/>
          <w:szCs w:val="24"/>
          <w:lang w:val="en-GB"/>
        </w:rPr>
        <w:lastRenderedPageBreak/>
        <w:t>Conclusion</w:t>
      </w:r>
    </w:p>
    <w:p w14:paraId="2DB21C89" w14:textId="78149A41" w:rsidR="00246A3D" w:rsidRPr="00A03898" w:rsidRDefault="00246A3D" w:rsidP="00604FA7">
      <w:pPr>
        <w:pStyle w:val="Body"/>
        <w:spacing w:line="360" w:lineRule="auto"/>
        <w:jc w:val="both"/>
        <w:rPr>
          <w:rFonts w:ascii="Times New Roman" w:eastAsia="Times New Roman" w:hAnsi="Times New Roman" w:cs="Times New Roman"/>
          <w:color w:val="auto"/>
          <w:sz w:val="24"/>
          <w:szCs w:val="24"/>
          <w:lang w:val="en-GB"/>
        </w:rPr>
      </w:pPr>
      <w:r w:rsidRPr="00A03898">
        <w:rPr>
          <w:rFonts w:ascii="Times New Roman" w:eastAsia="Times New Roman" w:hAnsi="Times New Roman" w:cs="Times New Roman"/>
          <w:color w:val="auto"/>
          <w:sz w:val="24"/>
          <w:szCs w:val="24"/>
          <w:lang w:val="en-GB"/>
        </w:rPr>
        <w:t xml:space="preserve">The integration of various kinds of cultures, beliefs, and ways of living in one political and economic </w:t>
      </w:r>
      <w:r w:rsidR="00913F80" w:rsidRPr="00A03898">
        <w:rPr>
          <w:rFonts w:ascii="Times New Roman" w:eastAsia="Times New Roman" w:hAnsi="Times New Roman" w:cs="Times New Roman"/>
          <w:color w:val="auto"/>
          <w:sz w:val="24"/>
          <w:szCs w:val="24"/>
          <w:lang w:val="en-GB"/>
        </w:rPr>
        <w:t>entity</w:t>
      </w:r>
      <w:r w:rsidRPr="00A03898">
        <w:rPr>
          <w:rFonts w:ascii="Times New Roman" w:eastAsia="Times New Roman" w:hAnsi="Times New Roman" w:cs="Times New Roman"/>
          <w:color w:val="auto"/>
          <w:sz w:val="24"/>
          <w:szCs w:val="24"/>
          <w:lang w:val="en-GB"/>
        </w:rPr>
        <w:t xml:space="preserve"> is not an easy task. Nevertheless, this very process started in Europe since the establishment of </w:t>
      </w:r>
      <w:r w:rsidR="00BA11CB" w:rsidRPr="00A03898">
        <w:rPr>
          <w:rFonts w:ascii="Times New Roman" w:eastAsia="Times New Roman" w:hAnsi="Times New Roman" w:cs="Times New Roman"/>
          <w:color w:val="auto"/>
          <w:sz w:val="24"/>
          <w:szCs w:val="24"/>
          <w:lang w:val="en-GB"/>
        </w:rPr>
        <w:t xml:space="preserve">the </w:t>
      </w:r>
      <w:r w:rsidRPr="00A03898">
        <w:rPr>
          <w:rFonts w:ascii="Times New Roman" w:eastAsia="Times New Roman" w:hAnsi="Times New Roman" w:cs="Times New Roman"/>
          <w:color w:val="auto"/>
          <w:sz w:val="24"/>
          <w:szCs w:val="24"/>
          <w:lang w:val="en-GB"/>
        </w:rPr>
        <w:t xml:space="preserve">European Coal and Steel Community that has evolved into an unprecedented covenant known as </w:t>
      </w:r>
      <w:r w:rsidR="00BA11CB" w:rsidRPr="00A03898">
        <w:rPr>
          <w:rFonts w:ascii="Times New Roman" w:eastAsia="Times New Roman" w:hAnsi="Times New Roman" w:cs="Times New Roman"/>
          <w:color w:val="auto"/>
          <w:sz w:val="24"/>
          <w:szCs w:val="24"/>
          <w:lang w:val="en-GB"/>
        </w:rPr>
        <w:t xml:space="preserve">the </w:t>
      </w:r>
      <w:r w:rsidRPr="00A03898">
        <w:rPr>
          <w:rFonts w:ascii="Times New Roman" w:eastAsia="Times New Roman" w:hAnsi="Times New Roman" w:cs="Times New Roman"/>
          <w:color w:val="auto"/>
          <w:sz w:val="24"/>
          <w:szCs w:val="24"/>
          <w:lang w:val="en-GB"/>
        </w:rPr>
        <w:t>European Union. Since the 1950s the evolution of this integration was gradual and it include</w:t>
      </w:r>
      <w:r w:rsidR="00B0096B" w:rsidRPr="00A03898">
        <w:rPr>
          <w:rFonts w:ascii="Times New Roman" w:eastAsia="Times New Roman" w:hAnsi="Times New Roman" w:cs="Times New Roman"/>
          <w:color w:val="auto"/>
          <w:sz w:val="24"/>
          <w:szCs w:val="24"/>
          <w:lang w:val="en-GB"/>
        </w:rPr>
        <w:t>d</w:t>
      </w:r>
      <w:r w:rsidRPr="00A03898">
        <w:rPr>
          <w:rFonts w:ascii="Times New Roman" w:eastAsia="Times New Roman" w:hAnsi="Times New Roman" w:cs="Times New Roman"/>
          <w:color w:val="auto"/>
          <w:sz w:val="24"/>
          <w:szCs w:val="24"/>
          <w:lang w:val="en-GB"/>
        </w:rPr>
        <w:t xml:space="preserve"> harmonization of regulations and standards that br</w:t>
      </w:r>
      <w:r w:rsidR="00B0096B" w:rsidRPr="00A03898">
        <w:rPr>
          <w:rFonts w:ascii="Times New Roman" w:eastAsia="Times New Roman" w:hAnsi="Times New Roman" w:cs="Times New Roman"/>
          <w:color w:val="auto"/>
          <w:sz w:val="24"/>
          <w:szCs w:val="24"/>
          <w:lang w:val="en-GB"/>
        </w:rPr>
        <w:t>ou</w:t>
      </w:r>
      <w:r w:rsidR="009D157A" w:rsidRPr="00A03898">
        <w:rPr>
          <w:rFonts w:ascii="Times New Roman" w:eastAsia="Times New Roman" w:hAnsi="Times New Roman" w:cs="Times New Roman"/>
          <w:color w:val="auto"/>
          <w:sz w:val="24"/>
          <w:szCs w:val="24"/>
          <w:lang w:val="en-GB"/>
        </w:rPr>
        <w:t>ght</w:t>
      </w:r>
      <w:r w:rsidRPr="00A03898">
        <w:rPr>
          <w:rFonts w:ascii="Times New Roman" w:eastAsia="Times New Roman" w:hAnsi="Times New Roman" w:cs="Times New Roman"/>
          <w:color w:val="auto"/>
          <w:sz w:val="24"/>
          <w:szCs w:val="24"/>
          <w:lang w:val="en-GB"/>
        </w:rPr>
        <w:t xml:space="preserve"> the reductions in trading costs. This was accompanied by the several waves of EU enlargement toward Baltics and CEE countries. </w:t>
      </w:r>
      <w:r w:rsidR="00B0096B" w:rsidRPr="00A03898">
        <w:rPr>
          <w:rFonts w:ascii="Times New Roman" w:eastAsia="Times New Roman" w:hAnsi="Times New Roman" w:cs="Times New Roman"/>
          <w:color w:val="auto"/>
          <w:sz w:val="24"/>
          <w:szCs w:val="24"/>
          <w:lang w:val="en-GB"/>
        </w:rPr>
        <w:t>Unt</w:t>
      </w:r>
      <w:r w:rsidRPr="00A03898">
        <w:rPr>
          <w:rFonts w:ascii="Times New Roman" w:eastAsia="Times New Roman" w:hAnsi="Times New Roman" w:cs="Times New Roman"/>
          <w:color w:val="auto"/>
          <w:sz w:val="24"/>
          <w:szCs w:val="24"/>
          <w:lang w:val="en-GB"/>
        </w:rPr>
        <w:t>il recently this process was</w:t>
      </w:r>
      <w:r w:rsidR="007910F1" w:rsidRPr="00A03898">
        <w:rPr>
          <w:rFonts w:ascii="Times New Roman" w:eastAsia="Times New Roman" w:hAnsi="Times New Roman" w:cs="Times New Roman"/>
          <w:color w:val="auto"/>
          <w:sz w:val="24"/>
          <w:szCs w:val="24"/>
          <w:lang w:val="en-GB"/>
        </w:rPr>
        <w:t xml:space="preserve"> considered as</w:t>
      </w:r>
      <w:r w:rsidRPr="00A03898">
        <w:rPr>
          <w:rFonts w:ascii="Times New Roman" w:eastAsia="Times New Roman" w:hAnsi="Times New Roman" w:cs="Times New Roman"/>
          <w:color w:val="auto"/>
          <w:sz w:val="24"/>
          <w:szCs w:val="24"/>
          <w:lang w:val="en-GB"/>
        </w:rPr>
        <w:t xml:space="preserve"> a one-way street. </w:t>
      </w:r>
      <w:r w:rsidR="009D157A" w:rsidRPr="00A03898">
        <w:rPr>
          <w:rFonts w:ascii="Times New Roman" w:eastAsia="Times New Roman" w:hAnsi="Times New Roman" w:cs="Times New Roman"/>
          <w:color w:val="auto"/>
          <w:sz w:val="24"/>
          <w:szCs w:val="24"/>
          <w:lang w:val="en-GB"/>
        </w:rPr>
        <w:t>However, p</w:t>
      </w:r>
      <w:r w:rsidRPr="00A03898">
        <w:rPr>
          <w:rFonts w:ascii="Times New Roman" w:eastAsia="Times New Roman" w:hAnsi="Times New Roman" w:cs="Times New Roman"/>
          <w:color w:val="auto"/>
          <w:sz w:val="24"/>
          <w:szCs w:val="24"/>
          <w:lang w:val="en-GB"/>
        </w:rPr>
        <w:t xml:space="preserve">opulists </w:t>
      </w:r>
      <w:r w:rsidR="00771AD8" w:rsidRPr="00A03898">
        <w:rPr>
          <w:rFonts w:ascii="Times New Roman" w:eastAsia="Times New Roman" w:hAnsi="Times New Roman" w:cs="Times New Roman"/>
          <w:color w:val="auto"/>
          <w:sz w:val="24"/>
          <w:szCs w:val="24"/>
          <w:lang w:val="en-GB"/>
        </w:rPr>
        <w:t xml:space="preserve">across the world </w:t>
      </w:r>
      <w:r w:rsidR="009D157A" w:rsidRPr="00A03898">
        <w:rPr>
          <w:rFonts w:ascii="Times New Roman" w:eastAsia="Times New Roman" w:hAnsi="Times New Roman" w:cs="Times New Roman"/>
          <w:color w:val="auto"/>
          <w:sz w:val="24"/>
          <w:szCs w:val="24"/>
          <w:lang w:val="en-GB"/>
        </w:rPr>
        <w:t xml:space="preserve">and the EU </w:t>
      </w:r>
      <w:r w:rsidRPr="00A03898">
        <w:rPr>
          <w:rFonts w:ascii="Times New Roman" w:eastAsia="Times New Roman" w:hAnsi="Times New Roman" w:cs="Times New Roman"/>
          <w:color w:val="auto"/>
          <w:sz w:val="24"/>
          <w:szCs w:val="24"/>
          <w:lang w:val="en-GB"/>
        </w:rPr>
        <w:t xml:space="preserve">challenge </w:t>
      </w:r>
      <w:r w:rsidR="009D157A" w:rsidRPr="00A03898">
        <w:rPr>
          <w:rFonts w:ascii="Times New Roman" w:eastAsia="Times New Roman" w:hAnsi="Times New Roman" w:cs="Times New Roman"/>
          <w:color w:val="auto"/>
          <w:sz w:val="24"/>
          <w:szCs w:val="24"/>
          <w:lang w:val="en-GB"/>
        </w:rPr>
        <w:t>views</w:t>
      </w:r>
      <w:r w:rsidRPr="00A03898">
        <w:rPr>
          <w:rFonts w:ascii="Times New Roman" w:eastAsia="Times New Roman" w:hAnsi="Times New Roman" w:cs="Times New Roman"/>
          <w:color w:val="auto"/>
          <w:sz w:val="24"/>
          <w:szCs w:val="24"/>
          <w:lang w:val="en-GB"/>
        </w:rPr>
        <w:t xml:space="preserve"> that political and economic integration and cooperation brings benefits </w:t>
      </w:r>
      <w:r w:rsidR="000C0425" w:rsidRPr="00A03898">
        <w:rPr>
          <w:rFonts w:ascii="Times New Roman" w:eastAsia="Times New Roman" w:hAnsi="Times New Roman" w:cs="Times New Roman"/>
          <w:color w:val="auto"/>
          <w:sz w:val="24"/>
          <w:szCs w:val="24"/>
          <w:lang w:val="en-GB"/>
        </w:rPr>
        <w:t>to</w:t>
      </w:r>
      <w:r w:rsidRPr="00A03898">
        <w:rPr>
          <w:rFonts w:ascii="Times New Roman" w:eastAsia="Times New Roman" w:hAnsi="Times New Roman" w:cs="Times New Roman"/>
          <w:color w:val="auto"/>
          <w:sz w:val="24"/>
          <w:szCs w:val="24"/>
          <w:lang w:val="en-GB"/>
        </w:rPr>
        <w:t xml:space="preserve"> all participants. </w:t>
      </w:r>
    </w:p>
    <w:p w14:paraId="4A6416FA" w14:textId="09D01DA6" w:rsidR="00913F80" w:rsidRPr="00A03898" w:rsidRDefault="00246A3D" w:rsidP="00604FA7">
      <w:pPr>
        <w:pStyle w:val="Body"/>
        <w:spacing w:line="360" w:lineRule="auto"/>
        <w:ind w:firstLine="708"/>
        <w:jc w:val="both"/>
        <w:rPr>
          <w:rFonts w:ascii="Times New Roman" w:eastAsia="Times New Roman" w:hAnsi="Times New Roman" w:cs="Times New Roman"/>
          <w:color w:val="auto"/>
          <w:sz w:val="24"/>
          <w:szCs w:val="24"/>
          <w:lang w:val="en-GB"/>
        </w:rPr>
      </w:pPr>
      <w:r w:rsidRPr="00A03898">
        <w:rPr>
          <w:rFonts w:ascii="Times New Roman" w:eastAsia="Times New Roman" w:hAnsi="Times New Roman" w:cs="Times New Roman"/>
          <w:color w:val="auto"/>
          <w:sz w:val="24"/>
          <w:szCs w:val="24"/>
          <w:lang w:val="en-GB"/>
        </w:rPr>
        <w:t xml:space="preserve">This paper explores whether and in which way intra-EU trade of eleven CEE member states and integration of their manufacturing industries in EU forward and backward value chains influence the formation of new businesses and creation of high growth firms. </w:t>
      </w:r>
      <w:r w:rsidR="00771AD8" w:rsidRPr="00A03898">
        <w:rPr>
          <w:rFonts w:ascii="Times New Roman" w:eastAsia="Times New Roman" w:hAnsi="Times New Roman" w:cs="Times New Roman"/>
          <w:color w:val="auto"/>
          <w:sz w:val="24"/>
          <w:szCs w:val="24"/>
          <w:lang w:val="en-GB"/>
        </w:rPr>
        <w:t>Our results indicate</w:t>
      </w:r>
      <w:r w:rsidRPr="00A03898">
        <w:rPr>
          <w:rFonts w:ascii="Times New Roman" w:eastAsia="Times New Roman" w:hAnsi="Times New Roman" w:cs="Times New Roman"/>
          <w:color w:val="auto"/>
          <w:sz w:val="24"/>
          <w:szCs w:val="24"/>
          <w:lang w:val="en-GB"/>
        </w:rPr>
        <w:t xml:space="preserve"> that there are positive </w:t>
      </w:r>
      <w:r w:rsidR="00913F80" w:rsidRPr="00A03898">
        <w:rPr>
          <w:rFonts w:ascii="Times New Roman" w:eastAsia="Times New Roman" w:hAnsi="Times New Roman" w:cs="Times New Roman"/>
          <w:color w:val="auto"/>
          <w:sz w:val="24"/>
          <w:szCs w:val="24"/>
          <w:lang w:val="en-GB"/>
        </w:rPr>
        <w:t>effects of</w:t>
      </w:r>
      <w:r w:rsidRPr="00A03898">
        <w:rPr>
          <w:rFonts w:ascii="Times New Roman" w:eastAsia="Times New Roman" w:hAnsi="Times New Roman" w:cs="Times New Roman"/>
          <w:color w:val="auto"/>
          <w:sz w:val="24"/>
          <w:szCs w:val="24"/>
          <w:lang w:val="en-GB"/>
        </w:rPr>
        <w:t xml:space="preserve"> intra-EU imports and exports on a share of new firms, and on </w:t>
      </w:r>
      <w:r w:rsidR="00913F80" w:rsidRPr="00A03898">
        <w:rPr>
          <w:rFonts w:ascii="Times New Roman" w:eastAsia="Times New Roman" w:hAnsi="Times New Roman" w:cs="Times New Roman"/>
          <w:color w:val="auto"/>
          <w:sz w:val="24"/>
          <w:szCs w:val="24"/>
          <w:lang w:val="en-GB"/>
        </w:rPr>
        <w:t xml:space="preserve">the </w:t>
      </w:r>
      <w:r w:rsidRPr="00A03898">
        <w:rPr>
          <w:rFonts w:ascii="Times New Roman" w:eastAsia="Times New Roman" w:hAnsi="Times New Roman" w:cs="Times New Roman"/>
          <w:color w:val="auto"/>
          <w:sz w:val="24"/>
          <w:szCs w:val="24"/>
          <w:lang w:val="en-GB"/>
        </w:rPr>
        <w:t xml:space="preserve">share of high growth firms in </w:t>
      </w:r>
      <w:r w:rsidR="00913F80" w:rsidRPr="00A03898">
        <w:rPr>
          <w:rFonts w:ascii="Times New Roman" w:eastAsia="Times New Roman" w:hAnsi="Times New Roman" w:cs="Times New Roman"/>
          <w:color w:val="auto"/>
          <w:sz w:val="24"/>
          <w:szCs w:val="24"/>
          <w:lang w:val="en-GB"/>
        </w:rPr>
        <w:t xml:space="preserve">the </w:t>
      </w:r>
      <w:r w:rsidRPr="00A03898">
        <w:rPr>
          <w:rFonts w:ascii="Times New Roman" w:eastAsia="Times New Roman" w:hAnsi="Times New Roman" w:cs="Times New Roman"/>
          <w:color w:val="auto"/>
          <w:sz w:val="24"/>
          <w:szCs w:val="24"/>
          <w:lang w:val="en-GB"/>
        </w:rPr>
        <w:t>total population of enterprises</w:t>
      </w:r>
      <w:r w:rsidR="004A46ED" w:rsidRPr="00A03898">
        <w:rPr>
          <w:rFonts w:ascii="Times New Roman" w:eastAsia="Times New Roman" w:hAnsi="Times New Roman" w:cs="Times New Roman"/>
          <w:color w:val="auto"/>
          <w:sz w:val="24"/>
          <w:szCs w:val="24"/>
          <w:lang w:val="en-GB"/>
        </w:rPr>
        <w:t xml:space="preserve"> across manufacturing sectors of all technological intensities</w:t>
      </w:r>
      <w:r w:rsidRPr="00A03898">
        <w:rPr>
          <w:rFonts w:ascii="Times New Roman" w:eastAsia="Times New Roman" w:hAnsi="Times New Roman" w:cs="Times New Roman"/>
          <w:color w:val="auto"/>
          <w:sz w:val="24"/>
          <w:szCs w:val="24"/>
          <w:lang w:val="en-GB"/>
        </w:rPr>
        <w:t xml:space="preserve">. Differentiation of trade in final goods and trade in intermediates leads us to the conclusion that the effects of exports of final goods are stronger than intermediate goods but in the case of imports the intermediate goods </w:t>
      </w:r>
      <w:r w:rsidR="00B0096B" w:rsidRPr="00A03898">
        <w:rPr>
          <w:rFonts w:ascii="Times New Roman" w:eastAsia="Times New Roman" w:hAnsi="Times New Roman" w:cs="Times New Roman"/>
          <w:color w:val="auto"/>
          <w:sz w:val="24"/>
          <w:szCs w:val="24"/>
          <w:lang w:val="en-GB"/>
        </w:rPr>
        <w:t xml:space="preserve">effects outweigh ones in </w:t>
      </w:r>
      <w:r w:rsidRPr="00A03898">
        <w:rPr>
          <w:rFonts w:ascii="Times New Roman" w:eastAsia="Times New Roman" w:hAnsi="Times New Roman" w:cs="Times New Roman"/>
          <w:color w:val="auto"/>
          <w:sz w:val="24"/>
          <w:szCs w:val="24"/>
          <w:lang w:val="en-GB"/>
        </w:rPr>
        <w:t xml:space="preserve">the final </w:t>
      </w:r>
      <w:r w:rsidR="00B0096B" w:rsidRPr="00A03898">
        <w:rPr>
          <w:rFonts w:ascii="Times New Roman" w:eastAsia="Times New Roman" w:hAnsi="Times New Roman" w:cs="Times New Roman"/>
          <w:color w:val="auto"/>
          <w:sz w:val="24"/>
          <w:szCs w:val="24"/>
          <w:lang w:val="en-GB"/>
        </w:rPr>
        <w:t>goods</w:t>
      </w:r>
      <w:r w:rsidRPr="00A03898">
        <w:rPr>
          <w:rFonts w:ascii="Times New Roman" w:eastAsia="Times New Roman" w:hAnsi="Times New Roman" w:cs="Times New Roman"/>
          <w:color w:val="auto"/>
          <w:sz w:val="24"/>
          <w:szCs w:val="24"/>
          <w:lang w:val="en-GB"/>
        </w:rPr>
        <w:t xml:space="preserve">. </w:t>
      </w:r>
      <w:r w:rsidR="00913F80" w:rsidRPr="00A03898">
        <w:rPr>
          <w:rFonts w:ascii="Times New Roman" w:eastAsia="Times New Roman" w:hAnsi="Times New Roman" w:cs="Times New Roman"/>
          <w:color w:val="auto"/>
          <w:sz w:val="24"/>
          <w:szCs w:val="24"/>
          <w:lang w:val="en-GB"/>
        </w:rPr>
        <w:t xml:space="preserve">Moreover, it seems that trade with advanced EU member states is responsible for transformation of firms into high growth entities while trade and GVC linkages within CEE </w:t>
      </w:r>
      <w:r w:rsidR="004A46ED" w:rsidRPr="00A03898">
        <w:rPr>
          <w:rFonts w:ascii="Times New Roman" w:eastAsia="Times New Roman" w:hAnsi="Times New Roman" w:cs="Times New Roman"/>
          <w:color w:val="auto"/>
          <w:sz w:val="24"/>
          <w:szCs w:val="24"/>
          <w:lang w:val="en-GB"/>
        </w:rPr>
        <w:t xml:space="preserve">increase </w:t>
      </w:r>
      <w:r w:rsidR="000C0425" w:rsidRPr="00A03898">
        <w:rPr>
          <w:rFonts w:ascii="Times New Roman" w:eastAsia="Times New Roman" w:hAnsi="Times New Roman" w:cs="Times New Roman"/>
          <w:color w:val="auto"/>
          <w:sz w:val="24"/>
          <w:szCs w:val="24"/>
          <w:lang w:val="en-GB"/>
        </w:rPr>
        <w:t xml:space="preserve">the </w:t>
      </w:r>
      <w:r w:rsidR="004A46ED" w:rsidRPr="00A03898">
        <w:rPr>
          <w:rFonts w:ascii="Times New Roman" w:eastAsia="Times New Roman" w:hAnsi="Times New Roman" w:cs="Times New Roman"/>
          <w:color w:val="auto"/>
          <w:sz w:val="24"/>
          <w:szCs w:val="24"/>
          <w:lang w:val="en-GB"/>
        </w:rPr>
        <w:t>share of start-ups</w:t>
      </w:r>
      <w:r w:rsidR="00913F80" w:rsidRPr="00A03898">
        <w:rPr>
          <w:rFonts w:ascii="Times New Roman" w:eastAsia="Times New Roman" w:hAnsi="Times New Roman" w:cs="Times New Roman"/>
          <w:color w:val="auto"/>
          <w:sz w:val="24"/>
          <w:szCs w:val="24"/>
          <w:lang w:val="en-GB"/>
        </w:rPr>
        <w:t xml:space="preserve">. </w:t>
      </w:r>
    </w:p>
    <w:p w14:paraId="298B40C2" w14:textId="34633489" w:rsidR="00246A3D" w:rsidRPr="00A03898" w:rsidRDefault="00246A3D" w:rsidP="00604FA7">
      <w:pPr>
        <w:pStyle w:val="Body"/>
        <w:spacing w:line="360" w:lineRule="auto"/>
        <w:ind w:firstLine="708"/>
        <w:jc w:val="both"/>
        <w:rPr>
          <w:rFonts w:ascii="Times New Roman" w:eastAsia="Times New Roman" w:hAnsi="Times New Roman" w:cs="Times New Roman"/>
          <w:color w:val="auto"/>
          <w:sz w:val="24"/>
          <w:szCs w:val="24"/>
          <w:lang w:val="en-GB"/>
        </w:rPr>
      </w:pPr>
      <w:r w:rsidRPr="00A03898">
        <w:rPr>
          <w:rFonts w:ascii="Times New Roman" w:eastAsia="Times New Roman" w:hAnsi="Times New Roman" w:cs="Times New Roman"/>
          <w:color w:val="auto"/>
          <w:sz w:val="24"/>
          <w:szCs w:val="24"/>
          <w:lang w:val="en-GB"/>
        </w:rPr>
        <w:t xml:space="preserve">The analysis of the inclusion of CEE countries in </w:t>
      </w:r>
      <w:r w:rsidR="004A46ED" w:rsidRPr="00A03898">
        <w:rPr>
          <w:rFonts w:ascii="Times New Roman" w:eastAsia="Times New Roman" w:hAnsi="Times New Roman" w:cs="Times New Roman"/>
          <w:color w:val="auto"/>
          <w:sz w:val="24"/>
          <w:szCs w:val="24"/>
          <w:lang w:val="en-GB"/>
        </w:rPr>
        <w:t xml:space="preserve">a </w:t>
      </w:r>
      <w:r w:rsidRPr="00A03898">
        <w:rPr>
          <w:rFonts w:ascii="Times New Roman" w:eastAsia="Times New Roman" w:hAnsi="Times New Roman" w:cs="Times New Roman"/>
          <w:color w:val="auto"/>
          <w:sz w:val="24"/>
          <w:szCs w:val="24"/>
          <w:lang w:val="en-GB"/>
        </w:rPr>
        <w:t xml:space="preserve">forward </w:t>
      </w:r>
      <w:r w:rsidR="004C77DA" w:rsidRPr="00A03898">
        <w:rPr>
          <w:rFonts w:ascii="Times New Roman" w:eastAsia="Times New Roman" w:hAnsi="Times New Roman" w:cs="Times New Roman"/>
          <w:color w:val="auto"/>
          <w:sz w:val="24"/>
          <w:szCs w:val="24"/>
          <w:lang w:val="en-GB"/>
        </w:rPr>
        <w:t>GVC</w:t>
      </w:r>
      <w:r w:rsidRPr="00A03898">
        <w:rPr>
          <w:rFonts w:ascii="Times New Roman" w:eastAsia="Times New Roman" w:hAnsi="Times New Roman" w:cs="Times New Roman"/>
          <w:color w:val="auto"/>
          <w:sz w:val="24"/>
          <w:szCs w:val="24"/>
          <w:lang w:val="en-GB"/>
        </w:rPr>
        <w:t xml:space="preserve"> reveal</w:t>
      </w:r>
      <w:r w:rsidR="00B0096B" w:rsidRPr="00A03898">
        <w:rPr>
          <w:rFonts w:ascii="Times New Roman" w:eastAsia="Times New Roman" w:hAnsi="Times New Roman" w:cs="Times New Roman"/>
          <w:color w:val="auto"/>
          <w:sz w:val="24"/>
          <w:szCs w:val="24"/>
          <w:lang w:val="en-GB"/>
        </w:rPr>
        <w:t>ed</w:t>
      </w:r>
      <w:r w:rsidRPr="00A03898">
        <w:rPr>
          <w:rFonts w:ascii="Times New Roman" w:eastAsia="Times New Roman" w:hAnsi="Times New Roman" w:cs="Times New Roman"/>
          <w:color w:val="auto"/>
          <w:sz w:val="24"/>
          <w:szCs w:val="24"/>
          <w:lang w:val="en-GB"/>
        </w:rPr>
        <w:t xml:space="preserve"> a positive effect of forward GVC participation on </w:t>
      </w:r>
      <w:r w:rsidR="00BF6705" w:rsidRPr="00A03898">
        <w:rPr>
          <w:rFonts w:ascii="Times New Roman" w:eastAsia="Times New Roman" w:hAnsi="Times New Roman" w:cs="Times New Roman"/>
          <w:color w:val="auto"/>
          <w:sz w:val="24"/>
          <w:szCs w:val="24"/>
          <w:lang w:val="en-GB"/>
        </w:rPr>
        <w:t xml:space="preserve">the </w:t>
      </w:r>
      <w:r w:rsidRPr="00A03898">
        <w:rPr>
          <w:rFonts w:ascii="Times New Roman" w:eastAsia="Times New Roman" w:hAnsi="Times New Roman" w:cs="Times New Roman"/>
          <w:color w:val="auto"/>
          <w:sz w:val="24"/>
          <w:szCs w:val="24"/>
          <w:lang w:val="en-GB"/>
        </w:rPr>
        <w:t>firm</w:t>
      </w:r>
      <w:r w:rsidR="00BF6705" w:rsidRPr="00A03898">
        <w:rPr>
          <w:rFonts w:ascii="Times New Roman" w:eastAsia="Times New Roman" w:hAnsi="Times New Roman" w:cs="Times New Roman"/>
          <w:color w:val="auto"/>
          <w:sz w:val="24"/>
          <w:szCs w:val="24"/>
          <w:lang w:val="en-GB"/>
        </w:rPr>
        <w:t>’s</w:t>
      </w:r>
      <w:r w:rsidRPr="00A03898">
        <w:rPr>
          <w:rFonts w:ascii="Times New Roman" w:eastAsia="Times New Roman" w:hAnsi="Times New Roman" w:cs="Times New Roman"/>
          <w:color w:val="auto"/>
          <w:sz w:val="24"/>
          <w:szCs w:val="24"/>
          <w:lang w:val="en-GB"/>
        </w:rPr>
        <w:t xml:space="preserve"> entry and growth</w:t>
      </w:r>
      <w:r w:rsidR="00B0096B" w:rsidRPr="00A03898">
        <w:rPr>
          <w:rFonts w:ascii="Times New Roman" w:eastAsia="Times New Roman" w:hAnsi="Times New Roman" w:cs="Times New Roman"/>
          <w:color w:val="auto"/>
          <w:sz w:val="24"/>
          <w:szCs w:val="24"/>
          <w:lang w:val="en-GB"/>
        </w:rPr>
        <w:t xml:space="preserve">. </w:t>
      </w:r>
      <w:proofErr w:type="gramStart"/>
      <w:r w:rsidR="00B0096B" w:rsidRPr="00A03898">
        <w:rPr>
          <w:rFonts w:ascii="Times New Roman" w:eastAsia="Times New Roman" w:hAnsi="Times New Roman" w:cs="Times New Roman"/>
          <w:color w:val="auto"/>
          <w:sz w:val="24"/>
          <w:szCs w:val="24"/>
          <w:lang w:val="en-GB"/>
        </w:rPr>
        <w:t>This finding challenges policies</w:t>
      </w:r>
      <w:proofErr w:type="gramEnd"/>
      <w:r w:rsidR="00B0096B" w:rsidRPr="00A03898">
        <w:rPr>
          <w:rFonts w:ascii="Times New Roman" w:eastAsia="Times New Roman" w:hAnsi="Times New Roman" w:cs="Times New Roman"/>
          <w:color w:val="auto"/>
          <w:sz w:val="24"/>
          <w:szCs w:val="24"/>
          <w:lang w:val="en-GB"/>
        </w:rPr>
        <w:t xml:space="preserve"> pursued by CEE countries over past decades as </w:t>
      </w:r>
      <w:r w:rsidR="00BF6705" w:rsidRPr="00A03898">
        <w:rPr>
          <w:rFonts w:ascii="Times New Roman" w:eastAsia="Times New Roman" w:hAnsi="Times New Roman" w:cs="Times New Roman"/>
          <w:color w:val="auto"/>
          <w:sz w:val="24"/>
          <w:szCs w:val="24"/>
          <w:lang w:val="en-GB"/>
        </w:rPr>
        <w:t xml:space="preserve">the </w:t>
      </w:r>
      <w:r w:rsidR="00B0096B" w:rsidRPr="00A03898">
        <w:rPr>
          <w:rFonts w:ascii="Times New Roman" w:eastAsia="Times New Roman" w:hAnsi="Times New Roman" w:cs="Times New Roman"/>
          <w:color w:val="auto"/>
          <w:sz w:val="24"/>
          <w:szCs w:val="24"/>
          <w:lang w:val="en-GB"/>
        </w:rPr>
        <w:t xml:space="preserve">integration of CEE into EU value chains mainly took part through backward channel of foreign value added embodied in domestic exports. It also shows that future policies should find a way to build indigenous competences and capabilities that would result </w:t>
      </w:r>
      <w:r w:rsidR="009F4F0A" w:rsidRPr="00A03898">
        <w:rPr>
          <w:rFonts w:ascii="Times New Roman" w:eastAsia="Times New Roman" w:hAnsi="Times New Roman" w:cs="Times New Roman"/>
          <w:color w:val="auto"/>
          <w:sz w:val="24"/>
          <w:szCs w:val="24"/>
          <w:lang w:val="en-GB"/>
        </w:rPr>
        <w:t>in</w:t>
      </w:r>
      <w:r w:rsidR="00B0096B" w:rsidRPr="00A03898">
        <w:rPr>
          <w:rFonts w:ascii="Times New Roman" w:eastAsia="Times New Roman" w:hAnsi="Times New Roman" w:cs="Times New Roman"/>
          <w:color w:val="auto"/>
          <w:sz w:val="24"/>
          <w:szCs w:val="24"/>
          <w:lang w:val="en-GB"/>
        </w:rPr>
        <w:t xml:space="preserve"> greater share of indigenous CEE value added embodied in goods produced by advanced countries. Such effects require building of indigenous innovation competences and capabilities in which CEE are least developed part of the EU. </w:t>
      </w:r>
    </w:p>
    <w:p w14:paraId="56E358FA" w14:textId="37FCE9C1" w:rsidR="00F15483" w:rsidRPr="00A03898" w:rsidRDefault="00246A3D" w:rsidP="00604FA7">
      <w:pPr>
        <w:pStyle w:val="Body"/>
        <w:spacing w:line="360" w:lineRule="auto"/>
        <w:ind w:firstLine="708"/>
        <w:jc w:val="both"/>
        <w:rPr>
          <w:rFonts w:ascii="Times New Roman" w:eastAsia="Times New Roman" w:hAnsi="Times New Roman" w:cs="Times New Roman"/>
          <w:color w:val="auto"/>
          <w:sz w:val="24"/>
          <w:szCs w:val="24"/>
          <w:lang w:val="en-GB"/>
        </w:rPr>
      </w:pPr>
      <w:r w:rsidRPr="00A03898">
        <w:rPr>
          <w:rFonts w:ascii="Times New Roman" w:eastAsia="Times New Roman" w:hAnsi="Times New Roman" w:cs="Times New Roman"/>
          <w:color w:val="auto"/>
          <w:sz w:val="24"/>
          <w:szCs w:val="24"/>
          <w:lang w:val="en-GB"/>
        </w:rPr>
        <w:t xml:space="preserve">The mediating </w:t>
      </w:r>
      <w:r w:rsidR="00913F80" w:rsidRPr="00A03898">
        <w:rPr>
          <w:rFonts w:ascii="Times New Roman" w:eastAsia="Times New Roman" w:hAnsi="Times New Roman" w:cs="Times New Roman"/>
          <w:color w:val="auto"/>
          <w:sz w:val="24"/>
          <w:szCs w:val="24"/>
          <w:lang w:val="en-GB"/>
        </w:rPr>
        <w:t>effect</w:t>
      </w:r>
      <w:r w:rsidRPr="00A03898">
        <w:rPr>
          <w:rFonts w:ascii="Times New Roman" w:eastAsia="Times New Roman" w:hAnsi="Times New Roman" w:cs="Times New Roman"/>
          <w:color w:val="auto"/>
          <w:sz w:val="24"/>
          <w:szCs w:val="24"/>
          <w:lang w:val="en-GB"/>
        </w:rPr>
        <w:t xml:space="preserve"> of technological intensity on the relationship between trade and GVC </w:t>
      </w:r>
      <w:r w:rsidR="00913F80" w:rsidRPr="00A03898">
        <w:rPr>
          <w:rFonts w:ascii="Times New Roman" w:eastAsia="Times New Roman" w:hAnsi="Times New Roman" w:cs="Times New Roman"/>
          <w:color w:val="auto"/>
          <w:sz w:val="24"/>
          <w:szCs w:val="24"/>
          <w:lang w:val="en-GB"/>
        </w:rPr>
        <w:t>integration</w:t>
      </w:r>
      <w:r w:rsidRPr="00A03898">
        <w:rPr>
          <w:rFonts w:ascii="Times New Roman" w:eastAsia="Times New Roman" w:hAnsi="Times New Roman" w:cs="Times New Roman"/>
          <w:color w:val="auto"/>
          <w:sz w:val="24"/>
          <w:szCs w:val="24"/>
          <w:lang w:val="en-GB"/>
        </w:rPr>
        <w:t xml:space="preserve"> and </w:t>
      </w:r>
      <w:r w:rsidR="00913F80" w:rsidRPr="00A03898">
        <w:rPr>
          <w:rFonts w:ascii="Times New Roman" w:eastAsia="Times New Roman" w:hAnsi="Times New Roman" w:cs="Times New Roman"/>
          <w:color w:val="auto"/>
          <w:sz w:val="24"/>
          <w:szCs w:val="24"/>
          <w:lang w:val="en-GB"/>
        </w:rPr>
        <w:t xml:space="preserve">the shares of </w:t>
      </w:r>
      <w:r w:rsidRPr="00A03898">
        <w:rPr>
          <w:rFonts w:ascii="Times New Roman" w:eastAsia="Times New Roman" w:hAnsi="Times New Roman" w:cs="Times New Roman"/>
          <w:color w:val="auto"/>
          <w:sz w:val="24"/>
          <w:szCs w:val="24"/>
          <w:lang w:val="en-GB"/>
        </w:rPr>
        <w:t>entr</w:t>
      </w:r>
      <w:r w:rsidR="00913F80" w:rsidRPr="00A03898">
        <w:rPr>
          <w:rFonts w:ascii="Times New Roman" w:eastAsia="Times New Roman" w:hAnsi="Times New Roman" w:cs="Times New Roman"/>
          <w:color w:val="auto"/>
          <w:sz w:val="24"/>
          <w:szCs w:val="24"/>
          <w:lang w:val="en-GB"/>
        </w:rPr>
        <w:t>ants</w:t>
      </w:r>
      <w:r w:rsidRPr="00A03898">
        <w:rPr>
          <w:rFonts w:ascii="Times New Roman" w:eastAsia="Times New Roman" w:hAnsi="Times New Roman" w:cs="Times New Roman"/>
          <w:color w:val="auto"/>
          <w:sz w:val="24"/>
          <w:szCs w:val="24"/>
          <w:lang w:val="en-GB"/>
        </w:rPr>
        <w:t xml:space="preserve"> and high growth firms </w:t>
      </w:r>
      <w:r w:rsidR="00F15483" w:rsidRPr="00A03898">
        <w:rPr>
          <w:rFonts w:ascii="Times New Roman" w:eastAsia="Times New Roman" w:hAnsi="Times New Roman" w:cs="Times New Roman"/>
          <w:color w:val="auto"/>
          <w:sz w:val="24"/>
          <w:szCs w:val="24"/>
          <w:lang w:val="en-GB"/>
        </w:rPr>
        <w:t>w</w:t>
      </w:r>
      <w:r w:rsidR="00913F80" w:rsidRPr="00A03898">
        <w:rPr>
          <w:rFonts w:ascii="Times New Roman" w:eastAsia="Times New Roman" w:hAnsi="Times New Roman" w:cs="Times New Roman"/>
          <w:color w:val="auto"/>
          <w:sz w:val="24"/>
          <w:szCs w:val="24"/>
          <w:lang w:val="en-GB"/>
        </w:rPr>
        <w:t>as</w:t>
      </w:r>
      <w:r w:rsidRPr="00A03898">
        <w:rPr>
          <w:rFonts w:ascii="Times New Roman" w:eastAsia="Times New Roman" w:hAnsi="Times New Roman" w:cs="Times New Roman"/>
          <w:color w:val="auto"/>
          <w:sz w:val="24"/>
          <w:szCs w:val="24"/>
          <w:lang w:val="en-GB"/>
        </w:rPr>
        <w:t xml:space="preserve"> also examined. The </w:t>
      </w:r>
      <w:r w:rsidRPr="00A03898">
        <w:rPr>
          <w:rFonts w:ascii="Times New Roman" w:eastAsia="Times New Roman" w:hAnsi="Times New Roman" w:cs="Times New Roman"/>
          <w:color w:val="auto"/>
          <w:sz w:val="24"/>
          <w:szCs w:val="24"/>
          <w:lang w:val="en-GB"/>
        </w:rPr>
        <w:lastRenderedPageBreak/>
        <w:t>results</w:t>
      </w:r>
      <w:r w:rsidR="00F15483" w:rsidRPr="00A03898">
        <w:rPr>
          <w:rFonts w:ascii="Times New Roman" w:eastAsia="Times New Roman" w:hAnsi="Times New Roman" w:cs="Times New Roman"/>
          <w:color w:val="auto"/>
          <w:sz w:val="24"/>
          <w:szCs w:val="24"/>
          <w:lang w:val="en-GB"/>
        </w:rPr>
        <w:t xml:space="preserve"> revealed</w:t>
      </w:r>
      <w:r w:rsidR="000F21FC" w:rsidRPr="00A03898">
        <w:rPr>
          <w:rFonts w:ascii="Times New Roman" w:eastAsia="Times New Roman" w:hAnsi="Times New Roman" w:cs="Times New Roman"/>
          <w:color w:val="auto"/>
          <w:sz w:val="24"/>
          <w:szCs w:val="24"/>
          <w:lang w:val="en-GB"/>
        </w:rPr>
        <w:t xml:space="preserve"> a</w:t>
      </w:r>
      <w:r w:rsidRPr="00A03898">
        <w:rPr>
          <w:rFonts w:ascii="Times New Roman" w:eastAsia="Times New Roman" w:hAnsi="Times New Roman" w:cs="Times New Roman"/>
          <w:color w:val="auto"/>
          <w:sz w:val="24"/>
          <w:szCs w:val="24"/>
          <w:lang w:val="en-GB"/>
        </w:rPr>
        <w:t xml:space="preserve"> </w:t>
      </w:r>
      <w:r w:rsidR="004C77DA" w:rsidRPr="00A03898">
        <w:rPr>
          <w:rFonts w:ascii="Times New Roman" w:eastAsia="Times New Roman" w:hAnsi="Times New Roman" w:cs="Times New Roman"/>
          <w:color w:val="auto"/>
          <w:sz w:val="24"/>
          <w:szCs w:val="24"/>
          <w:lang w:val="en-GB"/>
        </w:rPr>
        <w:t xml:space="preserve">lack of </w:t>
      </w:r>
      <w:r w:rsidRPr="00A03898">
        <w:rPr>
          <w:rFonts w:ascii="Times New Roman" w:eastAsia="Times New Roman" w:hAnsi="Times New Roman" w:cs="Times New Roman"/>
          <w:color w:val="auto"/>
          <w:sz w:val="24"/>
          <w:szCs w:val="24"/>
          <w:lang w:val="en-GB"/>
        </w:rPr>
        <w:t>statistically significant difference between these two groups</w:t>
      </w:r>
      <w:r w:rsidR="00913F80" w:rsidRPr="00A03898">
        <w:rPr>
          <w:rFonts w:ascii="Times New Roman" w:eastAsia="Times New Roman" w:hAnsi="Times New Roman" w:cs="Times New Roman"/>
          <w:color w:val="auto"/>
          <w:sz w:val="24"/>
          <w:szCs w:val="24"/>
          <w:lang w:val="en-GB"/>
        </w:rPr>
        <w:t>.</w:t>
      </w:r>
      <w:r w:rsidRPr="00A03898">
        <w:rPr>
          <w:rFonts w:ascii="Times New Roman" w:eastAsia="Times New Roman" w:hAnsi="Times New Roman" w:cs="Times New Roman"/>
          <w:color w:val="auto"/>
          <w:sz w:val="24"/>
          <w:szCs w:val="24"/>
          <w:lang w:val="en-GB"/>
        </w:rPr>
        <w:t xml:space="preserve"> </w:t>
      </w:r>
      <w:r w:rsidR="00913F80" w:rsidRPr="00A03898">
        <w:rPr>
          <w:rFonts w:ascii="Times New Roman" w:eastAsia="Times New Roman" w:hAnsi="Times New Roman" w:cs="Times New Roman"/>
          <w:color w:val="auto"/>
          <w:sz w:val="24"/>
          <w:szCs w:val="24"/>
          <w:lang w:val="en-GB"/>
        </w:rPr>
        <w:t xml:space="preserve">This finding serves </w:t>
      </w:r>
      <w:r w:rsidR="00B53B11" w:rsidRPr="00A03898">
        <w:rPr>
          <w:rFonts w:ascii="Times New Roman" w:eastAsia="Times New Roman" w:hAnsi="Times New Roman" w:cs="Times New Roman"/>
          <w:color w:val="auto"/>
          <w:sz w:val="24"/>
          <w:szCs w:val="24"/>
          <w:lang w:val="en-GB"/>
        </w:rPr>
        <w:t xml:space="preserve">as </w:t>
      </w:r>
      <w:r w:rsidR="00A36D5D" w:rsidRPr="00A03898">
        <w:rPr>
          <w:rFonts w:ascii="Times New Roman" w:eastAsia="Times New Roman" w:hAnsi="Times New Roman" w:cs="Times New Roman"/>
          <w:color w:val="auto"/>
          <w:sz w:val="24"/>
          <w:szCs w:val="24"/>
          <w:lang w:val="en-GB"/>
        </w:rPr>
        <w:t>additional</w:t>
      </w:r>
      <w:r w:rsidR="00B53B11" w:rsidRPr="00A03898">
        <w:rPr>
          <w:rFonts w:ascii="Times New Roman" w:eastAsia="Times New Roman" w:hAnsi="Times New Roman" w:cs="Times New Roman"/>
          <w:color w:val="auto"/>
          <w:sz w:val="24"/>
          <w:szCs w:val="24"/>
          <w:lang w:val="en-GB"/>
        </w:rPr>
        <w:t xml:space="preserve"> evidence that </w:t>
      </w:r>
      <w:r w:rsidR="000F21FC" w:rsidRPr="00A03898">
        <w:rPr>
          <w:rFonts w:ascii="Times New Roman" w:eastAsia="Times New Roman" w:hAnsi="Times New Roman" w:cs="Times New Roman"/>
          <w:color w:val="auto"/>
          <w:sz w:val="24"/>
          <w:szCs w:val="24"/>
          <w:lang w:val="en-GB"/>
        </w:rPr>
        <w:t xml:space="preserve">the </w:t>
      </w:r>
      <w:r w:rsidR="00B53B11" w:rsidRPr="00A03898">
        <w:rPr>
          <w:rFonts w:ascii="Times New Roman" w:eastAsia="Times New Roman" w:hAnsi="Times New Roman" w:cs="Times New Roman"/>
          <w:color w:val="auto"/>
          <w:sz w:val="24"/>
          <w:szCs w:val="24"/>
          <w:lang w:val="en-GB"/>
        </w:rPr>
        <w:t xml:space="preserve">ability to participate on international market provides beneficial effects for domestic economy. </w:t>
      </w:r>
      <w:r w:rsidR="00F15483" w:rsidRPr="00A03898">
        <w:rPr>
          <w:rFonts w:ascii="Times New Roman" w:eastAsia="Times New Roman" w:hAnsi="Times New Roman" w:cs="Times New Roman"/>
          <w:color w:val="auto"/>
          <w:sz w:val="24"/>
          <w:szCs w:val="24"/>
          <w:lang w:val="en-GB"/>
        </w:rPr>
        <w:t xml:space="preserve">The paper also reveals </w:t>
      </w:r>
      <w:r w:rsidR="000F21FC" w:rsidRPr="00A03898">
        <w:rPr>
          <w:rFonts w:ascii="Times New Roman" w:eastAsia="Times New Roman" w:hAnsi="Times New Roman" w:cs="Times New Roman"/>
          <w:color w:val="auto"/>
          <w:sz w:val="24"/>
          <w:szCs w:val="24"/>
          <w:lang w:val="en-GB"/>
        </w:rPr>
        <w:t xml:space="preserve">the </w:t>
      </w:r>
      <w:r w:rsidR="00F15483" w:rsidRPr="00A03898">
        <w:rPr>
          <w:rFonts w:ascii="Times New Roman" w:eastAsia="Times New Roman" w:hAnsi="Times New Roman" w:cs="Times New Roman"/>
          <w:color w:val="auto"/>
          <w:sz w:val="24"/>
          <w:szCs w:val="24"/>
          <w:lang w:val="en-GB"/>
        </w:rPr>
        <w:t xml:space="preserve">existence of </w:t>
      </w:r>
      <w:r w:rsidR="00A36D5D" w:rsidRPr="00A03898">
        <w:rPr>
          <w:rFonts w:ascii="Times New Roman" w:eastAsia="Times New Roman" w:hAnsi="Times New Roman" w:cs="Times New Roman"/>
          <w:color w:val="auto"/>
          <w:sz w:val="24"/>
          <w:szCs w:val="24"/>
          <w:lang w:val="en-GB"/>
        </w:rPr>
        <w:t xml:space="preserve">the </w:t>
      </w:r>
      <w:r w:rsidR="00F15483" w:rsidRPr="00A03898">
        <w:rPr>
          <w:rFonts w:ascii="Times New Roman" w:eastAsia="Times New Roman" w:hAnsi="Times New Roman" w:cs="Times New Roman"/>
          <w:color w:val="auto"/>
          <w:sz w:val="24"/>
          <w:szCs w:val="24"/>
          <w:lang w:val="en-GB"/>
        </w:rPr>
        <w:t xml:space="preserve">first mover advantages in terms of trade and GVC integration benefits. It seems that those countries that </w:t>
      </w:r>
      <w:r w:rsidR="00827BA8" w:rsidRPr="00A03898">
        <w:rPr>
          <w:rFonts w:ascii="Times New Roman" w:eastAsia="Times New Roman" w:hAnsi="Times New Roman" w:cs="Times New Roman"/>
          <w:color w:val="auto"/>
          <w:sz w:val="24"/>
          <w:szCs w:val="24"/>
          <w:lang w:val="en-GB"/>
        </w:rPr>
        <w:t xml:space="preserve">were among the first to </w:t>
      </w:r>
      <w:r w:rsidR="00F15483" w:rsidRPr="00A03898">
        <w:rPr>
          <w:rFonts w:ascii="Times New Roman" w:eastAsia="Times New Roman" w:hAnsi="Times New Roman" w:cs="Times New Roman"/>
          <w:color w:val="auto"/>
          <w:sz w:val="24"/>
          <w:szCs w:val="24"/>
          <w:lang w:val="en-GB"/>
        </w:rPr>
        <w:t>join</w:t>
      </w:r>
      <w:r w:rsidR="00827BA8" w:rsidRPr="00A03898">
        <w:rPr>
          <w:rFonts w:ascii="Times New Roman" w:eastAsia="Times New Roman" w:hAnsi="Times New Roman" w:cs="Times New Roman"/>
          <w:color w:val="auto"/>
          <w:sz w:val="24"/>
          <w:szCs w:val="24"/>
          <w:lang w:val="en-GB"/>
        </w:rPr>
        <w:t xml:space="preserve"> the</w:t>
      </w:r>
      <w:r w:rsidR="00F15483" w:rsidRPr="00A03898">
        <w:rPr>
          <w:rFonts w:ascii="Times New Roman" w:eastAsia="Times New Roman" w:hAnsi="Times New Roman" w:cs="Times New Roman"/>
          <w:color w:val="auto"/>
          <w:sz w:val="24"/>
          <w:szCs w:val="24"/>
          <w:lang w:val="en-GB"/>
        </w:rPr>
        <w:t xml:space="preserve"> EU were able to reap stronger benefits through these channels</w:t>
      </w:r>
      <w:r w:rsidR="00A6593F" w:rsidRPr="00A03898">
        <w:rPr>
          <w:rFonts w:ascii="Times New Roman" w:eastAsia="Times New Roman" w:hAnsi="Times New Roman" w:cs="Times New Roman"/>
          <w:color w:val="auto"/>
          <w:sz w:val="24"/>
          <w:szCs w:val="24"/>
          <w:lang w:val="en-GB"/>
        </w:rPr>
        <w:t xml:space="preserve">. </w:t>
      </w:r>
      <w:r w:rsidR="004C77DA" w:rsidRPr="00A03898">
        <w:rPr>
          <w:rFonts w:ascii="Times New Roman" w:eastAsia="Times New Roman" w:hAnsi="Times New Roman" w:cs="Times New Roman"/>
          <w:color w:val="auto"/>
          <w:sz w:val="24"/>
          <w:szCs w:val="24"/>
          <w:lang w:val="en-GB"/>
        </w:rPr>
        <w:t>Several times stronger effects of forward GVC participation suggest that b</w:t>
      </w:r>
      <w:r w:rsidR="00F15483" w:rsidRPr="00A03898">
        <w:rPr>
          <w:rFonts w:ascii="Times New Roman" w:eastAsia="Times New Roman" w:hAnsi="Times New Roman" w:cs="Times New Roman"/>
          <w:color w:val="auto"/>
          <w:sz w:val="24"/>
          <w:szCs w:val="24"/>
          <w:lang w:val="en-GB"/>
        </w:rPr>
        <w:t xml:space="preserve">usiness dynamics in former countries </w:t>
      </w:r>
      <w:r w:rsidR="004C77DA" w:rsidRPr="00A03898">
        <w:rPr>
          <w:rFonts w:ascii="Times New Roman" w:eastAsia="Times New Roman" w:hAnsi="Times New Roman" w:cs="Times New Roman"/>
          <w:color w:val="auto"/>
          <w:sz w:val="24"/>
          <w:szCs w:val="24"/>
          <w:lang w:val="en-GB"/>
        </w:rPr>
        <w:t xml:space="preserve">are more responsive to </w:t>
      </w:r>
      <w:r w:rsidR="00F15483" w:rsidRPr="00A03898">
        <w:rPr>
          <w:rFonts w:ascii="Times New Roman" w:eastAsia="Times New Roman" w:hAnsi="Times New Roman" w:cs="Times New Roman"/>
          <w:color w:val="auto"/>
          <w:sz w:val="24"/>
          <w:szCs w:val="24"/>
          <w:lang w:val="en-GB"/>
        </w:rPr>
        <w:t xml:space="preserve">building of competences and capabilities relevant for competition in sophisticated segment of market </w:t>
      </w:r>
      <w:r w:rsidR="004C77DA" w:rsidRPr="00A03898">
        <w:rPr>
          <w:rFonts w:ascii="Times New Roman" w:eastAsia="Times New Roman" w:hAnsi="Times New Roman" w:cs="Times New Roman"/>
          <w:color w:val="auto"/>
          <w:sz w:val="24"/>
          <w:szCs w:val="24"/>
          <w:lang w:val="en-GB"/>
        </w:rPr>
        <w:t xml:space="preserve">and thus challenge conventional industrial policies in CEE. </w:t>
      </w:r>
    </w:p>
    <w:p w14:paraId="47533BA9" w14:textId="122C7FFD" w:rsidR="00246A3D" w:rsidRPr="00A03898" w:rsidRDefault="00B53B11" w:rsidP="00604FA7">
      <w:pPr>
        <w:pStyle w:val="Body"/>
        <w:spacing w:line="360" w:lineRule="auto"/>
        <w:ind w:firstLine="708"/>
        <w:jc w:val="both"/>
        <w:rPr>
          <w:rFonts w:ascii="Times New Roman" w:eastAsia="Times New Roman" w:hAnsi="Times New Roman" w:cs="Times New Roman"/>
          <w:color w:val="auto"/>
          <w:sz w:val="24"/>
          <w:szCs w:val="24"/>
          <w:lang w:val="en-GB"/>
        </w:rPr>
      </w:pPr>
      <w:r w:rsidRPr="00A03898">
        <w:rPr>
          <w:rFonts w:ascii="Times New Roman" w:eastAsia="Times New Roman" w:hAnsi="Times New Roman" w:cs="Times New Roman"/>
          <w:color w:val="auto"/>
          <w:sz w:val="24"/>
          <w:szCs w:val="24"/>
          <w:lang w:val="en-GB"/>
        </w:rPr>
        <w:t>Overall, o</w:t>
      </w:r>
      <w:r w:rsidR="00246A3D" w:rsidRPr="00A03898">
        <w:rPr>
          <w:rFonts w:ascii="Times New Roman" w:eastAsia="Times New Roman" w:hAnsi="Times New Roman" w:cs="Times New Roman"/>
          <w:color w:val="auto"/>
          <w:sz w:val="24"/>
          <w:szCs w:val="24"/>
          <w:lang w:val="en-GB"/>
        </w:rPr>
        <w:t xml:space="preserve">ur findings can serve as a starting point for policymakers who </w:t>
      </w:r>
      <w:r w:rsidR="00F15483" w:rsidRPr="00A03898">
        <w:rPr>
          <w:rFonts w:ascii="Times New Roman" w:eastAsia="Times New Roman" w:hAnsi="Times New Roman" w:cs="Times New Roman"/>
          <w:color w:val="auto"/>
          <w:sz w:val="24"/>
          <w:szCs w:val="24"/>
          <w:lang w:val="en-GB"/>
        </w:rPr>
        <w:t>must</w:t>
      </w:r>
      <w:r w:rsidR="00246A3D" w:rsidRPr="00A03898">
        <w:rPr>
          <w:rFonts w:ascii="Times New Roman" w:eastAsia="Times New Roman" w:hAnsi="Times New Roman" w:cs="Times New Roman"/>
          <w:color w:val="auto"/>
          <w:sz w:val="24"/>
          <w:szCs w:val="24"/>
          <w:lang w:val="en-GB"/>
        </w:rPr>
        <w:t xml:space="preserve"> make decisions about useful incentives to support trade, entrepreneurship, and competitiveness of the indigenous economy. The political choice to </w:t>
      </w:r>
      <w:r w:rsidRPr="00A03898">
        <w:rPr>
          <w:rFonts w:ascii="Times New Roman" w:eastAsia="Times New Roman" w:hAnsi="Times New Roman" w:cs="Times New Roman"/>
          <w:color w:val="auto"/>
          <w:sz w:val="24"/>
          <w:szCs w:val="24"/>
          <w:lang w:val="en-GB"/>
        </w:rPr>
        <w:t>join</w:t>
      </w:r>
      <w:r w:rsidR="00246A3D" w:rsidRPr="00A03898">
        <w:rPr>
          <w:rFonts w:ascii="Times New Roman" w:eastAsia="Times New Roman" w:hAnsi="Times New Roman" w:cs="Times New Roman"/>
          <w:color w:val="auto"/>
          <w:sz w:val="24"/>
          <w:szCs w:val="24"/>
          <w:lang w:val="en-GB"/>
        </w:rPr>
        <w:t xml:space="preserve"> </w:t>
      </w:r>
      <w:r w:rsidRPr="00A03898">
        <w:rPr>
          <w:rFonts w:ascii="Times New Roman" w:eastAsia="Times New Roman" w:hAnsi="Times New Roman" w:cs="Times New Roman"/>
          <w:color w:val="auto"/>
          <w:sz w:val="24"/>
          <w:szCs w:val="24"/>
          <w:lang w:val="en-GB"/>
        </w:rPr>
        <w:t>an</w:t>
      </w:r>
      <w:r w:rsidR="00246A3D" w:rsidRPr="00A03898">
        <w:rPr>
          <w:rFonts w:ascii="Times New Roman" w:eastAsia="Times New Roman" w:hAnsi="Times New Roman" w:cs="Times New Roman"/>
          <w:color w:val="auto"/>
          <w:sz w:val="24"/>
          <w:szCs w:val="24"/>
          <w:lang w:val="en-GB"/>
        </w:rPr>
        <w:t xml:space="preserve"> association like </w:t>
      </w:r>
      <w:r w:rsidRPr="00A03898">
        <w:rPr>
          <w:rFonts w:ascii="Times New Roman" w:eastAsia="Times New Roman" w:hAnsi="Times New Roman" w:cs="Times New Roman"/>
          <w:color w:val="auto"/>
          <w:sz w:val="24"/>
          <w:szCs w:val="24"/>
          <w:lang w:val="en-GB"/>
        </w:rPr>
        <w:t xml:space="preserve">the </w:t>
      </w:r>
      <w:r w:rsidR="00246A3D" w:rsidRPr="00A03898">
        <w:rPr>
          <w:rFonts w:ascii="Times New Roman" w:eastAsia="Times New Roman" w:hAnsi="Times New Roman" w:cs="Times New Roman"/>
          <w:color w:val="auto"/>
          <w:sz w:val="24"/>
          <w:szCs w:val="24"/>
          <w:lang w:val="en-GB"/>
        </w:rPr>
        <w:t xml:space="preserve">EU, according to our research results, </w:t>
      </w:r>
      <w:r w:rsidRPr="00A03898">
        <w:rPr>
          <w:rFonts w:ascii="Times New Roman" w:eastAsia="Times New Roman" w:hAnsi="Times New Roman" w:cs="Times New Roman"/>
          <w:color w:val="auto"/>
          <w:sz w:val="24"/>
          <w:szCs w:val="24"/>
          <w:lang w:val="en-GB"/>
        </w:rPr>
        <w:t>yields benefits through both trade and GVC integration channels for entrants and high – growth firms</w:t>
      </w:r>
      <w:r w:rsidR="00246A3D" w:rsidRPr="00A03898">
        <w:rPr>
          <w:rFonts w:ascii="Times New Roman" w:eastAsia="Times New Roman" w:hAnsi="Times New Roman" w:cs="Times New Roman"/>
          <w:color w:val="auto"/>
          <w:sz w:val="24"/>
          <w:szCs w:val="24"/>
          <w:lang w:val="en-GB"/>
        </w:rPr>
        <w:t>, but the timing of entry should not be neglected. Clearly articulated and scientifically proven benefits of EU integrations that we offer within this paper can motivate other candidate countries to enhance the velocity of pre-accession processes in order to meet the requirements as soon as possible.</w:t>
      </w:r>
    </w:p>
    <w:p w14:paraId="5F24AE11" w14:textId="7833821D" w:rsidR="00246A3D" w:rsidRPr="00A03898" w:rsidRDefault="00246A3D" w:rsidP="00604FA7">
      <w:pPr>
        <w:pStyle w:val="Body"/>
        <w:spacing w:line="360" w:lineRule="auto"/>
        <w:ind w:firstLine="708"/>
        <w:jc w:val="both"/>
        <w:rPr>
          <w:rFonts w:ascii="Times New Roman" w:eastAsia="Times New Roman" w:hAnsi="Times New Roman" w:cs="Times New Roman"/>
          <w:color w:val="auto"/>
          <w:sz w:val="24"/>
          <w:szCs w:val="24"/>
          <w:lang w:val="en-GB"/>
        </w:rPr>
      </w:pPr>
      <w:r w:rsidRPr="00A03898">
        <w:rPr>
          <w:rFonts w:ascii="Times New Roman" w:eastAsia="Times New Roman" w:hAnsi="Times New Roman" w:cs="Times New Roman"/>
          <w:color w:val="auto"/>
          <w:sz w:val="24"/>
          <w:szCs w:val="24"/>
          <w:lang w:val="en-GB"/>
        </w:rPr>
        <w:t xml:space="preserve">In the academic sense </w:t>
      </w:r>
      <w:r w:rsidR="0042262E" w:rsidRPr="00A03898">
        <w:rPr>
          <w:rFonts w:ascii="Times New Roman" w:eastAsia="Times New Roman" w:hAnsi="Times New Roman" w:cs="Times New Roman"/>
          <w:color w:val="auto"/>
          <w:sz w:val="24"/>
          <w:szCs w:val="24"/>
          <w:lang w:val="en-GB"/>
        </w:rPr>
        <w:t xml:space="preserve">the </w:t>
      </w:r>
      <w:r w:rsidRPr="00A03898">
        <w:rPr>
          <w:rFonts w:ascii="Times New Roman" w:eastAsia="Times New Roman" w:hAnsi="Times New Roman" w:cs="Times New Roman"/>
          <w:color w:val="auto"/>
          <w:sz w:val="24"/>
          <w:szCs w:val="24"/>
          <w:lang w:val="en-GB"/>
        </w:rPr>
        <w:t xml:space="preserve">contribution of this research is twofold. Firstly, this paper offers a novel perspective on gains from market integration that is focused on entrepreneurial outcomes, and with that approach, we manage to bring together the trade and entrepreneurship literature. Secondly, the existing literature about the impact of economic integrations on new business formation and growth is very </w:t>
      </w:r>
      <w:r w:rsidR="00820E29" w:rsidRPr="00A03898">
        <w:rPr>
          <w:rFonts w:ascii="Times New Roman" w:eastAsia="Times New Roman" w:hAnsi="Times New Roman" w:cs="Times New Roman"/>
          <w:color w:val="auto"/>
          <w:sz w:val="24"/>
          <w:szCs w:val="24"/>
          <w:lang w:val="en-GB"/>
        </w:rPr>
        <w:t>scarce</w:t>
      </w:r>
      <w:r w:rsidRPr="00A03898">
        <w:rPr>
          <w:rFonts w:ascii="Times New Roman" w:eastAsia="Times New Roman" w:hAnsi="Times New Roman" w:cs="Times New Roman"/>
          <w:color w:val="auto"/>
          <w:sz w:val="24"/>
          <w:szCs w:val="24"/>
          <w:lang w:val="en-GB"/>
        </w:rPr>
        <w:t xml:space="preserve">, and to the best of our knowledge, there are no studies dealing with the impact of intra-EU trade </w:t>
      </w:r>
      <w:r w:rsidR="00B53B11" w:rsidRPr="00A03898">
        <w:rPr>
          <w:rFonts w:ascii="Times New Roman" w:eastAsia="Times New Roman" w:hAnsi="Times New Roman" w:cs="Times New Roman"/>
          <w:color w:val="auto"/>
          <w:sz w:val="24"/>
          <w:szCs w:val="24"/>
          <w:lang w:val="en-GB"/>
        </w:rPr>
        <w:t xml:space="preserve">and GVC integration </w:t>
      </w:r>
      <w:r w:rsidRPr="00A03898">
        <w:rPr>
          <w:rFonts w:ascii="Times New Roman" w:eastAsia="Times New Roman" w:hAnsi="Times New Roman" w:cs="Times New Roman"/>
          <w:color w:val="auto"/>
          <w:sz w:val="24"/>
          <w:szCs w:val="24"/>
          <w:lang w:val="en-GB"/>
        </w:rPr>
        <w:t>on entreprene</w:t>
      </w:r>
      <w:r w:rsidR="00B53B11" w:rsidRPr="00A03898">
        <w:rPr>
          <w:rFonts w:ascii="Times New Roman" w:eastAsia="Times New Roman" w:hAnsi="Times New Roman" w:cs="Times New Roman"/>
          <w:color w:val="auto"/>
          <w:sz w:val="24"/>
          <w:szCs w:val="24"/>
          <w:lang w:val="en-GB"/>
        </w:rPr>
        <w:t>urial outcomes</w:t>
      </w:r>
      <w:r w:rsidRPr="00A03898">
        <w:rPr>
          <w:rFonts w:ascii="Times New Roman" w:eastAsia="Times New Roman" w:hAnsi="Times New Roman" w:cs="Times New Roman"/>
          <w:color w:val="auto"/>
          <w:sz w:val="24"/>
          <w:szCs w:val="24"/>
          <w:lang w:val="en-GB"/>
        </w:rPr>
        <w:t xml:space="preserve">. With this paper, we are trying to </w:t>
      </w:r>
      <w:r w:rsidR="00F15483" w:rsidRPr="00A03898">
        <w:rPr>
          <w:rFonts w:ascii="Times New Roman" w:eastAsia="Times New Roman" w:hAnsi="Times New Roman" w:cs="Times New Roman"/>
          <w:color w:val="auto"/>
          <w:sz w:val="24"/>
          <w:szCs w:val="24"/>
          <w:lang w:val="en-GB"/>
        </w:rPr>
        <w:t>fulfil</w:t>
      </w:r>
      <w:r w:rsidRPr="00A03898">
        <w:rPr>
          <w:rFonts w:ascii="Times New Roman" w:eastAsia="Times New Roman" w:hAnsi="Times New Roman" w:cs="Times New Roman"/>
          <w:color w:val="auto"/>
          <w:sz w:val="24"/>
          <w:szCs w:val="24"/>
          <w:lang w:val="en-GB"/>
        </w:rPr>
        <w:t xml:space="preserve"> that gap. </w:t>
      </w:r>
    </w:p>
    <w:p w14:paraId="039DCE38" w14:textId="7CA0524C" w:rsidR="00E822F4" w:rsidRPr="00A03898" w:rsidRDefault="00246A3D" w:rsidP="009D4708">
      <w:pPr>
        <w:pStyle w:val="Body"/>
        <w:spacing w:line="360" w:lineRule="auto"/>
        <w:ind w:firstLine="708"/>
        <w:jc w:val="both"/>
        <w:rPr>
          <w:rFonts w:ascii="Times New Roman" w:eastAsia="Times New Roman" w:hAnsi="Times New Roman" w:cs="Times New Roman"/>
          <w:color w:val="auto"/>
          <w:sz w:val="24"/>
          <w:szCs w:val="24"/>
          <w:lang w:val="en-GB"/>
        </w:rPr>
      </w:pPr>
      <w:r w:rsidRPr="00A03898">
        <w:rPr>
          <w:rFonts w:ascii="Times New Roman" w:eastAsia="Times New Roman" w:hAnsi="Times New Roman" w:cs="Times New Roman"/>
          <w:color w:val="auto"/>
          <w:sz w:val="24"/>
          <w:szCs w:val="24"/>
          <w:lang w:val="en-GB"/>
        </w:rPr>
        <w:t>At the end of this study, we underline a few limitations that could be addressed in future research. The first limitation is related to the time period included in this study. Due to the availability of the data we conduct</w:t>
      </w:r>
      <w:r w:rsidR="00F15483" w:rsidRPr="00A03898">
        <w:rPr>
          <w:rFonts w:ascii="Times New Roman" w:eastAsia="Times New Roman" w:hAnsi="Times New Roman" w:cs="Times New Roman"/>
          <w:color w:val="auto"/>
          <w:sz w:val="24"/>
          <w:szCs w:val="24"/>
          <w:lang w:val="en-GB"/>
        </w:rPr>
        <w:t>ed</w:t>
      </w:r>
      <w:r w:rsidRPr="00A03898">
        <w:rPr>
          <w:rFonts w:ascii="Times New Roman" w:eastAsia="Times New Roman" w:hAnsi="Times New Roman" w:cs="Times New Roman"/>
          <w:color w:val="auto"/>
          <w:sz w:val="24"/>
          <w:szCs w:val="24"/>
          <w:lang w:val="en-GB"/>
        </w:rPr>
        <w:t xml:space="preserve"> the panel analysis for the time period 201</w:t>
      </w:r>
      <w:r w:rsidR="00153AEC" w:rsidRPr="00A03898">
        <w:rPr>
          <w:rFonts w:ascii="Times New Roman" w:eastAsia="Times New Roman" w:hAnsi="Times New Roman" w:cs="Times New Roman"/>
          <w:color w:val="auto"/>
          <w:sz w:val="24"/>
          <w:szCs w:val="24"/>
          <w:lang w:val="en-GB"/>
        </w:rPr>
        <w:t>1</w:t>
      </w:r>
      <w:r w:rsidRPr="00A03898">
        <w:rPr>
          <w:rFonts w:ascii="Times New Roman" w:eastAsia="Times New Roman" w:hAnsi="Times New Roman" w:cs="Times New Roman"/>
          <w:color w:val="auto"/>
          <w:sz w:val="24"/>
          <w:szCs w:val="24"/>
          <w:lang w:val="en-GB"/>
        </w:rPr>
        <w:t xml:space="preserve"> – 2016. For future research, it would be interesting to see whether the longer time period with more observations will influence the results. </w:t>
      </w:r>
      <w:r w:rsidR="00AC17DA" w:rsidRPr="00A03898">
        <w:rPr>
          <w:rFonts w:ascii="Times New Roman" w:eastAsia="Times New Roman" w:hAnsi="Times New Roman" w:cs="Times New Roman"/>
          <w:color w:val="auto"/>
          <w:sz w:val="24"/>
          <w:szCs w:val="24"/>
          <w:lang w:val="en-GB"/>
        </w:rPr>
        <w:t xml:space="preserve">Also, our analysis relied on relatively aggregated industries due to another data limitation. Availability of more disaggregated datasets should enable analyses at more detailed levels. </w:t>
      </w:r>
      <w:r w:rsidR="00F15483" w:rsidRPr="00A03898">
        <w:rPr>
          <w:rFonts w:ascii="Times New Roman" w:eastAsia="Times New Roman" w:hAnsi="Times New Roman" w:cs="Times New Roman"/>
          <w:color w:val="auto"/>
          <w:sz w:val="24"/>
          <w:szCs w:val="24"/>
          <w:lang w:val="en-GB"/>
        </w:rPr>
        <w:t xml:space="preserve">Our analysis was limited to </w:t>
      </w:r>
      <w:r w:rsidR="00647B95" w:rsidRPr="00A03898">
        <w:rPr>
          <w:rFonts w:ascii="Times New Roman" w:eastAsia="Times New Roman" w:hAnsi="Times New Roman" w:cs="Times New Roman"/>
          <w:color w:val="auto"/>
          <w:sz w:val="24"/>
          <w:szCs w:val="24"/>
          <w:lang w:val="en-GB"/>
        </w:rPr>
        <w:t xml:space="preserve">the </w:t>
      </w:r>
      <w:r w:rsidR="00F15483" w:rsidRPr="00A03898">
        <w:rPr>
          <w:rFonts w:ascii="Times New Roman" w:eastAsia="Times New Roman" w:hAnsi="Times New Roman" w:cs="Times New Roman"/>
          <w:color w:val="auto"/>
          <w:sz w:val="24"/>
          <w:szCs w:val="24"/>
          <w:lang w:val="en-GB"/>
        </w:rPr>
        <w:t xml:space="preserve">effects on </w:t>
      </w:r>
      <w:r w:rsidR="00647B95" w:rsidRPr="00A03898">
        <w:rPr>
          <w:rFonts w:ascii="Times New Roman" w:eastAsia="Times New Roman" w:hAnsi="Times New Roman" w:cs="Times New Roman"/>
          <w:color w:val="auto"/>
          <w:sz w:val="24"/>
          <w:szCs w:val="24"/>
          <w:lang w:val="en-GB"/>
        </w:rPr>
        <w:t xml:space="preserve">a </w:t>
      </w:r>
      <w:r w:rsidR="00F15483" w:rsidRPr="00A03898">
        <w:rPr>
          <w:rFonts w:ascii="Times New Roman" w:eastAsia="Times New Roman" w:hAnsi="Times New Roman" w:cs="Times New Roman"/>
          <w:color w:val="auto"/>
          <w:sz w:val="24"/>
          <w:szCs w:val="24"/>
          <w:lang w:val="en-GB"/>
        </w:rPr>
        <w:t>firm</w:t>
      </w:r>
      <w:r w:rsidR="00647B95" w:rsidRPr="00A03898">
        <w:rPr>
          <w:rFonts w:ascii="Times New Roman" w:eastAsia="Times New Roman" w:hAnsi="Times New Roman" w:cs="Times New Roman"/>
          <w:color w:val="auto"/>
          <w:sz w:val="24"/>
          <w:szCs w:val="24"/>
          <w:lang w:val="en-GB"/>
        </w:rPr>
        <w:t>’s</w:t>
      </w:r>
      <w:r w:rsidR="00F15483" w:rsidRPr="00A03898">
        <w:rPr>
          <w:rFonts w:ascii="Times New Roman" w:eastAsia="Times New Roman" w:hAnsi="Times New Roman" w:cs="Times New Roman"/>
          <w:color w:val="auto"/>
          <w:sz w:val="24"/>
          <w:szCs w:val="24"/>
          <w:lang w:val="en-GB"/>
        </w:rPr>
        <w:t xml:space="preserve"> entry and growth. Lack of data prevented us to explore </w:t>
      </w:r>
      <w:r w:rsidR="00647B95" w:rsidRPr="00A03898">
        <w:rPr>
          <w:rFonts w:ascii="Times New Roman" w:eastAsia="Times New Roman" w:hAnsi="Times New Roman" w:cs="Times New Roman"/>
          <w:color w:val="auto"/>
          <w:sz w:val="24"/>
          <w:szCs w:val="24"/>
          <w:lang w:val="en-GB"/>
        </w:rPr>
        <w:t xml:space="preserve">the </w:t>
      </w:r>
      <w:r w:rsidR="00F15483" w:rsidRPr="00A03898">
        <w:rPr>
          <w:rFonts w:ascii="Times New Roman" w:eastAsia="Times New Roman" w:hAnsi="Times New Roman" w:cs="Times New Roman"/>
          <w:color w:val="auto"/>
          <w:sz w:val="24"/>
          <w:szCs w:val="24"/>
          <w:lang w:val="en-GB"/>
        </w:rPr>
        <w:t xml:space="preserve">existence of similar effects on </w:t>
      </w:r>
      <w:r w:rsidR="00647B95" w:rsidRPr="00A03898">
        <w:rPr>
          <w:rFonts w:ascii="Times New Roman" w:eastAsia="Times New Roman" w:hAnsi="Times New Roman" w:cs="Times New Roman"/>
          <w:color w:val="auto"/>
          <w:sz w:val="24"/>
          <w:szCs w:val="24"/>
          <w:lang w:val="en-GB"/>
        </w:rPr>
        <w:t xml:space="preserve">a </w:t>
      </w:r>
      <w:r w:rsidR="00F15483" w:rsidRPr="00A03898">
        <w:rPr>
          <w:rFonts w:ascii="Times New Roman" w:eastAsia="Times New Roman" w:hAnsi="Times New Roman" w:cs="Times New Roman"/>
          <w:color w:val="auto"/>
          <w:sz w:val="24"/>
          <w:szCs w:val="24"/>
          <w:lang w:val="en-GB"/>
        </w:rPr>
        <w:t>firm</w:t>
      </w:r>
      <w:r w:rsidR="00647B95" w:rsidRPr="00A03898">
        <w:rPr>
          <w:rFonts w:ascii="Times New Roman" w:eastAsia="Times New Roman" w:hAnsi="Times New Roman" w:cs="Times New Roman"/>
          <w:color w:val="auto"/>
          <w:sz w:val="24"/>
          <w:szCs w:val="24"/>
          <w:lang w:val="en-GB"/>
        </w:rPr>
        <w:t>’s</w:t>
      </w:r>
      <w:r w:rsidR="00F15483" w:rsidRPr="00A03898">
        <w:rPr>
          <w:rFonts w:ascii="Times New Roman" w:eastAsia="Times New Roman" w:hAnsi="Times New Roman" w:cs="Times New Roman"/>
          <w:color w:val="auto"/>
          <w:sz w:val="24"/>
          <w:szCs w:val="24"/>
          <w:lang w:val="en-GB"/>
        </w:rPr>
        <w:t xml:space="preserve"> survival, a task that future research should address. Finally, future of these countries shall </w:t>
      </w:r>
      <w:r w:rsidR="00F15483" w:rsidRPr="00A03898">
        <w:rPr>
          <w:rFonts w:ascii="Times New Roman" w:eastAsia="Times New Roman" w:hAnsi="Times New Roman" w:cs="Times New Roman"/>
          <w:color w:val="auto"/>
          <w:sz w:val="24"/>
          <w:szCs w:val="24"/>
          <w:lang w:val="en-GB"/>
        </w:rPr>
        <w:lastRenderedPageBreak/>
        <w:t>depend on their innovation capabilities</w:t>
      </w:r>
      <w:r w:rsidR="00585F8C" w:rsidRPr="00A03898">
        <w:rPr>
          <w:rFonts w:ascii="Times New Roman" w:eastAsia="Times New Roman" w:hAnsi="Times New Roman" w:cs="Times New Roman"/>
          <w:color w:val="auto"/>
          <w:sz w:val="24"/>
          <w:szCs w:val="24"/>
          <w:lang w:val="en-GB"/>
        </w:rPr>
        <w:t>, whereas</w:t>
      </w:r>
      <w:r w:rsidR="00F15483" w:rsidRPr="00A03898">
        <w:rPr>
          <w:rFonts w:ascii="Times New Roman" w:eastAsia="Times New Roman" w:hAnsi="Times New Roman" w:cs="Times New Roman"/>
          <w:color w:val="auto"/>
          <w:sz w:val="24"/>
          <w:szCs w:val="24"/>
          <w:lang w:val="en-GB"/>
        </w:rPr>
        <w:t xml:space="preserve"> future studies should reflect on the role of intra-EU trade and GVC integration on </w:t>
      </w:r>
      <w:r w:rsidR="00585F8C" w:rsidRPr="00A03898">
        <w:rPr>
          <w:rFonts w:ascii="Times New Roman" w:eastAsia="Times New Roman" w:hAnsi="Times New Roman" w:cs="Times New Roman"/>
          <w:color w:val="auto"/>
          <w:sz w:val="24"/>
          <w:szCs w:val="24"/>
          <w:lang w:val="en-GB"/>
        </w:rPr>
        <w:t xml:space="preserve">the </w:t>
      </w:r>
      <w:r w:rsidR="00F15483" w:rsidRPr="00A03898">
        <w:rPr>
          <w:rFonts w:ascii="Times New Roman" w:eastAsia="Times New Roman" w:hAnsi="Times New Roman" w:cs="Times New Roman"/>
          <w:color w:val="auto"/>
          <w:sz w:val="24"/>
          <w:szCs w:val="24"/>
          <w:lang w:val="en-GB"/>
        </w:rPr>
        <w:t>creation and commercialization of innovations in CEE economies.</w:t>
      </w:r>
    </w:p>
    <w:p w14:paraId="2B91F0DC" w14:textId="77777777" w:rsidR="00E235B2" w:rsidRPr="00A03898" w:rsidRDefault="009E5DA4" w:rsidP="001B68F8">
      <w:pPr>
        <w:pStyle w:val="Body"/>
        <w:spacing w:line="360" w:lineRule="auto"/>
        <w:rPr>
          <w:rFonts w:ascii="Times New Roman" w:hAnsi="Times New Roman" w:cs="Times New Roman"/>
          <w:color w:val="auto"/>
          <w:sz w:val="24"/>
          <w:szCs w:val="24"/>
          <w:lang w:val="en-GB"/>
        </w:rPr>
      </w:pPr>
      <w:r w:rsidRPr="00A03898">
        <w:rPr>
          <w:rFonts w:ascii="Times New Roman" w:hAnsi="Times New Roman" w:cs="Times New Roman"/>
          <w:b/>
          <w:bCs/>
          <w:color w:val="auto"/>
          <w:sz w:val="24"/>
          <w:szCs w:val="24"/>
          <w:lang w:val="en-GB"/>
        </w:rPr>
        <w:t>References</w:t>
      </w:r>
    </w:p>
    <w:p w14:paraId="79ABB705" w14:textId="15035C5E" w:rsidR="002F4D8F" w:rsidRPr="00A03898" w:rsidRDefault="002F4D8F" w:rsidP="002F4D8F">
      <w:pPr>
        <w:spacing w:line="360" w:lineRule="auto"/>
        <w:ind w:left="567" w:hanging="567"/>
        <w:rPr>
          <w:lang w:val="en-GB" w:eastAsia="hr-HR"/>
        </w:rPr>
      </w:pPr>
      <w:proofErr w:type="spellStart"/>
      <w:r w:rsidRPr="00A03898">
        <w:rPr>
          <w:lang w:val="en-GB" w:eastAsia="hr-HR"/>
        </w:rPr>
        <w:t>Acs</w:t>
      </w:r>
      <w:proofErr w:type="spellEnd"/>
      <w:r w:rsidRPr="00A03898">
        <w:rPr>
          <w:lang w:val="en-GB" w:eastAsia="hr-HR"/>
        </w:rPr>
        <w:t xml:space="preserve">, Z.J., </w:t>
      </w:r>
      <w:proofErr w:type="spellStart"/>
      <w:r w:rsidRPr="00A03898">
        <w:rPr>
          <w:lang w:val="en-GB" w:eastAsia="hr-HR"/>
        </w:rPr>
        <w:t>Braunerhjelm</w:t>
      </w:r>
      <w:proofErr w:type="spellEnd"/>
      <w:r w:rsidRPr="00A03898">
        <w:rPr>
          <w:lang w:val="en-GB" w:eastAsia="hr-HR"/>
        </w:rPr>
        <w:t xml:space="preserve">, P., </w:t>
      </w:r>
      <w:proofErr w:type="spellStart"/>
      <w:r w:rsidRPr="00A03898">
        <w:rPr>
          <w:lang w:val="en-GB" w:eastAsia="hr-HR"/>
        </w:rPr>
        <w:t>Audretsch</w:t>
      </w:r>
      <w:proofErr w:type="spellEnd"/>
      <w:r w:rsidRPr="00A03898">
        <w:rPr>
          <w:lang w:val="en-GB" w:eastAsia="hr-HR"/>
        </w:rPr>
        <w:t>, D.B. (2009)</w:t>
      </w:r>
      <w:r w:rsidR="00990E34" w:rsidRPr="00A03898">
        <w:rPr>
          <w:lang w:val="en-GB" w:eastAsia="hr-HR"/>
        </w:rPr>
        <w:t>.</w:t>
      </w:r>
      <w:r w:rsidRPr="00A03898">
        <w:rPr>
          <w:lang w:val="en-GB" w:eastAsia="hr-HR"/>
        </w:rPr>
        <w:t xml:space="preserve"> The knowledge spillover theory of entrepreneurship. </w:t>
      </w:r>
      <w:r w:rsidRPr="00A03898">
        <w:rPr>
          <w:i/>
          <w:lang w:val="en-GB" w:eastAsia="hr-HR"/>
        </w:rPr>
        <w:t xml:space="preserve">Small </w:t>
      </w:r>
      <w:proofErr w:type="spellStart"/>
      <w:r w:rsidRPr="00A03898">
        <w:rPr>
          <w:i/>
          <w:lang w:val="en-GB" w:eastAsia="hr-HR"/>
        </w:rPr>
        <w:t>Bussiness</w:t>
      </w:r>
      <w:proofErr w:type="spellEnd"/>
      <w:r w:rsidRPr="00A03898">
        <w:rPr>
          <w:i/>
          <w:lang w:val="en-GB" w:eastAsia="hr-HR"/>
        </w:rPr>
        <w:t xml:space="preserve"> Economics</w:t>
      </w:r>
      <w:r w:rsidR="007301AC" w:rsidRPr="00A03898">
        <w:rPr>
          <w:i/>
          <w:lang w:val="en-GB" w:eastAsia="hr-HR"/>
        </w:rPr>
        <w:t>,</w:t>
      </w:r>
      <w:r w:rsidR="004F7C5E" w:rsidRPr="00A03898">
        <w:rPr>
          <w:lang w:val="en-GB" w:eastAsia="hr-HR"/>
        </w:rPr>
        <w:t xml:space="preserve"> 32, 15–30,</w:t>
      </w:r>
      <w:r w:rsidRPr="00A03898">
        <w:rPr>
          <w:lang w:val="en-GB" w:eastAsia="hr-HR"/>
        </w:rPr>
        <w:t xml:space="preserve"> </w:t>
      </w:r>
      <w:hyperlink r:id="rId24" w:history="1">
        <w:r w:rsidRPr="00A03898">
          <w:rPr>
            <w:rStyle w:val="Hyperlink"/>
            <w:lang w:val="en-GB" w:eastAsia="hr-HR"/>
          </w:rPr>
          <w:t>https://doi.org/10.1007/s11187-008-9157-3</w:t>
        </w:r>
      </w:hyperlink>
    </w:p>
    <w:p w14:paraId="3E0D723F" w14:textId="33882C46" w:rsidR="004F7C5E" w:rsidRPr="00A03898" w:rsidRDefault="002F4D8F" w:rsidP="004F7C5E">
      <w:pPr>
        <w:spacing w:line="360" w:lineRule="auto"/>
        <w:ind w:left="567" w:hanging="567"/>
        <w:rPr>
          <w:lang w:val="en-GB" w:eastAsia="hr-HR"/>
        </w:rPr>
      </w:pPr>
      <w:r w:rsidRPr="00A03898">
        <w:rPr>
          <w:lang w:val="en-GB" w:eastAsia="hr-HR"/>
        </w:rPr>
        <w:t>Alfaro, L.</w:t>
      </w:r>
      <w:r w:rsidR="00E56151" w:rsidRPr="00A03898">
        <w:rPr>
          <w:lang w:val="en-GB" w:eastAsia="hr-HR"/>
        </w:rPr>
        <w:t>,</w:t>
      </w:r>
      <w:r w:rsidRPr="00A03898">
        <w:rPr>
          <w:lang w:val="en-GB" w:eastAsia="hr-HR"/>
        </w:rPr>
        <w:t xml:space="preserve"> </w:t>
      </w:r>
      <w:proofErr w:type="spellStart"/>
      <w:r w:rsidRPr="00A03898">
        <w:rPr>
          <w:lang w:val="en-GB" w:eastAsia="hr-HR"/>
        </w:rPr>
        <w:t>Antràs</w:t>
      </w:r>
      <w:proofErr w:type="spellEnd"/>
      <w:r w:rsidR="00E56151" w:rsidRPr="00A03898">
        <w:rPr>
          <w:lang w:val="en-GB" w:eastAsia="hr-HR"/>
        </w:rPr>
        <w:t>, P.,</w:t>
      </w:r>
      <w:r w:rsidRPr="00A03898">
        <w:rPr>
          <w:lang w:val="en-GB" w:eastAsia="hr-HR"/>
        </w:rPr>
        <w:t xml:space="preserve"> </w:t>
      </w:r>
      <w:proofErr w:type="spellStart"/>
      <w:r w:rsidRPr="00A03898">
        <w:rPr>
          <w:lang w:val="en-GB" w:eastAsia="hr-HR"/>
        </w:rPr>
        <w:t>Chor</w:t>
      </w:r>
      <w:proofErr w:type="spellEnd"/>
      <w:r w:rsidR="00E56151" w:rsidRPr="00A03898">
        <w:rPr>
          <w:lang w:val="en-GB" w:eastAsia="hr-HR"/>
        </w:rPr>
        <w:t>, D.,</w:t>
      </w:r>
      <w:r w:rsidRPr="00A03898">
        <w:rPr>
          <w:lang w:val="en-GB" w:eastAsia="hr-HR"/>
        </w:rPr>
        <w:t xml:space="preserve"> </w:t>
      </w:r>
      <w:proofErr w:type="spellStart"/>
      <w:r w:rsidRPr="00A03898">
        <w:rPr>
          <w:lang w:val="en-GB" w:eastAsia="hr-HR"/>
        </w:rPr>
        <w:t>Conconi</w:t>
      </w:r>
      <w:proofErr w:type="spellEnd"/>
      <w:r w:rsidRPr="00A03898">
        <w:rPr>
          <w:lang w:val="en-GB" w:eastAsia="hr-HR"/>
        </w:rPr>
        <w:t>,</w:t>
      </w:r>
      <w:r w:rsidR="00E56151" w:rsidRPr="00A03898">
        <w:rPr>
          <w:lang w:val="en-GB" w:eastAsia="hr-HR"/>
        </w:rPr>
        <w:t xml:space="preserve"> P. (</w:t>
      </w:r>
      <w:r w:rsidRPr="00A03898">
        <w:rPr>
          <w:lang w:val="en-GB" w:eastAsia="hr-HR"/>
        </w:rPr>
        <w:t>2019</w:t>
      </w:r>
      <w:r w:rsidR="00E56151" w:rsidRPr="00A03898">
        <w:rPr>
          <w:lang w:val="en-GB" w:eastAsia="hr-HR"/>
        </w:rPr>
        <w:t xml:space="preserve">). </w:t>
      </w:r>
      <w:r w:rsidRPr="00A03898">
        <w:rPr>
          <w:lang w:val="en-GB" w:eastAsia="hr-HR"/>
        </w:rPr>
        <w:t>Internalizing Global Valu</w:t>
      </w:r>
      <w:r w:rsidR="00E56151" w:rsidRPr="00A03898">
        <w:rPr>
          <w:lang w:val="en-GB" w:eastAsia="hr-HR"/>
        </w:rPr>
        <w:t>e Chains: A Firm-Level Analysis.</w:t>
      </w:r>
      <w:r w:rsidRPr="00A03898">
        <w:rPr>
          <w:lang w:val="en-GB" w:eastAsia="hr-HR"/>
        </w:rPr>
        <w:t xml:space="preserve"> </w:t>
      </w:r>
      <w:r w:rsidRPr="00A03898">
        <w:rPr>
          <w:i/>
          <w:lang w:val="en-GB" w:eastAsia="hr-HR"/>
        </w:rPr>
        <w:t>Journal of Political Economy</w:t>
      </w:r>
      <w:r w:rsidR="00E56151" w:rsidRPr="00A03898">
        <w:rPr>
          <w:lang w:val="en-GB" w:eastAsia="hr-HR"/>
        </w:rPr>
        <w:t xml:space="preserve">, 127(2), </w:t>
      </w:r>
      <w:r w:rsidR="004F7C5E" w:rsidRPr="00A03898">
        <w:rPr>
          <w:lang w:val="en-GB" w:eastAsia="hr-HR"/>
        </w:rPr>
        <w:t xml:space="preserve">508-559, </w:t>
      </w:r>
      <w:hyperlink r:id="rId25" w:history="1">
        <w:r w:rsidR="004F7C5E" w:rsidRPr="00A03898">
          <w:rPr>
            <w:rStyle w:val="Hyperlink"/>
            <w:lang w:val="en-GB" w:eastAsia="hr-HR"/>
          </w:rPr>
          <w:t>https://doi.org/10.1086/700935</w:t>
        </w:r>
      </w:hyperlink>
    </w:p>
    <w:p w14:paraId="504642E4" w14:textId="6C03DD7F" w:rsidR="002F4D8F" w:rsidRPr="00A03898" w:rsidRDefault="002F4D8F" w:rsidP="004F7C5E">
      <w:pPr>
        <w:spacing w:line="360" w:lineRule="auto"/>
        <w:ind w:left="567" w:hanging="567"/>
        <w:rPr>
          <w:lang w:val="en-GB" w:eastAsia="hr-HR"/>
        </w:rPr>
      </w:pPr>
      <w:proofErr w:type="spellStart"/>
      <w:r w:rsidRPr="00A03898">
        <w:rPr>
          <w:rFonts w:hint="eastAsia"/>
          <w:lang w:val="en-GB" w:eastAsia="hr-HR"/>
        </w:rPr>
        <w:t>Almus</w:t>
      </w:r>
      <w:proofErr w:type="spellEnd"/>
      <w:r w:rsidRPr="00A03898">
        <w:rPr>
          <w:rFonts w:hint="eastAsia"/>
          <w:lang w:val="en-GB" w:eastAsia="hr-HR"/>
        </w:rPr>
        <w:t>, M.</w:t>
      </w:r>
      <w:r w:rsidR="008F1607" w:rsidRPr="00A03898">
        <w:rPr>
          <w:lang w:val="en-GB" w:eastAsia="hr-HR"/>
        </w:rPr>
        <w:t>,</w:t>
      </w:r>
      <w:r w:rsidR="004F7C5E" w:rsidRPr="00A03898">
        <w:rPr>
          <w:lang w:val="en-GB" w:eastAsia="hr-HR"/>
        </w:rPr>
        <w:t xml:space="preserve"> &amp; </w:t>
      </w:r>
      <w:proofErr w:type="spellStart"/>
      <w:r w:rsidRPr="00A03898">
        <w:rPr>
          <w:rFonts w:hint="eastAsia"/>
          <w:lang w:val="en-GB" w:eastAsia="hr-HR"/>
        </w:rPr>
        <w:t>Nerlinger</w:t>
      </w:r>
      <w:proofErr w:type="spellEnd"/>
      <w:r w:rsidRPr="00A03898">
        <w:rPr>
          <w:rFonts w:hint="eastAsia"/>
          <w:lang w:val="en-GB" w:eastAsia="hr-HR"/>
        </w:rPr>
        <w:t>,</w:t>
      </w:r>
      <w:r w:rsidR="004F7C5E" w:rsidRPr="00A03898">
        <w:rPr>
          <w:lang w:val="en-GB" w:eastAsia="hr-HR"/>
        </w:rPr>
        <w:t xml:space="preserve"> E. (</w:t>
      </w:r>
      <w:r w:rsidR="004F7C5E" w:rsidRPr="00A03898">
        <w:rPr>
          <w:rFonts w:hint="eastAsia"/>
          <w:lang w:val="en-GB" w:eastAsia="hr-HR"/>
        </w:rPr>
        <w:t>2000</w:t>
      </w:r>
      <w:r w:rsidR="004F7C5E" w:rsidRPr="00A03898">
        <w:rPr>
          <w:lang w:val="en-GB" w:eastAsia="hr-HR"/>
        </w:rPr>
        <w:t>).</w:t>
      </w:r>
      <w:r w:rsidRPr="00A03898">
        <w:rPr>
          <w:rFonts w:hint="eastAsia"/>
          <w:lang w:val="en-GB" w:eastAsia="hr-HR"/>
        </w:rPr>
        <w:t xml:space="preserve"> Testing </w:t>
      </w:r>
      <w:proofErr w:type="spellStart"/>
      <w:r w:rsidRPr="00A03898">
        <w:rPr>
          <w:rFonts w:hint="eastAsia"/>
          <w:lang w:val="en-GB" w:eastAsia="hr-HR"/>
        </w:rPr>
        <w:t>Gibrat</w:t>
      </w:r>
      <w:proofErr w:type="spellEnd"/>
      <w:r w:rsidRPr="00A03898">
        <w:rPr>
          <w:rFonts w:hint="eastAsia"/>
          <w:lang w:val="en-GB" w:eastAsia="hr-HR"/>
        </w:rPr>
        <w:t>‘</w:t>
      </w:r>
      <w:r w:rsidRPr="00A03898">
        <w:rPr>
          <w:rFonts w:hint="eastAsia"/>
          <w:lang w:val="en-GB" w:eastAsia="hr-HR"/>
        </w:rPr>
        <w:t>s</w:t>
      </w:r>
      <w:r w:rsidR="004F7C5E" w:rsidRPr="00A03898">
        <w:rPr>
          <w:rFonts w:hint="eastAsia"/>
          <w:lang w:val="en-GB" w:eastAsia="hr-HR"/>
        </w:rPr>
        <w:t xml:space="preserve"> Law for Young Firms: Empirical Results for West Germany.</w:t>
      </w:r>
      <w:r w:rsidRPr="00A03898">
        <w:rPr>
          <w:rFonts w:hint="eastAsia"/>
          <w:lang w:val="en-GB" w:eastAsia="hr-HR"/>
        </w:rPr>
        <w:t xml:space="preserve"> </w:t>
      </w:r>
      <w:r w:rsidRPr="00A03898">
        <w:rPr>
          <w:rFonts w:hint="eastAsia"/>
          <w:i/>
          <w:lang w:val="en-GB" w:eastAsia="hr-HR"/>
        </w:rPr>
        <w:t>Small Business Economics</w:t>
      </w:r>
      <w:r w:rsidR="004F7C5E" w:rsidRPr="00A03898">
        <w:rPr>
          <w:rFonts w:hint="eastAsia"/>
          <w:lang w:val="en-GB" w:eastAsia="hr-HR"/>
        </w:rPr>
        <w:t xml:space="preserve">, 15, 1-12, </w:t>
      </w:r>
      <w:r w:rsidR="004F7C5E" w:rsidRPr="00A03898">
        <w:rPr>
          <w:lang w:val="en-GB" w:eastAsia="hr-HR"/>
        </w:rPr>
        <w:t>https://doi.org/10.1023/A:1026512005921</w:t>
      </w:r>
    </w:p>
    <w:p w14:paraId="328102A4" w14:textId="6A9E688B" w:rsidR="002F4D8F" w:rsidRPr="00A03898" w:rsidRDefault="002F4D8F" w:rsidP="002F4D8F">
      <w:pPr>
        <w:spacing w:line="360" w:lineRule="auto"/>
        <w:ind w:left="567" w:hanging="567"/>
        <w:rPr>
          <w:lang w:val="en-GB" w:eastAsia="hr-HR"/>
        </w:rPr>
      </w:pPr>
      <w:proofErr w:type="spellStart"/>
      <w:r w:rsidRPr="00A03898">
        <w:rPr>
          <w:lang w:val="en-GB" w:eastAsia="hr-HR"/>
        </w:rPr>
        <w:t>A</w:t>
      </w:r>
      <w:r w:rsidR="0049170A" w:rsidRPr="00A03898">
        <w:rPr>
          <w:lang w:val="en-GB" w:eastAsia="hr-HR"/>
        </w:rPr>
        <w:t>mat</w:t>
      </w:r>
      <w:proofErr w:type="spellEnd"/>
      <w:r w:rsidR="0049170A" w:rsidRPr="00A03898">
        <w:rPr>
          <w:lang w:val="en-GB" w:eastAsia="hr-HR"/>
        </w:rPr>
        <w:t xml:space="preserve">, O., </w:t>
      </w:r>
      <w:proofErr w:type="spellStart"/>
      <w:r w:rsidR="0049170A" w:rsidRPr="00A03898">
        <w:rPr>
          <w:lang w:val="en-GB" w:eastAsia="hr-HR"/>
        </w:rPr>
        <w:t>Renart</w:t>
      </w:r>
      <w:proofErr w:type="spellEnd"/>
      <w:r w:rsidR="0049170A" w:rsidRPr="00A03898">
        <w:rPr>
          <w:lang w:val="en-GB" w:eastAsia="hr-HR"/>
        </w:rPr>
        <w:t>, M.A.,</w:t>
      </w:r>
      <w:r w:rsidRPr="00A03898">
        <w:rPr>
          <w:lang w:val="en-GB" w:eastAsia="hr-HR"/>
        </w:rPr>
        <w:t xml:space="preserve"> </w:t>
      </w:r>
      <w:r w:rsidR="0049170A" w:rsidRPr="00A03898">
        <w:rPr>
          <w:lang w:val="en-GB" w:eastAsia="hr-HR"/>
        </w:rPr>
        <w:t xml:space="preserve">Garcia, </w:t>
      </w:r>
      <w:r w:rsidRPr="00A03898">
        <w:rPr>
          <w:lang w:val="en-GB" w:eastAsia="hr-HR"/>
        </w:rPr>
        <w:t xml:space="preserve">M.J. (2013). Factors that determine the evolution of high-growth businesses. </w:t>
      </w:r>
      <w:r w:rsidRPr="00A03898">
        <w:rPr>
          <w:i/>
          <w:lang w:val="en-GB" w:eastAsia="hr-HR"/>
        </w:rPr>
        <w:t>Intangible Capital</w:t>
      </w:r>
      <w:r w:rsidRPr="00A03898">
        <w:rPr>
          <w:lang w:val="en-GB" w:eastAsia="hr-HR"/>
        </w:rPr>
        <w:t>, 9(2): 379-391. http://dx.doi.org/10.3926/ic.449</w:t>
      </w:r>
    </w:p>
    <w:p w14:paraId="6649AC57" w14:textId="4C7E48B9" w:rsidR="002F4D8F" w:rsidRPr="00A03898" w:rsidRDefault="002F4D8F" w:rsidP="002F4D8F">
      <w:pPr>
        <w:spacing w:line="360" w:lineRule="auto"/>
        <w:ind w:left="567" w:hanging="567"/>
        <w:rPr>
          <w:lang w:val="en-GB" w:eastAsia="hr-HR"/>
        </w:rPr>
      </w:pPr>
      <w:proofErr w:type="spellStart"/>
      <w:r w:rsidRPr="00A03898">
        <w:rPr>
          <w:lang w:val="en-GB" w:eastAsia="hr-HR"/>
        </w:rPr>
        <w:t>Arrighetti</w:t>
      </w:r>
      <w:proofErr w:type="spellEnd"/>
      <w:r w:rsidRPr="00A03898">
        <w:rPr>
          <w:lang w:val="en-GB" w:eastAsia="hr-HR"/>
        </w:rPr>
        <w:t>, A.</w:t>
      </w:r>
      <w:r w:rsidR="008F1607" w:rsidRPr="00A03898">
        <w:rPr>
          <w:lang w:val="en-GB" w:eastAsia="hr-HR"/>
        </w:rPr>
        <w:t>,</w:t>
      </w:r>
      <w:r w:rsidRPr="00A03898">
        <w:rPr>
          <w:lang w:val="en-GB" w:eastAsia="hr-HR"/>
        </w:rPr>
        <w:t xml:space="preserve"> &amp; Andrea </w:t>
      </w:r>
      <w:proofErr w:type="spellStart"/>
      <w:r w:rsidRPr="00A03898">
        <w:rPr>
          <w:lang w:val="en-GB" w:eastAsia="hr-HR"/>
        </w:rPr>
        <w:t>Lasagni</w:t>
      </w:r>
      <w:proofErr w:type="spellEnd"/>
      <w:r w:rsidRPr="00A03898">
        <w:rPr>
          <w:lang w:val="en-GB" w:eastAsia="hr-HR"/>
        </w:rPr>
        <w:t xml:space="preserve"> (2013)</w:t>
      </w:r>
      <w:r w:rsidR="00E73A06" w:rsidRPr="00A03898">
        <w:rPr>
          <w:lang w:val="en-GB" w:eastAsia="hr-HR"/>
        </w:rPr>
        <w:t>.</w:t>
      </w:r>
      <w:r w:rsidRPr="00A03898">
        <w:rPr>
          <w:lang w:val="en-GB" w:eastAsia="hr-HR"/>
        </w:rPr>
        <w:t xml:space="preserve"> Assessing the Determinants of High-Grow</w:t>
      </w:r>
      <w:r w:rsidR="00E73A06" w:rsidRPr="00A03898">
        <w:rPr>
          <w:lang w:val="en-GB" w:eastAsia="hr-HR"/>
        </w:rPr>
        <w:t>th Manufacturing Firms in Italy.</w:t>
      </w:r>
      <w:r w:rsidRPr="00A03898">
        <w:rPr>
          <w:lang w:val="en-GB" w:eastAsia="hr-HR"/>
        </w:rPr>
        <w:t xml:space="preserve"> </w:t>
      </w:r>
      <w:r w:rsidRPr="00A03898">
        <w:rPr>
          <w:i/>
          <w:lang w:val="en-GB" w:eastAsia="hr-HR"/>
        </w:rPr>
        <w:t>International Journal of the Economics of Business</w:t>
      </w:r>
      <w:r w:rsidR="00E73A06" w:rsidRPr="00A03898">
        <w:rPr>
          <w:lang w:val="en-GB" w:eastAsia="hr-HR"/>
        </w:rPr>
        <w:t>, 20(</w:t>
      </w:r>
      <w:r w:rsidRPr="00A03898">
        <w:rPr>
          <w:lang w:val="en-GB" w:eastAsia="hr-HR"/>
        </w:rPr>
        <w:t>2</w:t>
      </w:r>
      <w:r w:rsidR="00E73A06" w:rsidRPr="00A03898">
        <w:rPr>
          <w:lang w:val="en-GB" w:eastAsia="hr-HR"/>
        </w:rPr>
        <w:t>)</w:t>
      </w:r>
      <w:r w:rsidRPr="00A03898">
        <w:rPr>
          <w:lang w:val="en-GB" w:eastAsia="hr-HR"/>
        </w:rPr>
        <w:t xml:space="preserve">, 245-267, </w:t>
      </w:r>
      <w:r w:rsidR="00E73A06" w:rsidRPr="00A03898">
        <w:rPr>
          <w:lang w:val="en-GB" w:eastAsia="hr-HR"/>
        </w:rPr>
        <w:t>https://doi.org/10.1080/13571516.2013.783456</w:t>
      </w:r>
    </w:p>
    <w:p w14:paraId="336567B0" w14:textId="0EA4E75D" w:rsidR="002F4D8F" w:rsidRPr="00A03898" w:rsidRDefault="002F4D8F" w:rsidP="002F4D8F">
      <w:pPr>
        <w:spacing w:line="360" w:lineRule="auto"/>
        <w:ind w:left="567" w:hanging="567"/>
        <w:rPr>
          <w:lang w:val="en-GB" w:eastAsia="hr-HR"/>
        </w:rPr>
      </w:pPr>
      <w:proofErr w:type="spellStart"/>
      <w:r w:rsidRPr="00A03898">
        <w:rPr>
          <w:lang w:val="en-GB" w:eastAsia="hr-HR"/>
        </w:rPr>
        <w:t>Audretsch</w:t>
      </w:r>
      <w:proofErr w:type="spellEnd"/>
      <w:r w:rsidRPr="00A03898">
        <w:rPr>
          <w:lang w:val="en-GB" w:eastAsia="hr-HR"/>
        </w:rPr>
        <w:t xml:space="preserve">, D.B. (2012). </w:t>
      </w:r>
      <w:r w:rsidRPr="00A03898">
        <w:rPr>
          <w:i/>
          <w:lang w:val="en-GB" w:eastAsia="hr-HR"/>
        </w:rPr>
        <w:t>Determinants of High-Growth Entrepreneurship</w:t>
      </w:r>
      <w:r w:rsidRPr="00A03898">
        <w:rPr>
          <w:lang w:val="en-GB" w:eastAsia="hr-HR"/>
        </w:rPr>
        <w:t>.</w:t>
      </w:r>
      <w:r w:rsidR="00E17441" w:rsidRPr="00A03898">
        <w:rPr>
          <w:lang w:val="en-GB" w:eastAsia="hr-HR"/>
        </w:rPr>
        <w:t xml:space="preserve"> </w:t>
      </w:r>
      <w:r w:rsidR="006A4778" w:rsidRPr="00A03898">
        <w:rPr>
          <w:lang w:val="en-GB" w:eastAsia="hr-HR"/>
        </w:rPr>
        <w:t xml:space="preserve">Report for </w:t>
      </w:r>
      <w:r w:rsidRPr="00A03898">
        <w:rPr>
          <w:lang w:val="en-GB" w:eastAsia="hr-HR"/>
        </w:rPr>
        <w:t>OECD</w:t>
      </w:r>
      <w:r w:rsidR="00E17441" w:rsidRPr="00A03898">
        <w:rPr>
          <w:lang w:val="en-GB" w:eastAsia="hr-HR"/>
        </w:rPr>
        <w:t xml:space="preserve">/DBA International Workshop on </w:t>
      </w:r>
      <w:r w:rsidRPr="00A03898">
        <w:rPr>
          <w:lang w:val="en-GB" w:eastAsia="hr-HR"/>
        </w:rPr>
        <w:t xml:space="preserve">High-growth firms: local </w:t>
      </w:r>
      <w:r w:rsidR="00A00CCB" w:rsidRPr="00A03898">
        <w:rPr>
          <w:lang w:val="en-GB" w:eastAsia="hr-HR"/>
        </w:rPr>
        <w:t>policies and local determinants,</w:t>
      </w:r>
      <w:r w:rsidRPr="00A03898">
        <w:rPr>
          <w:lang w:val="en-GB" w:eastAsia="hr-HR"/>
        </w:rPr>
        <w:t xml:space="preserve"> Copenhagen, </w:t>
      </w:r>
      <w:hyperlink r:id="rId26" w:history="1">
        <w:r w:rsidR="00E17441" w:rsidRPr="00A03898">
          <w:rPr>
            <w:rStyle w:val="Hyperlink"/>
            <w:lang w:val="en-GB" w:eastAsia="hr-HR"/>
          </w:rPr>
          <w:t>https://www.oecd.org/cfe/leed/Audretsch_determinants%20of%20high-growth%20firms.pdf</w:t>
        </w:r>
      </w:hyperlink>
      <w:r w:rsidR="007F5AB4" w:rsidRPr="00A03898">
        <w:rPr>
          <w:lang w:val="en-GB" w:eastAsia="hr-HR"/>
        </w:rPr>
        <w:t>.</w:t>
      </w:r>
      <w:r w:rsidR="00E17441" w:rsidRPr="00A03898">
        <w:rPr>
          <w:lang w:val="en-GB" w:eastAsia="hr-HR"/>
        </w:rPr>
        <w:t xml:space="preserve"> Accessed 12 February 2020.</w:t>
      </w:r>
    </w:p>
    <w:p w14:paraId="54479BDC" w14:textId="3CA24549" w:rsidR="002F4D8F" w:rsidRPr="00A03898" w:rsidRDefault="002F4D8F" w:rsidP="002F4D8F">
      <w:pPr>
        <w:spacing w:line="360" w:lineRule="auto"/>
        <w:ind w:left="567" w:hanging="567"/>
        <w:rPr>
          <w:lang w:val="en-GB" w:eastAsia="hr-HR"/>
        </w:rPr>
      </w:pPr>
      <w:proofErr w:type="spellStart"/>
      <w:r w:rsidRPr="00A03898">
        <w:rPr>
          <w:lang w:val="en-GB" w:eastAsia="hr-HR"/>
        </w:rPr>
        <w:t>Audretsch</w:t>
      </w:r>
      <w:proofErr w:type="spellEnd"/>
      <w:r w:rsidRPr="00A03898">
        <w:rPr>
          <w:lang w:val="en-GB" w:eastAsia="hr-HR"/>
        </w:rPr>
        <w:t xml:space="preserve">, D., </w:t>
      </w:r>
      <w:proofErr w:type="spellStart"/>
      <w:r w:rsidRPr="00A03898">
        <w:rPr>
          <w:lang w:val="en-GB" w:eastAsia="hr-HR"/>
        </w:rPr>
        <w:t>Santarelli</w:t>
      </w:r>
      <w:proofErr w:type="spellEnd"/>
      <w:r w:rsidRPr="00A03898">
        <w:rPr>
          <w:lang w:val="en-GB" w:eastAsia="hr-HR"/>
        </w:rPr>
        <w:t>, E.</w:t>
      </w:r>
      <w:r w:rsidR="00283837" w:rsidRPr="00A03898">
        <w:rPr>
          <w:lang w:val="en-GB" w:eastAsia="hr-HR"/>
        </w:rPr>
        <w:t>,</w:t>
      </w:r>
      <w:r w:rsidRPr="00A03898">
        <w:rPr>
          <w:lang w:val="en-GB" w:eastAsia="hr-HR"/>
        </w:rPr>
        <w:t xml:space="preserve"> </w:t>
      </w:r>
      <w:proofErr w:type="spellStart"/>
      <w:r w:rsidRPr="00A03898">
        <w:rPr>
          <w:lang w:val="en-GB" w:eastAsia="hr-HR"/>
        </w:rPr>
        <w:t>Vivarelli</w:t>
      </w:r>
      <w:proofErr w:type="spellEnd"/>
      <w:r w:rsidRPr="00A03898">
        <w:rPr>
          <w:lang w:val="en-GB" w:eastAsia="hr-HR"/>
        </w:rPr>
        <w:t xml:space="preserve">, M. (1999). Start-up Size and Industrial Dynamics: Some Evidence from Italian Manufacturing. </w:t>
      </w:r>
      <w:r w:rsidRPr="00A03898">
        <w:rPr>
          <w:i/>
          <w:lang w:val="en-GB" w:eastAsia="hr-HR"/>
        </w:rPr>
        <w:t>International Journal of Industrial Organization</w:t>
      </w:r>
      <w:r w:rsidR="005D660E" w:rsidRPr="00A03898">
        <w:rPr>
          <w:lang w:val="en-GB" w:eastAsia="hr-HR"/>
        </w:rPr>
        <w:t>, 17, 965- 983, https://doi.org/10.1016/S0167-7187(98)00002-2</w:t>
      </w:r>
    </w:p>
    <w:p w14:paraId="5A33275A" w14:textId="77777777" w:rsidR="002F4D8F" w:rsidRPr="00A03898" w:rsidRDefault="002F4D8F" w:rsidP="002F4D8F">
      <w:pPr>
        <w:spacing w:line="360" w:lineRule="auto"/>
        <w:ind w:left="567" w:hanging="567"/>
        <w:rPr>
          <w:lang w:val="en-GB" w:eastAsia="hr-HR"/>
        </w:rPr>
      </w:pPr>
      <w:r w:rsidRPr="00A03898">
        <w:rPr>
          <w:lang w:val="en-GB" w:eastAsia="hr-HR"/>
        </w:rPr>
        <w:t xml:space="preserve">Banga, R. (2013). </w:t>
      </w:r>
      <w:r w:rsidRPr="00A03898">
        <w:rPr>
          <w:i/>
          <w:lang w:val="en-GB" w:eastAsia="hr-HR"/>
        </w:rPr>
        <w:t>Measuring value in global value chains</w:t>
      </w:r>
      <w:r w:rsidRPr="00A03898">
        <w:rPr>
          <w:lang w:val="en-GB" w:eastAsia="hr-HR"/>
        </w:rPr>
        <w:t>. Background paper, RVC-8. UNCTAD. https://unctad.org/en/PublicationsLibrary/ecidc2013misc1_bp8.pdf. Accessed September 4, 2019.</w:t>
      </w:r>
    </w:p>
    <w:p w14:paraId="0FDAA35C" w14:textId="5A3C8289" w:rsidR="002F4D8F" w:rsidRPr="00A03898" w:rsidRDefault="002F4D8F" w:rsidP="002F4D8F">
      <w:pPr>
        <w:spacing w:line="360" w:lineRule="auto"/>
        <w:ind w:left="567" w:hanging="567"/>
        <w:rPr>
          <w:lang w:val="en-GB" w:eastAsia="hr-HR"/>
        </w:rPr>
      </w:pPr>
      <w:r w:rsidRPr="00A03898">
        <w:rPr>
          <w:lang w:val="en-GB" w:eastAsia="hr-HR"/>
        </w:rPr>
        <w:t>Birch, D</w:t>
      </w:r>
      <w:r w:rsidR="00AE3027" w:rsidRPr="00A03898">
        <w:rPr>
          <w:lang w:val="en-GB" w:eastAsia="hr-HR"/>
        </w:rPr>
        <w:t>.GW. (1979).</w:t>
      </w:r>
      <w:r w:rsidRPr="00A03898">
        <w:rPr>
          <w:lang w:val="en-GB" w:eastAsia="hr-HR"/>
        </w:rPr>
        <w:t xml:space="preserve"> </w:t>
      </w:r>
      <w:r w:rsidRPr="00A03898">
        <w:rPr>
          <w:i/>
          <w:lang w:val="en-GB" w:eastAsia="hr-HR"/>
        </w:rPr>
        <w:t>T</w:t>
      </w:r>
      <w:r w:rsidR="00AE3027" w:rsidRPr="00A03898">
        <w:rPr>
          <w:i/>
          <w:lang w:val="en-GB" w:eastAsia="hr-HR"/>
        </w:rPr>
        <w:t>he Job Generation Process</w:t>
      </w:r>
      <w:r w:rsidRPr="00A03898">
        <w:rPr>
          <w:lang w:val="en-GB" w:eastAsia="hr-HR"/>
        </w:rPr>
        <w:t xml:space="preserve">. MIT Program on </w:t>
      </w:r>
      <w:r w:rsidR="002854C0" w:rsidRPr="00A03898">
        <w:rPr>
          <w:lang w:val="en-GB" w:eastAsia="hr-HR"/>
        </w:rPr>
        <w:t>Neighbourhood and Regional Change.</w:t>
      </w:r>
    </w:p>
    <w:p w14:paraId="5F6D6B3D" w14:textId="7E147F58" w:rsidR="002F4D8F" w:rsidRPr="00A03898" w:rsidRDefault="002F4D8F" w:rsidP="002F4D8F">
      <w:pPr>
        <w:spacing w:line="360" w:lineRule="auto"/>
        <w:ind w:left="567" w:hanging="567"/>
        <w:rPr>
          <w:lang w:val="en-GB" w:eastAsia="hr-HR"/>
        </w:rPr>
      </w:pPr>
      <w:r w:rsidRPr="00A03898">
        <w:rPr>
          <w:lang w:val="en-GB" w:eastAsia="hr-HR"/>
        </w:rPr>
        <w:lastRenderedPageBreak/>
        <w:t>Braga, V.</w:t>
      </w:r>
      <w:r w:rsidR="00904E76" w:rsidRPr="00A03898">
        <w:rPr>
          <w:lang w:val="en-GB" w:eastAsia="hr-HR"/>
        </w:rPr>
        <w:t>,</w:t>
      </w:r>
      <w:r w:rsidRPr="00A03898">
        <w:rPr>
          <w:lang w:val="en-GB" w:eastAsia="hr-HR"/>
        </w:rPr>
        <w:t xml:space="preserve"> </w:t>
      </w:r>
      <w:proofErr w:type="spellStart"/>
      <w:r w:rsidRPr="00A03898">
        <w:rPr>
          <w:lang w:val="en-GB" w:eastAsia="hr-HR"/>
        </w:rPr>
        <w:t>Queirós</w:t>
      </w:r>
      <w:proofErr w:type="spellEnd"/>
      <w:r w:rsidR="00904E76" w:rsidRPr="00A03898">
        <w:rPr>
          <w:lang w:val="en-GB" w:eastAsia="hr-HR"/>
        </w:rPr>
        <w:t>, M.,</w:t>
      </w:r>
      <w:r w:rsidRPr="00A03898">
        <w:rPr>
          <w:lang w:val="en-GB" w:eastAsia="hr-HR"/>
        </w:rPr>
        <w:t xml:space="preserve"> Correia</w:t>
      </w:r>
      <w:r w:rsidR="00904E76" w:rsidRPr="00A03898">
        <w:rPr>
          <w:lang w:val="en-GB" w:eastAsia="hr-HR"/>
        </w:rPr>
        <w:t>, A.,</w:t>
      </w:r>
      <w:r w:rsidRPr="00A03898">
        <w:rPr>
          <w:lang w:val="en-GB" w:eastAsia="hr-HR"/>
        </w:rPr>
        <w:t xml:space="preserve"> Braga,</w:t>
      </w:r>
      <w:r w:rsidR="00904E76" w:rsidRPr="00A03898">
        <w:rPr>
          <w:lang w:val="en-GB" w:eastAsia="hr-HR"/>
        </w:rPr>
        <w:t xml:space="preserve"> A. (</w:t>
      </w:r>
      <w:r w:rsidRPr="00A03898">
        <w:rPr>
          <w:lang w:val="en-GB" w:eastAsia="hr-HR"/>
        </w:rPr>
        <w:t>2018</w:t>
      </w:r>
      <w:r w:rsidR="00904E76" w:rsidRPr="00A03898">
        <w:rPr>
          <w:lang w:val="en-GB" w:eastAsia="hr-HR"/>
        </w:rPr>
        <w:t xml:space="preserve">). </w:t>
      </w:r>
      <w:r w:rsidRPr="00A03898">
        <w:rPr>
          <w:lang w:val="en-GB" w:eastAsia="hr-HR"/>
        </w:rPr>
        <w:t>High-Growth Business Creation and Management: a Multivariate Quanti</w:t>
      </w:r>
      <w:r w:rsidR="004C6979" w:rsidRPr="00A03898">
        <w:rPr>
          <w:lang w:val="en-GB" w:eastAsia="hr-HR"/>
        </w:rPr>
        <w:t>tative Approach Using GEM Data.</w:t>
      </w:r>
      <w:r w:rsidRPr="00A03898">
        <w:rPr>
          <w:lang w:val="en-GB" w:eastAsia="hr-HR"/>
        </w:rPr>
        <w:t xml:space="preserve"> </w:t>
      </w:r>
      <w:r w:rsidRPr="00A03898">
        <w:rPr>
          <w:i/>
          <w:lang w:val="en-GB" w:eastAsia="hr-HR"/>
        </w:rPr>
        <w:t>Journal of the Knowledge Economy</w:t>
      </w:r>
      <w:r w:rsidRPr="00A03898">
        <w:rPr>
          <w:lang w:val="en-GB" w:eastAsia="hr-HR"/>
        </w:rPr>
        <w:t xml:space="preserve">, 9(2), </w:t>
      </w:r>
      <w:r w:rsidR="004C6979" w:rsidRPr="00A03898">
        <w:rPr>
          <w:lang w:val="en-GB" w:eastAsia="hr-HR"/>
        </w:rPr>
        <w:t>424-445</w:t>
      </w:r>
      <w:r w:rsidR="0093497F" w:rsidRPr="00A03898">
        <w:rPr>
          <w:lang w:val="en-GB" w:eastAsia="hr-HR"/>
        </w:rPr>
        <w:t>,</w:t>
      </w:r>
      <w:r w:rsidR="003A3907" w:rsidRPr="00A03898">
        <w:rPr>
          <w:lang w:val="en-GB" w:eastAsia="hr-HR"/>
        </w:rPr>
        <w:t xml:space="preserve"> DOI: 10.1007/s13132-017-0490-0</w:t>
      </w:r>
    </w:p>
    <w:p w14:paraId="412D0915" w14:textId="3C3CF494" w:rsidR="002F4D8F" w:rsidRPr="00A03898" w:rsidRDefault="002F4D8F" w:rsidP="002F4D8F">
      <w:pPr>
        <w:spacing w:line="360" w:lineRule="auto"/>
        <w:ind w:left="567" w:hanging="567"/>
        <w:rPr>
          <w:rFonts w:ascii="AppleSystemUIFont" w:hAnsi="AppleSystemUIFont" w:cs="AppleSystemUIFont"/>
          <w:lang w:eastAsia="hr-HR"/>
        </w:rPr>
      </w:pPr>
      <w:r w:rsidRPr="00A03898">
        <w:rPr>
          <w:lang w:eastAsia="hr-HR"/>
        </w:rPr>
        <w:t>Coad, A.</w:t>
      </w:r>
      <w:r w:rsidR="0093497F" w:rsidRPr="00A03898">
        <w:rPr>
          <w:lang w:eastAsia="hr-HR"/>
        </w:rPr>
        <w:t>,</w:t>
      </w:r>
      <w:r w:rsidRPr="00A03898">
        <w:rPr>
          <w:lang w:eastAsia="hr-HR"/>
        </w:rPr>
        <w:t xml:space="preserve"> &amp; Srhoj</w:t>
      </w:r>
      <w:r w:rsidR="0093497F" w:rsidRPr="00A03898">
        <w:rPr>
          <w:lang w:eastAsia="hr-HR"/>
        </w:rPr>
        <w:t>, S. (2019).</w:t>
      </w:r>
      <w:r w:rsidRPr="00A03898">
        <w:rPr>
          <w:lang w:eastAsia="hr-HR"/>
        </w:rPr>
        <w:t xml:space="preserve"> Catching Gazelles with a Lasso: Big data techniques for the </w:t>
      </w:r>
      <w:r w:rsidR="0093497F" w:rsidRPr="00A03898">
        <w:rPr>
          <w:lang w:eastAsia="hr-HR"/>
        </w:rPr>
        <w:t>prediction of high-growth firms.</w:t>
      </w:r>
      <w:r w:rsidRPr="00A03898">
        <w:rPr>
          <w:lang w:eastAsia="hr-HR"/>
        </w:rPr>
        <w:t xml:space="preserve"> </w:t>
      </w:r>
      <w:r w:rsidRPr="00A03898">
        <w:rPr>
          <w:i/>
          <w:lang w:eastAsia="hr-HR"/>
        </w:rPr>
        <w:t>Small Business Economics</w:t>
      </w:r>
      <w:r w:rsidRPr="00A03898">
        <w:rPr>
          <w:lang w:eastAsia="hr-HR"/>
        </w:rPr>
        <w:t xml:space="preserve">. </w:t>
      </w:r>
      <w:hyperlink r:id="rId27" w:history="1">
        <w:r w:rsidRPr="00A03898">
          <w:rPr>
            <w:lang w:eastAsia="hr-HR"/>
          </w:rPr>
          <w:t>https://doi.org/10.1007/s11187-019-00203-3</w:t>
        </w:r>
      </w:hyperlink>
    </w:p>
    <w:p w14:paraId="77C25300" w14:textId="3B99E0D4" w:rsidR="002F4D8F" w:rsidRPr="00A03898" w:rsidRDefault="002F4D8F" w:rsidP="002F4D8F">
      <w:pPr>
        <w:spacing w:line="360" w:lineRule="auto"/>
        <w:ind w:left="567" w:hanging="567"/>
        <w:rPr>
          <w:lang w:eastAsia="hr-HR"/>
        </w:rPr>
      </w:pPr>
      <w:r w:rsidRPr="00A03898">
        <w:rPr>
          <w:lang w:eastAsia="hr-HR"/>
        </w:rPr>
        <w:t>Coad, A.</w:t>
      </w:r>
      <w:r w:rsidR="0093497F" w:rsidRPr="00A03898">
        <w:rPr>
          <w:lang w:eastAsia="hr-HR"/>
        </w:rPr>
        <w:t>, &amp; Rao</w:t>
      </w:r>
      <w:r w:rsidRPr="00A03898">
        <w:rPr>
          <w:lang w:eastAsia="hr-HR"/>
        </w:rPr>
        <w:t>, R. (2008). Innovation and Firm Growth in High-Tech Sectors:</w:t>
      </w:r>
      <w:r w:rsidR="0093497F" w:rsidRPr="00A03898">
        <w:rPr>
          <w:lang w:eastAsia="hr-HR"/>
        </w:rPr>
        <w:t xml:space="preserve"> A Quantile Regression Approach.</w:t>
      </w:r>
      <w:r w:rsidRPr="00A03898">
        <w:rPr>
          <w:lang w:eastAsia="hr-HR"/>
        </w:rPr>
        <w:t xml:space="preserve"> </w:t>
      </w:r>
      <w:r w:rsidRPr="00A03898">
        <w:rPr>
          <w:i/>
          <w:lang w:eastAsia="hr-HR"/>
        </w:rPr>
        <w:t>Research Policy</w:t>
      </w:r>
      <w:r w:rsidR="0093497F" w:rsidRPr="00A03898">
        <w:rPr>
          <w:i/>
          <w:lang w:eastAsia="hr-HR"/>
        </w:rPr>
        <w:t>,</w:t>
      </w:r>
      <w:r w:rsidRPr="00A03898">
        <w:rPr>
          <w:lang w:eastAsia="hr-HR"/>
        </w:rPr>
        <w:t xml:space="preserve"> 37(4):633-648, </w:t>
      </w:r>
      <w:r w:rsidR="0093497F" w:rsidRPr="00A03898">
        <w:rPr>
          <w:lang w:eastAsia="hr-HR"/>
        </w:rPr>
        <w:t>https://doi.org/10.1016/j.respol.2008.01.003</w:t>
      </w:r>
    </w:p>
    <w:p w14:paraId="74F7282C" w14:textId="005D5830" w:rsidR="002F4D8F" w:rsidRPr="00A03898" w:rsidRDefault="002F4D8F" w:rsidP="002F4D8F">
      <w:pPr>
        <w:spacing w:line="360" w:lineRule="auto"/>
        <w:ind w:left="567" w:hanging="567"/>
        <w:rPr>
          <w:lang w:eastAsia="hr-HR"/>
        </w:rPr>
      </w:pPr>
      <w:r w:rsidRPr="00A03898">
        <w:rPr>
          <w:lang w:eastAsia="hr-HR"/>
        </w:rPr>
        <w:t xml:space="preserve">Coad, A., </w:t>
      </w:r>
      <w:proofErr w:type="spellStart"/>
      <w:r w:rsidRPr="00A03898">
        <w:rPr>
          <w:lang w:eastAsia="hr-HR"/>
        </w:rPr>
        <w:t>Daunfeldt</w:t>
      </w:r>
      <w:proofErr w:type="spellEnd"/>
      <w:r w:rsidRPr="00A03898">
        <w:rPr>
          <w:lang w:eastAsia="hr-HR"/>
        </w:rPr>
        <w:t>,</w:t>
      </w:r>
      <w:r w:rsidR="007F2C5D" w:rsidRPr="00A03898">
        <w:rPr>
          <w:lang w:eastAsia="hr-HR"/>
        </w:rPr>
        <w:t xml:space="preserve"> S.O.,</w:t>
      </w:r>
      <w:r w:rsidRPr="00A03898">
        <w:rPr>
          <w:lang w:eastAsia="hr-HR"/>
        </w:rPr>
        <w:t xml:space="preserve"> </w:t>
      </w:r>
      <w:proofErr w:type="spellStart"/>
      <w:r w:rsidRPr="00A03898">
        <w:rPr>
          <w:lang w:eastAsia="hr-HR"/>
        </w:rPr>
        <w:t>Hölzl</w:t>
      </w:r>
      <w:proofErr w:type="spellEnd"/>
      <w:r w:rsidRPr="00A03898">
        <w:rPr>
          <w:lang w:eastAsia="hr-HR"/>
        </w:rPr>
        <w:t>,</w:t>
      </w:r>
      <w:r w:rsidR="007F2C5D" w:rsidRPr="00A03898">
        <w:rPr>
          <w:lang w:eastAsia="hr-HR"/>
        </w:rPr>
        <w:t xml:space="preserve"> W.,</w:t>
      </w:r>
      <w:r w:rsidRPr="00A03898">
        <w:rPr>
          <w:lang w:eastAsia="hr-HR"/>
        </w:rPr>
        <w:t xml:space="preserve"> Johansson, </w:t>
      </w:r>
      <w:r w:rsidR="007F2C5D" w:rsidRPr="00A03898">
        <w:rPr>
          <w:lang w:eastAsia="hr-HR"/>
        </w:rPr>
        <w:t xml:space="preserve">D., </w:t>
      </w:r>
      <w:r w:rsidRPr="00A03898">
        <w:rPr>
          <w:lang w:eastAsia="hr-HR"/>
        </w:rPr>
        <w:t>Nightingale,</w:t>
      </w:r>
      <w:r w:rsidR="007F2C5D" w:rsidRPr="00A03898">
        <w:rPr>
          <w:lang w:eastAsia="hr-HR"/>
        </w:rPr>
        <w:t xml:space="preserve"> P. (2014).</w:t>
      </w:r>
      <w:r w:rsidRPr="00A03898">
        <w:rPr>
          <w:lang w:eastAsia="hr-HR"/>
        </w:rPr>
        <w:t xml:space="preserve"> High-growth firms: intr</w:t>
      </w:r>
      <w:r w:rsidR="007F2C5D" w:rsidRPr="00A03898">
        <w:rPr>
          <w:lang w:eastAsia="hr-HR"/>
        </w:rPr>
        <w:t>oduction to the special section.</w:t>
      </w:r>
      <w:r w:rsidRPr="00A03898">
        <w:rPr>
          <w:lang w:eastAsia="hr-HR"/>
        </w:rPr>
        <w:t xml:space="preserve"> </w:t>
      </w:r>
      <w:r w:rsidRPr="00A03898">
        <w:rPr>
          <w:i/>
          <w:lang w:eastAsia="hr-HR"/>
        </w:rPr>
        <w:t>Industrial and Corporate Change</w:t>
      </w:r>
      <w:r w:rsidRPr="00A03898">
        <w:rPr>
          <w:lang w:eastAsia="hr-HR"/>
        </w:rPr>
        <w:t xml:space="preserve">, </w:t>
      </w:r>
      <w:r w:rsidR="007F2C5D" w:rsidRPr="00A03898">
        <w:rPr>
          <w:lang w:eastAsia="hr-HR"/>
        </w:rPr>
        <w:t>23(</w:t>
      </w:r>
      <w:r w:rsidRPr="00A03898">
        <w:rPr>
          <w:lang w:eastAsia="hr-HR"/>
        </w:rPr>
        <w:t>1</w:t>
      </w:r>
      <w:r w:rsidR="007F2C5D" w:rsidRPr="00A03898">
        <w:rPr>
          <w:lang w:eastAsia="hr-HR"/>
        </w:rPr>
        <w:t>)</w:t>
      </w:r>
      <w:r w:rsidRPr="00A03898">
        <w:rPr>
          <w:lang w:eastAsia="hr-HR"/>
        </w:rPr>
        <w:t xml:space="preserve">, 91–112, </w:t>
      </w:r>
      <w:hyperlink r:id="rId28" w:history="1">
        <w:r w:rsidRPr="00A03898">
          <w:rPr>
            <w:rStyle w:val="Hyperlink"/>
            <w:lang w:eastAsia="hr-HR"/>
          </w:rPr>
          <w:t>https://doi.org/10.1093/icc/dtt052</w:t>
        </w:r>
      </w:hyperlink>
    </w:p>
    <w:p w14:paraId="48CD25E2" w14:textId="59439720" w:rsidR="002F4D8F" w:rsidRPr="00A03898" w:rsidRDefault="002F4D8F" w:rsidP="002F4D8F">
      <w:pPr>
        <w:spacing w:line="360" w:lineRule="auto"/>
        <w:ind w:left="567" w:hanging="567"/>
        <w:rPr>
          <w:lang w:eastAsia="hr-HR"/>
        </w:rPr>
      </w:pPr>
      <w:r w:rsidRPr="00A03898">
        <w:rPr>
          <w:lang w:eastAsia="hr-HR"/>
        </w:rPr>
        <w:t>Coad, A., Cowling,</w:t>
      </w:r>
      <w:r w:rsidR="007F2C5D" w:rsidRPr="00A03898">
        <w:rPr>
          <w:lang w:eastAsia="hr-HR"/>
        </w:rPr>
        <w:t xml:space="preserve"> M.,</w:t>
      </w:r>
      <w:r w:rsidRPr="00A03898">
        <w:rPr>
          <w:lang w:eastAsia="hr-HR"/>
        </w:rPr>
        <w:t xml:space="preserve"> </w:t>
      </w:r>
      <w:proofErr w:type="spellStart"/>
      <w:r w:rsidRPr="00A03898">
        <w:rPr>
          <w:lang w:eastAsia="hr-HR"/>
        </w:rPr>
        <w:t>Siepel</w:t>
      </w:r>
      <w:proofErr w:type="spellEnd"/>
      <w:r w:rsidRPr="00A03898">
        <w:rPr>
          <w:lang w:eastAsia="hr-HR"/>
        </w:rPr>
        <w:t>,</w:t>
      </w:r>
      <w:r w:rsidR="007F2C5D" w:rsidRPr="00A03898">
        <w:rPr>
          <w:lang w:eastAsia="hr-HR"/>
        </w:rPr>
        <w:t xml:space="preserve"> J. (2017).</w:t>
      </w:r>
      <w:r w:rsidRPr="00A03898">
        <w:rPr>
          <w:lang w:eastAsia="hr-HR"/>
        </w:rPr>
        <w:t xml:space="preserve"> Growth processes of high-growth firms as a four-dimensional chicken and egg</w:t>
      </w:r>
      <w:r w:rsidR="007F2C5D" w:rsidRPr="00A03898">
        <w:rPr>
          <w:lang w:eastAsia="hr-HR"/>
        </w:rPr>
        <w:t>.</w:t>
      </w:r>
      <w:r w:rsidRPr="00A03898">
        <w:rPr>
          <w:lang w:eastAsia="hr-HR"/>
        </w:rPr>
        <w:t xml:space="preserve"> </w:t>
      </w:r>
      <w:r w:rsidRPr="00A03898">
        <w:rPr>
          <w:i/>
          <w:lang w:eastAsia="hr-HR"/>
        </w:rPr>
        <w:t>Industrial and Corporate Change</w:t>
      </w:r>
      <w:r w:rsidRPr="00A03898">
        <w:rPr>
          <w:lang w:eastAsia="hr-HR"/>
        </w:rPr>
        <w:t>, 26</w:t>
      </w:r>
      <w:r w:rsidR="007F2C5D" w:rsidRPr="00A03898">
        <w:rPr>
          <w:lang w:eastAsia="hr-HR"/>
        </w:rPr>
        <w:t>(</w:t>
      </w:r>
      <w:r w:rsidRPr="00A03898">
        <w:rPr>
          <w:lang w:eastAsia="hr-HR"/>
        </w:rPr>
        <w:t>4</w:t>
      </w:r>
      <w:r w:rsidR="007F2C5D" w:rsidRPr="00A03898">
        <w:rPr>
          <w:lang w:eastAsia="hr-HR"/>
        </w:rPr>
        <w:t>)</w:t>
      </w:r>
      <w:r w:rsidRPr="00A03898">
        <w:rPr>
          <w:lang w:eastAsia="hr-HR"/>
        </w:rPr>
        <w:t>, 537–554, https://doi.org/10.1093/icc/dtw040</w:t>
      </w:r>
    </w:p>
    <w:p w14:paraId="0133195C" w14:textId="46ABF42B" w:rsidR="002F4D8F" w:rsidRPr="00A03898" w:rsidRDefault="002F4D8F" w:rsidP="002F4D8F">
      <w:pPr>
        <w:spacing w:line="360" w:lineRule="auto"/>
        <w:ind w:left="567" w:hanging="567"/>
        <w:rPr>
          <w:lang w:val="en-GB" w:eastAsia="hr-HR"/>
        </w:rPr>
      </w:pPr>
      <w:proofErr w:type="spellStart"/>
      <w:r w:rsidRPr="00A03898">
        <w:rPr>
          <w:lang w:val="en-GB" w:eastAsia="hr-HR"/>
        </w:rPr>
        <w:t>Colantone</w:t>
      </w:r>
      <w:proofErr w:type="spellEnd"/>
      <w:r w:rsidRPr="00A03898">
        <w:rPr>
          <w:lang w:val="en-GB" w:eastAsia="hr-HR"/>
        </w:rPr>
        <w:t xml:space="preserve">, </w:t>
      </w:r>
      <w:r w:rsidR="007A6050" w:rsidRPr="00A03898">
        <w:rPr>
          <w:lang w:val="en-GB" w:eastAsia="hr-HR"/>
        </w:rPr>
        <w:t>I.,</w:t>
      </w:r>
      <w:r w:rsidRPr="00A03898">
        <w:rPr>
          <w:lang w:val="en-GB" w:eastAsia="hr-HR"/>
        </w:rPr>
        <w:t xml:space="preserve"> &amp; </w:t>
      </w:r>
      <w:proofErr w:type="spellStart"/>
      <w:r w:rsidRPr="00A03898">
        <w:rPr>
          <w:lang w:val="en-GB" w:eastAsia="hr-HR"/>
        </w:rPr>
        <w:t>Sleuwaegen</w:t>
      </w:r>
      <w:proofErr w:type="spellEnd"/>
      <w:r w:rsidRPr="00A03898">
        <w:rPr>
          <w:lang w:val="en-GB" w:eastAsia="hr-HR"/>
        </w:rPr>
        <w:t>, L</w:t>
      </w:r>
      <w:r w:rsidR="007A6050" w:rsidRPr="00A03898">
        <w:rPr>
          <w:lang w:val="en-GB" w:eastAsia="hr-HR"/>
        </w:rPr>
        <w:t>.</w:t>
      </w:r>
      <w:r w:rsidRPr="00A03898">
        <w:rPr>
          <w:lang w:val="en-GB" w:eastAsia="hr-HR"/>
        </w:rPr>
        <w:t xml:space="preserve"> </w:t>
      </w:r>
      <w:r w:rsidR="007A6050" w:rsidRPr="00A03898">
        <w:rPr>
          <w:lang w:val="en-GB" w:eastAsia="hr-HR"/>
        </w:rPr>
        <w:t>(</w:t>
      </w:r>
      <w:r w:rsidRPr="00A03898">
        <w:rPr>
          <w:lang w:val="en-GB" w:eastAsia="hr-HR"/>
        </w:rPr>
        <w:t>2008</w:t>
      </w:r>
      <w:r w:rsidR="007A6050" w:rsidRPr="00A03898">
        <w:rPr>
          <w:lang w:val="en-GB" w:eastAsia="hr-HR"/>
        </w:rPr>
        <w:t xml:space="preserve">). </w:t>
      </w:r>
      <w:r w:rsidRPr="00A03898">
        <w:rPr>
          <w:i/>
          <w:lang w:val="en-GB" w:eastAsia="hr-HR"/>
        </w:rPr>
        <w:t>Entry and exit of firms in a global economy: a cross-country and industry analysis</w:t>
      </w:r>
      <w:r w:rsidR="007A6050" w:rsidRPr="00A03898">
        <w:rPr>
          <w:lang w:val="en-GB" w:eastAsia="hr-HR"/>
        </w:rPr>
        <w:t>.</w:t>
      </w:r>
      <w:r w:rsidRPr="00A03898">
        <w:rPr>
          <w:lang w:val="en-GB" w:eastAsia="hr-HR"/>
        </w:rPr>
        <w:t xml:space="preserve"> </w:t>
      </w:r>
      <w:r w:rsidR="007A6050" w:rsidRPr="00A03898">
        <w:rPr>
          <w:lang w:val="en-GB" w:eastAsia="hr-HR"/>
        </w:rPr>
        <w:t>Working Paper Series 2007-36.</w:t>
      </w:r>
      <w:r w:rsidRPr="00A03898">
        <w:rPr>
          <w:lang w:val="en-GB" w:eastAsia="hr-HR"/>
        </w:rPr>
        <w:t xml:space="preserve"> </w:t>
      </w:r>
      <w:proofErr w:type="spellStart"/>
      <w:r w:rsidRPr="00A03898">
        <w:rPr>
          <w:lang w:val="en-GB" w:eastAsia="hr-HR"/>
        </w:rPr>
        <w:t>Vlerick</w:t>
      </w:r>
      <w:proofErr w:type="spellEnd"/>
      <w:r w:rsidRPr="00A03898">
        <w:rPr>
          <w:lang w:val="en-GB" w:eastAsia="hr-HR"/>
        </w:rPr>
        <w:t xml:space="preserve"> Leuven Gent Management School.</w:t>
      </w:r>
    </w:p>
    <w:p w14:paraId="33D295D7" w14:textId="77777777" w:rsidR="002F4D8F" w:rsidRPr="00A03898" w:rsidRDefault="002F4D8F" w:rsidP="002F4D8F">
      <w:pPr>
        <w:spacing w:line="360" w:lineRule="auto"/>
        <w:ind w:left="851" w:hanging="851"/>
        <w:rPr>
          <w:lang w:val="en-GB" w:eastAsia="hr-HR"/>
        </w:rPr>
      </w:pPr>
      <w:proofErr w:type="spellStart"/>
      <w:r w:rsidRPr="00A03898">
        <w:rPr>
          <w:lang w:val="en-GB" w:eastAsia="hr-HR"/>
        </w:rPr>
        <w:t>Cuaresma</w:t>
      </w:r>
      <w:proofErr w:type="spellEnd"/>
      <w:r w:rsidRPr="00A03898">
        <w:rPr>
          <w:lang w:val="en-GB" w:eastAsia="hr-HR"/>
        </w:rPr>
        <w:t xml:space="preserve">, J.C., &amp; </w:t>
      </w:r>
      <w:proofErr w:type="spellStart"/>
      <w:r w:rsidRPr="00A03898">
        <w:rPr>
          <w:lang w:val="en-GB" w:eastAsia="hr-HR"/>
        </w:rPr>
        <w:t>Wörz</w:t>
      </w:r>
      <w:proofErr w:type="spellEnd"/>
      <w:r w:rsidRPr="00A03898">
        <w:rPr>
          <w:lang w:val="en-GB" w:eastAsia="hr-HR"/>
        </w:rPr>
        <w:t xml:space="preserve">, J. (2005). On Export Composition and Growth. </w:t>
      </w:r>
      <w:r w:rsidRPr="00A03898">
        <w:rPr>
          <w:i/>
          <w:lang w:val="en-GB" w:eastAsia="hr-HR"/>
        </w:rPr>
        <w:t xml:space="preserve">Review of World Economics, </w:t>
      </w:r>
      <w:r w:rsidRPr="00A03898">
        <w:rPr>
          <w:lang w:val="en-GB" w:eastAsia="hr-HR"/>
        </w:rPr>
        <w:t xml:space="preserve">141(1), 33-49, </w:t>
      </w:r>
      <w:hyperlink r:id="rId29" w:history="1">
        <w:r w:rsidRPr="00A03898">
          <w:rPr>
            <w:rStyle w:val="Hyperlink"/>
            <w:lang w:val="en-GB" w:eastAsia="hr-HR"/>
          </w:rPr>
          <w:t>https://www.jstor.org/stable/40441033</w:t>
        </w:r>
      </w:hyperlink>
    </w:p>
    <w:p w14:paraId="30CB31A2" w14:textId="42772923" w:rsidR="002F4D8F" w:rsidRPr="00A03898" w:rsidRDefault="002F4D8F" w:rsidP="002F4D8F">
      <w:pPr>
        <w:spacing w:line="360" w:lineRule="auto"/>
        <w:ind w:left="851" w:hanging="851"/>
        <w:rPr>
          <w:lang w:val="en-GB" w:eastAsia="hr-HR"/>
        </w:rPr>
      </w:pPr>
      <w:proofErr w:type="spellStart"/>
      <w:r w:rsidRPr="00A03898">
        <w:rPr>
          <w:lang w:val="en-GB" w:eastAsia="hr-HR"/>
        </w:rPr>
        <w:t>Davidsson</w:t>
      </w:r>
      <w:proofErr w:type="spellEnd"/>
      <w:r w:rsidRPr="00A03898">
        <w:rPr>
          <w:lang w:val="en-GB" w:eastAsia="hr-HR"/>
        </w:rPr>
        <w:t xml:space="preserve">, P., </w:t>
      </w:r>
      <w:r w:rsidR="009F3BAA" w:rsidRPr="00A03898">
        <w:rPr>
          <w:lang w:val="en-GB" w:eastAsia="hr-HR"/>
        </w:rPr>
        <w:t xml:space="preserve">&amp; </w:t>
      </w:r>
      <w:proofErr w:type="spellStart"/>
      <w:r w:rsidRPr="00A03898">
        <w:rPr>
          <w:lang w:val="en-GB" w:eastAsia="hr-HR"/>
        </w:rPr>
        <w:t>Henrekson</w:t>
      </w:r>
      <w:proofErr w:type="spellEnd"/>
      <w:r w:rsidRPr="00A03898">
        <w:rPr>
          <w:lang w:val="en-GB" w:eastAsia="hr-HR"/>
        </w:rPr>
        <w:t xml:space="preserve">, M. </w:t>
      </w:r>
      <w:r w:rsidR="009F3BAA" w:rsidRPr="00A03898">
        <w:rPr>
          <w:lang w:val="en-GB" w:eastAsia="hr-HR"/>
        </w:rPr>
        <w:t xml:space="preserve">(2002). </w:t>
      </w:r>
      <w:r w:rsidRPr="00A03898">
        <w:rPr>
          <w:lang w:val="en-GB" w:eastAsia="hr-HR"/>
        </w:rPr>
        <w:t xml:space="preserve">Determinants of the </w:t>
      </w:r>
      <w:proofErr w:type="spellStart"/>
      <w:r w:rsidRPr="00A03898">
        <w:rPr>
          <w:lang w:val="en-GB" w:eastAsia="hr-HR"/>
        </w:rPr>
        <w:t>Prevalance</w:t>
      </w:r>
      <w:proofErr w:type="spellEnd"/>
      <w:r w:rsidRPr="00A03898">
        <w:rPr>
          <w:lang w:val="en-GB" w:eastAsia="hr-HR"/>
        </w:rPr>
        <w:t xml:space="preserve"> of Start-ups and High-Growth Firms. </w:t>
      </w:r>
      <w:r w:rsidRPr="00A03898">
        <w:rPr>
          <w:i/>
          <w:lang w:val="en-GB" w:eastAsia="hr-HR"/>
        </w:rPr>
        <w:t>Small Business Economics</w:t>
      </w:r>
      <w:r w:rsidR="009F3BAA" w:rsidRPr="00A03898">
        <w:rPr>
          <w:i/>
          <w:lang w:val="en-GB" w:eastAsia="hr-HR"/>
        </w:rPr>
        <w:t>,</w:t>
      </w:r>
      <w:r w:rsidR="009F3BAA" w:rsidRPr="00A03898">
        <w:rPr>
          <w:lang w:val="en-GB" w:eastAsia="hr-HR"/>
        </w:rPr>
        <w:t xml:space="preserve"> 19, 81–104</w:t>
      </w:r>
      <w:r w:rsidRPr="00A03898">
        <w:rPr>
          <w:lang w:val="en-GB" w:eastAsia="hr-HR"/>
        </w:rPr>
        <w:t xml:space="preserve">. </w:t>
      </w:r>
      <w:hyperlink r:id="rId30" w:history="1">
        <w:r w:rsidRPr="00A03898">
          <w:rPr>
            <w:rStyle w:val="Hyperlink"/>
            <w:lang w:val="en-GB" w:eastAsia="hr-HR"/>
          </w:rPr>
          <w:t>https://doi.org/10.1023/A:1016264116508</w:t>
        </w:r>
      </w:hyperlink>
    </w:p>
    <w:p w14:paraId="7E3BF1D8" w14:textId="4F9B54EC" w:rsidR="002F4D8F" w:rsidRPr="00A03898" w:rsidRDefault="002F4D8F" w:rsidP="002F4D8F">
      <w:pPr>
        <w:spacing w:line="360" w:lineRule="auto"/>
        <w:ind w:left="851" w:hanging="851"/>
        <w:rPr>
          <w:lang w:val="en-GB" w:eastAsia="hr-HR"/>
        </w:rPr>
      </w:pPr>
      <w:proofErr w:type="spellStart"/>
      <w:r w:rsidRPr="00A03898">
        <w:rPr>
          <w:lang w:val="en-GB" w:eastAsia="hr-HR"/>
        </w:rPr>
        <w:t>Daunfeldt</w:t>
      </w:r>
      <w:proofErr w:type="spellEnd"/>
      <w:r w:rsidRPr="00A03898">
        <w:rPr>
          <w:lang w:val="en-GB" w:eastAsia="hr-HR"/>
        </w:rPr>
        <w:t xml:space="preserve">, S.O., </w:t>
      </w:r>
      <w:proofErr w:type="spellStart"/>
      <w:r w:rsidRPr="00A03898">
        <w:rPr>
          <w:lang w:val="en-GB" w:eastAsia="hr-HR"/>
        </w:rPr>
        <w:t>Halvarsson</w:t>
      </w:r>
      <w:proofErr w:type="spellEnd"/>
      <w:r w:rsidRPr="00A03898">
        <w:rPr>
          <w:lang w:val="en-GB" w:eastAsia="hr-HR"/>
        </w:rPr>
        <w:t xml:space="preserve">, </w:t>
      </w:r>
      <w:r w:rsidR="005948FD" w:rsidRPr="00A03898">
        <w:rPr>
          <w:lang w:val="en-GB" w:eastAsia="hr-HR"/>
        </w:rPr>
        <w:t xml:space="preserve">D., </w:t>
      </w:r>
      <w:proofErr w:type="spellStart"/>
      <w:r w:rsidRPr="00A03898">
        <w:rPr>
          <w:lang w:val="en-GB" w:eastAsia="hr-HR"/>
        </w:rPr>
        <w:t>Mihaescu</w:t>
      </w:r>
      <w:proofErr w:type="spellEnd"/>
      <w:r w:rsidRPr="00A03898">
        <w:rPr>
          <w:lang w:val="en-GB" w:eastAsia="hr-HR"/>
        </w:rPr>
        <w:t xml:space="preserve">, </w:t>
      </w:r>
      <w:r w:rsidR="005948FD" w:rsidRPr="00A03898">
        <w:rPr>
          <w:lang w:val="en-GB" w:eastAsia="hr-HR"/>
        </w:rPr>
        <w:t xml:space="preserve">O. </w:t>
      </w:r>
      <w:r w:rsidRPr="00A03898">
        <w:rPr>
          <w:lang w:val="en-GB" w:eastAsia="hr-HR"/>
        </w:rPr>
        <w:t>(2016). High-Growth</w:t>
      </w:r>
      <w:r w:rsidR="005948FD" w:rsidRPr="00A03898">
        <w:rPr>
          <w:lang w:val="en-GB" w:eastAsia="hr-HR"/>
        </w:rPr>
        <w:t xml:space="preserve"> Firms: Not So Vital after All?</w:t>
      </w:r>
      <w:r w:rsidRPr="00A03898">
        <w:rPr>
          <w:lang w:val="en-GB" w:eastAsia="hr-HR"/>
        </w:rPr>
        <w:t xml:space="preserve"> </w:t>
      </w:r>
      <w:r w:rsidRPr="00A03898">
        <w:rPr>
          <w:i/>
          <w:lang w:val="en-GB" w:eastAsia="hr-HR"/>
        </w:rPr>
        <w:t>International Review of Entrepreneurship</w:t>
      </w:r>
      <w:r w:rsidRPr="00A03898">
        <w:rPr>
          <w:lang w:val="en-GB" w:eastAsia="hr-HR"/>
        </w:rPr>
        <w:t xml:space="preserve">, </w:t>
      </w:r>
      <w:r w:rsidR="005948FD" w:rsidRPr="00A03898">
        <w:rPr>
          <w:lang w:val="en-GB" w:eastAsia="hr-HR"/>
        </w:rPr>
        <w:t>14(4),</w:t>
      </w:r>
      <w:r w:rsidRPr="00A03898">
        <w:rPr>
          <w:lang w:val="en-GB" w:eastAsia="hr-HR"/>
        </w:rPr>
        <w:t xml:space="preserve"> 377-394.</w:t>
      </w:r>
    </w:p>
    <w:p w14:paraId="5CB9F9CB" w14:textId="2CD3D6AB" w:rsidR="002F4D8F" w:rsidRPr="00A03898" w:rsidRDefault="002F4D8F" w:rsidP="002F4D8F">
      <w:pPr>
        <w:spacing w:line="360" w:lineRule="auto"/>
        <w:ind w:left="851" w:hanging="851"/>
        <w:rPr>
          <w:lang w:val="en-GB" w:eastAsia="hr-HR"/>
        </w:rPr>
      </w:pPr>
      <w:proofErr w:type="spellStart"/>
      <w:r w:rsidRPr="00A03898">
        <w:rPr>
          <w:lang w:val="en-GB" w:eastAsia="hr-HR"/>
        </w:rPr>
        <w:t>Daunfeldt</w:t>
      </w:r>
      <w:proofErr w:type="spellEnd"/>
      <w:r w:rsidRPr="00A03898">
        <w:rPr>
          <w:lang w:val="en-GB" w:eastAsia="hr-HR"/>
        </w:rPr>
        <w:t xml:space="preserve">, </w:t>
      </w:r>
      <w:r w:rsidR="000C3373" w:rsidRPr="00A03898">
        <w:rPr>
          <w:lang w:val="en-GB" w:eastAsia="hr-HR"/>
        </w:rPr>
        <w:t>S.O.,</w:t>
      </w:r>
      <w:r w:rsidRPr="00A03898">
        <w:rPr>
          <w:lang w:val="en-GB" w:eastAsia="hr-HR"/>
        </w:rPr>
        <w:t xml:space="preserve"> </w:t>
      </w:r>
      <w:r w:rsidR="00FA4A31" w:rsidRPr="00A03898">
        <w:rPr>
          <w:lang w:val="en-GB" w:eastAsia="hr-HR"/>
        </w:rPr>
        <w:t xml:space="preserve">&amp; </w:t>
      </w:r>
      <w:proofErr w:type="spellStart"/>
      <w:r w:rsidRPr="00A03898">
        <w:rPr>
          <w:lang w:val="en-GB" w:eastAsia="hr-HR"/>
        </w:rPr>
        <w:t>Halvarsson</w:t>
      </w:r>
      <w:proofErr w:type="spellEnd"/>
      <w:r w:rsidRPr="00A03898">
        <w:rPr>
          <w:lang w:val="en-GB" w:eastAsia="hr-HR"/>
        </w:rPr>
        <w:t>, D</w:t>
      </w:r>
      <w:r w:rsidR="000C3373" w:rsidRPr="00A03898">
        <w:rPr>
          <w:lang w:val="en-GB" w:eastAsia="hr-HR"/>
        </w:rPr>
        <w:t>. (2015).</w:t>
      </w:r>
      <w:r w:rsidRPr="00A03898">
        <w:rPr>
          <w:lang w:val="en-GB" w:eastAsia="hr-HR"/>
        </w:rPr>
        <w:t xml:space="preserve"> Are high-growth firms one-hit wonders? Evidence from Sweden</w:t>
      </w:r>
      <w:r w:rsidR="000C3373" w:rsidRPr="00A03898">
        <w:rPr>
          <w:lang w:val="en-GB" w:eastAsia="hr-HR"/>
        </w:rPr>
        <w:t>.</w:t>
      </w:r>
      <w:r w:rsidRPr="00A03898">
        <w:rPr>
          <w:lang w:val="en-GB" w:eastAsia="hr-HR"/>
        </w:rPr>
        <w:t xml:space="preserve"> </w:t>
      </w:r>
      <w:r w:rsidRPr="00A03898">
        <w:rPr>
          <w:i/>
          <w:lang w:val="en-GB" w:eastAsia="hr-HR"/>
        </w:rPr>
        <w:t>Small Business Economics</w:t>
      </w:r>
      <w:r w:rsidRPr="00A03898">
        <w:rPr>
          <w:lang w:val="en-GB" w:eastAsia="hr-HR"/>
        </w:rPr>
        <w:t>; 44</w:t>
      </w:r>
      <w:r w:rsidR="000C3373" w:rsidRPr="00A03898">
        <w:rPr>
          <w:lang w:val="en-GB" w:eastAsia="hr-HR"/>
        </w:rPr>
        <w:t>(</w:t>
      </w:r>
      <w:r w:rsidRPr="00A03898">
        <w:rPr>
          <w:lang w:val="en-GB" w:eastAsia="hr-HR"/>
        </w:rPr>
        <w:t>2</w:t>
      </w:r>
      <w:r w:rsidR="000C3373" w:rsidRPr="00A03898">
        <w:rPr>
          <w:lang w:val="en-GB" w:eastAsia="hr-HR"/>
        </w:rPr>
        <w:t>)</w:t>
      </w:r>
      <w:r w:rsidRPr="00A03898">
        <w:rPr>
          <w:lang w:val="en-GB" w:eastAsia="hr-HR"/>
        </w:rPr>
        <w:t>, 361-383. DOI:10.1007/s11187-014-9599-8</w:t>
      </w:r>
    </w:p>
    <w:p w14:paraId="65B0CED0" w14:textId="64B6479B" w:rsidR="002F4D8F" w:rsidRPr="00A03898" w:rsidRDefault="002F4D8F" w:rsidP="002F4D8F">
      <w:pPr>
        <w:spacing w:line="360" w:lineRule="auto"/>
        <w:ind w:left="851" w:hanging="851"/>
        <w:rPr>
          <w:lang w:val="en-GB" w:eastAsia="hr-HR"/>
        </w:rPr>
      </w:pPr>
      <w:r w:rsidRPr="00A03898">
        <w:rPr>
          <w:lang w:val="en-GB" w:eastAsia="hr-HR"/>
        </w:rPr>
        <w:t xml:space="preserve">de Nicola, F., </w:t>
      </w:r>
      <w:proofErr w:type="spellStart"/>
      <w:r w:rsidRPr="00A03898">
        <w:rPr>
          <w:lang w:val="en-GB" w:eastAsia="hr-HR"/>
        </w:rPr>
        <w:t>Muraközy</w:t>
      </w:r>
      <w:proofErr w:type="spellEnd"/>
      <w:r w:rsidRPr="00A03898">
        <w:rPr>
          <w:lang w:val="en-GB" w:eastAsia="hr-HR"/>
        </w:rPr>
        <w:t>, B.</w:t>
      </w:r>
      <w:r w:rsidR="00B17F4E" w:rsidRPr="00A03898">
        <w:rPr>
          <w:lang w:val="en-GB" w:eastAsia="hr-HR"/>
        </w:rPr>
        <w:t>,</w:t>
      </w:r>
      <w:r w:rsidRPr="00A03898">
        <w:rPr>
          <w:lang w:val="en-GB" w:eastAsia="hr-HR"/>
        </w:rPr>
        <w:t xml:space="preserve"> </w:t>
      </w:r>
      <w:r w:rsidR="00B17F4E" w:rsidRPr="00A03898">
        <w:rPr>
          <w:lang w:val="en-GB" w:eastAsia="hr-HR"/>
        </w:rPr>
        <w:t>T</w:t>
      </w:r>
      <w:r w:rsidRPr="00A03898">
        <w:rPr>
          <w:lang w:val="en-GB" w:eastAsia="hr-HR"/>
        </w:rPr>
        <w:t>an, S.W</w:t>
      </w:r>
      <w:r w:rsidR="00B17F4E" w:rsidRPr="00A03898">
        <w:rPr>
          <w:lang w:val="en-GB" w:eastAsia="hr-HR"/>
        </w:rPr>
        <w:t xml:space="preserve"> (2019)</w:t>
      </w:r>
      <w:r w:rsidRPr="00A03898">
        <w:rPr>
          <w:lang w:val="en-GB" w:eastAsia="hr-HR"/>
        </w:rPr>
        <w:t xml:space="preserve">. Spillovers from high growth firms: evidence from Hungary. Small </w:t>
      </w:r>
      <w:r w:rsidR="00B17F4E" w:rsidRPr="00A03898">
        <w:rPr>
          <w:lang w:val="en-GB" w:eastAsia="hr-HR"/>
        </w:rPr>
        <w:t>Business Economics</w:t>
      </w:r>
      <w:r w:rsidRPr="00A03898">
        <w:rPr>
          <w:lang w:val="en-GB" w:eastAsia="hr-HR"/>
        </w:rPr>
        <w:t>. https://doi.org/10.1007/s11187-019-00296-w</w:t>
      </w:r>
    </w:p>
    <w:p w14:paraId="4AFAFB3F" w14:textId="6F84BA7E" w:rsidR="002F4D8F" w:rsidRPr="00A03898" w:rsidRDefault="002F4D8F" w:rsidP="002F4D8F">
      <w:pPr>
        <w:spacing w:line="360" w:lineRule="auto"/>
        <w:ind w:left="851" w:hanging="851"/>
        <w:rPr>
          <w:lang w:val="en-GB" w:eastAsia="hr-HR"/>
        </w:rPr>
      </w:pPr>
      <w:r w:rsidRPr="00A03898">
        <w:rPr>
          <w:lang w:val="en-GB" w:eastAsia="hr-HR"/>
        </w:rPr>
        <w:t>Doran, J., McCarthy</w:t>
      </w:r>
      <w:r w:rsidR="00B17F4E" w:rsidRPr="00A03898">
        <w:rPr>
          <w:lang w:val="en-GB" w:eastAsia="hr-HR"/>
        </w:rPr>
        <w:t>, N.,</w:t>
      </w:r>
      <w:r w:rsidRPr="00A03898">
        <w:rPr>
          <w:lang w:val="en-GB" w:eastAsia="hr-HR"/>
        </w:rPr>
        <w:t xml:space="preserve"> O’Connor</w:t>
      </w:r>
      <w:r w:rsidR="00B17F4E" w:rsidRPr="00A03898">
        <w:rPr>
          <w:lang w:val="en-GB" w:eastAsia="hr-HR"/>
        </w:rPr>
        <w:t>, M.</w:t>
      </w:r>
      <w:r w:rsidRPr="00A03898">
        <w:rPr>
          <w:lang w:val="en-GB" w:eastAsia="hr-HR"/>
        </w:rPr>
        <w:t xml:space="preserve"> (2016). Entrepreneurship and employment growth across European regions, Region</w:t>
      </w:r>
      <w:r w:rsidR="00B17F4E" w:rsidRPr="00A03898">
        <w:rPr>
          <w:lang w:val="en-GB" w:eastAsia="hr-HR"/>
        </w:rPr>
        <w:t>al Studies, Regional Science, 3(</w:t>
      </w:r>
      <w:r w:rsidRPr="00A03898">
        <w:rPr>
          <w:lang w:val="en-GB" w:eastAsia="hr-HR"/>
        </w:rPr>
        <w:t>1</w:t>
      </w:r>
      <w:r w:rsidR="00B17F4E" w:rsidRPr="00A03898">
        <w:rPr>
          <w:lang w:val="en-GB" w:eastAsia="hr-HR"/>
        </w:rPr>
        <w:t>)</w:t>
      </w:r>
      <w:r w:rsidRPr="00A03898">
        <w:rPr>
          <w:lang w:val="en-GB" w:eastAsia="hr-HR"/>
        </w:rPr>
        <w:t>, 121-128, DOI: 10.1080/21681376.2015.1135406</w:t>
      </w:r>
    </w:p>
    <w:p w14:paraId="19857921" w14:textId="545774BA" w:rsidR="002F4D8F" w:rsidRPr="00A03898" w:rsidRDefault="002F4D8F" w:rsidP="002F4D8F">
      <w:pPr>
        <w:spacing w:line="360" w:lineRule="auto"/>
        <w:ind w:left="567" w:hanging="567"/>
        <w:rPr>
          <w:lang w:val="en-GB" w:eastAsia="hr-HR"/>
        </w:rPr>
      </w:pPr>
      <w:r w:rsidRPr="00A03898">
        <w:rPr>
          <w:lang w:val="en-GB" w:eastAsia="hr-HR"/>
        </w:rPr>
        <w:lastRenderedPageBreak/>
        <w:t xml:space="preserve">Du, J., &amp; </w:t>
      </w:r>
      <w:proofErr w:type="spellStart"/>
      <w:r w:rsidRPr="00A03898">
        <w:rPr>
          <w:lang w:val="en-GB" w:eastAsia="hr-HR"/>
        </w:rPr>
        <w:t>Temouri</w:t>
      </w:r>
      <w:proofErr w:type="spellEnd"/>
      <w:r w:rsidRPr="00A03898">
        <w:rPr>
          <w:lang w:val="en-GB" w:eastAsia="hr-HR"/>
        </w:rPr>
        <w:t xml:space="preserve">, Y. (2015). High-growth ﬁrms and productivity: evidence from the United Kingdom. </w:t>
      </w:r>
      <w:r w:rsidRPr="00A03898">
        <w:rPr>
          <w:i/>
          <w:lang w:val="en-GB" w:eastAsia="hr-HR"/>
        </w:rPr>
        <w:t>Small Business Economics</w:t>
      </w:r>
      <w:r w:rsidRPr="00A03898">
        <w:rPr>
          <w:lang w:val="en-GB" w:eastAsia="hr-HR"/>
        </w:rPr>
        <w:t>, 44(1)</w:t>
      </w:r>
      <w:r w:rsidR="00141194" w:rsidRPr="00A03898">
        <w:rPr>
          <w:lang w:val="en-GB" w:eastAsia="hr-HR"/>
        </w:rPr>
        <w:t>, 123-143, https://doi.org/10.1007/s11187-014-9584-2</w:t>
      </w:r>
    </w:p>
    <w:p w14:paraId="3084A747" w14:textId="017297A6" w:rsidR="002F4D8F" w:rsidRPr="00A03898" w:rsidRDefault="002F4D8F" w:rsidP="00055871">
      <w:pPr>
        <w:spacing w:line="360" w:lineRule="auto"/>
        <w:ind w:left="567" w:hanging="567"/>
        <w:rPr>
          <w:rFonts w:eastAsia="Helvetica"/>
          <w:lang w:val="en-GB"/>
        </w:rPr>
      </w:pPr>
      <w:r w:rsidRPr="00A03898">
        <w:rPr>
          <w:rFonts w:eastAsia="Helvetica"/>
          <w:lang w:val="en-GB"/>
        </w:rPr>
        <w:t xml:space="preserve">Egger, P. H., &amp; </w:t>
      </w:r>
      <w:proofErr w:type="spellStart"/>
      <w:r w:rsidRPr="00A03898">
        <w:rPr>
          <w:rFonts w:eastAsia="Helvetica"/>
          <w:lang w:val="en-GB"/>
        </w:rPr>
        <w:t>Pfaffermayr</w:t>
      </w:r>
      <w:proofErr w:type="spellEnd"/>
      <w:r w:rsidRPr="00A03898">
        <w:rPr>
          <w:rFonts w:eastAsia="Helvetica"/>
          <w:lang w:val="en-GB"/>
        </w:rPr>
        <w:t xml:space="preserve">, M. (2013). The Pure Effects of European Integration on Intra‐EU Core and Periphery Trade. </w:t>
      </w:r>
      <w:r w:rsidRPr="00A03898">
        <w:rPr>
          <w:rFonts w:eastAsia="Helvetica"/>
          <w:i/>
          <w:lang w:val="en-GB"/>
        </w:rPr>
        <w:t>The World Economy</w:t>
      </w:r>
      <w:r w:rsidR="00055871" w:rsidRPr="00A03898">
        <w:rPr>
          <w:rFonts w:eastAsia="Helvetica"/>
          <w:lang w:val="en-GB"/>
        </w:rPr>
        <w:t>, 36(6), 701-712, https://doi.org/10.1111/twec.12065</w:t>
      </w:r>
    </w:p>
    <w:p w14:paraId="6C1222C9" w14:textId="69B6EF9B" w:rsidR="002F4D8F" w:rsidRPr="00A03898" w:rsidRDefault="002F4D8F" w:rsidP="002F4D8F">
      <w:pPr>
        <w:spacing w:line="360" w:lineRule="auto"/>
        <w:ind w:left="567" w:hanging="567"/>
        <w:rPr>
          <w:lang w:val="en-GB" w:eastAsia="hr-HR"/>
        </w:rPr>
      </w:pPr>
      <w:r w:rsidRPr="00A03898">
        <w:rPr>
          <w:lang w:val="en-GB" w:eastAsia="hr-HR"/>
        </w:rPr>
        <w:t>Egger, P.H.</w:t>
      </w:r>
      <w:r w:rsidR="008C7DED" w:rsidRPr="00A03898">
        <w:rPr>
          <w:lang w:val="en-GB" w:eastAsia="hr-HR"/>
        </w:rPr>
        <w:t>, &amp;</w:t>
      </w:r>
      <w:r w:rsidRPr="00A03898">
        <w:rPr>
          <w:lang w:val="en-GB" w:eastAsia="hr-HR"/>
        </w:rPr>
        <w:t xml:space="preserve"> </w:t>
      </w:r>
      <w:proofErr w:type="spellStart"/>
      <w:r w:rsidRPr="00A03898">
        <w:rPr>
          <w:lang w:val="en-GB" w:eastAsia="hr-HR"/>
        </w:rPr>
        <w:t>Pfaffermayr</w:t>
      </w:r>
      <w:proofErr w:type="spellEnd"/>
      <w:r w:rsidRPr="00A03898">
        <w:rPr>
          <w:lang w:val="en-GB" w:eastAsia="hr-HR"/>
        </w:rPr>
        <w:t xml:space="preserve">, M. (2002). </w:t>
      </w:r>
      <w:r w:rsidRPr="00A03898">
        <w:rPr>
          <w:i/>
          <w:lang w:val="en-GB" w:eastAsia="hr-HR"/>
        </w:rPr>
        <w:t>The Pure Effects of European Integration on Intra-Eu Core and Periphery Trade</w:t>
      </w:r>
      <w:r w:rsidRPr="00A03898">
        <w:rPr>
          <w:lang w:val="en-GB" w:eastAsia="hr-HR"/>
        </w:rPr>
        <w:t xml:space="preserve">. University of Innsbruck Economics Working Paper No. 02/01. </w:t>
      </w:r>
      <w:hyperlink r:id="rId31" w:history="1">
        <w:r w:rsidRPr="00A03898">
          <w:rPr>
            <w:rStyle w:val="Hyperlink"/>
            <w:lang w:val="en-GB" w:eastAsia="hr-HR"/>
          </w:rPr>
          <w:t>https://ssrn.com/abstract=304239</w:t>
        </w:r>
      </w:hyperlink>
      <w:r w:rsidRPr="00A03898">
        <w:rPr>
          <w:lang w:val="en-GB" w:eastAsia="hr-HR"/>
        </w:rPr>
        <w:t xml:space="preserve"> (approached July 2, 2019).</w:t>
      </w:r>
    </w:p>
    <w:p w14:paraId="50E305D1" w14:textId="1954D6A1" w:rsidR="00C973AA" w:rsidRPr="00A03898" w:rsidRDefault="00C973AA" w:rsidP="00C973AA">
      <w:pPr>
        <w:spacing w:line="360" w:lineRule="auto"/>
        <w:ind w:left="709" w:hanging="709"/>
        <w:rPr>
          <w:lang w:eastAsia="hr-HR"/>
        </w:rPr>
      </w:pPr>
      <w:r w:rsidRPr="00A03898">
        <w:rPr>
          <w:lang w:val="en-GB" w:eastAsia="hr-HR"/>
        </w:rPr>
        <w:t xml:space="preserve">European Commission (2014). Commission Implementing Regulation (EU) no. 439/2014. Official Journal of the European Union L128/72 </w:t>
      </w:r>
    </w:p>
    <w:p w14:paraId="5E9116DC" w14:textId="20AEF60C" w:rsidR="009D4708" w:rsidRPr="00A03898" w:rsidRDefault="009D4708" w:rsidP="002F4D8F">
      <w:pPr>
        <w:spacing w:line="360" w:lineRule="auto"/>
        <w:ind w:left="709" w:hanging="709"/>
        <w:rPr>
          <w:lang w:val="en-GB" w:eastAsia="hr-HR"/>
        </w:rPr>
      </w:pPr>
      <w:r w:rsidRPr="00A03898">
        <w:rPr>
          <w:lang w:val="en-GB" w:eastAsia="hr-HR"/>
        </w:rPr>
        <w:t>Eurostat-OECD (2007). Manual on Business Demography Statistics, European Commission. ISBN 978-92-79-</w:t>
      </w:r>
      <w:r w:rsidR="00C973AA" w:rsidRPr="00A03898">
        <w:rPr>
          <w:lang w:val="en-GB" w:eastAsia="hr-HR"/>
        </w:rPr>
        <w:t xml:space="preserve">04276-8. </w:t>
      </w:r>
    </w:p>
    <w:p w14:paraId="797FCA98" w14:textId="255C3CB1" w:rsidR="002F4D8F" w:rsidRPr="00A03898" w:rsidRDefault="002F4D8F" w:rsidP="002F4D8F">
      <w:pPr>
        <w:spacing w:line="360" w:lineRule="auto"/>
        <w:ind w:left="709" w:hanging="709"/>
        <w:rPr>
          <w:lang w:val="en-GB" w:eastAsia="hr-HR"/>
        </w:rPr>
      </w:pPr>
      <w:proofErr w:type="spellStart"/>
      <w:r w:rsidRPr="00A03898">
        <w:rPr>
          <w:lang w:val="en-GB" w:eastAsia="hr-HR"/>
        </w:rPr>
        <w:t>Fauceglia</w:t>
      </w:r>
      <w:proofErr w:type="spellEnd"/>
      <w:r w:rsidRPr="00A03898">
        <w:rPr>
          <w:lang w:val="en-GB" w:eastAsia="hr-HR"/>
        </w:rPr>
        <w:t xml:space="preserve">, D., </w:t>
      </w:r>
      <w:proofErr w:type="spellStart"/>
      <w:r w:rsidRPr="00A03898">
        <w:rPr>
          <w:lang w:val="en-GB" w:eastAsia="hr-HR"/>
        </w:rPr>
        <w:t>Lassmann</w:t>
      </w:r>
      <w:proofErr w:type="spellEnd"/>
      <w:r w:rsidRPr="00A03898">
        <w:rPr>
          <w:lang w:val="en-GB" w:eastAsia="hr-HR"/>
        </w:rPr>
        <w:t xml:space="preserve">, A., </w:t>
      </w:r>
      <w:proofErr w:type="spellStart"/>
      <w:r w:rsidRPr="00A03898">
        <w:rPr>
          <w:lang w:val="en-GB" w:eastAsia="hr-HR"/>
        </w:rPr>
        <w:t>Shingal</w:t>
      </w:r>
      <w:proofErr w:type="spellEnd"/>
      <w:r w:rsidRPr="00A03898">
        <w:rPr>
          <w:lang w:val="en-GB" w:eastAsia="hr-HR"/>
        </w:rPr>
        <w:t xml:space="preserve">, A., &amp; </w:t>
      </w:r>
      <w:proofErr w:type="spellStart"/>
      <w:r w:rsidRPr="00A03898">
        <w:rPr>
          <w:lang w:val="en-GB" w:eastAsia="hr-HR"/>
        </w:rPr>
        <w:t>Wermelinger</w:t>
      </w:r>
      <w:proofErr w:type="spellEnd"/>
      <w:r w:rsidRPr="00A03898">
        <w:rPr>
          <w:lang w:val="en-GB" w:eastAsia="hr-HR"/>
        </w:rPr>
        <w:t xml:space="preserve">, M. (2018). Backward participation in global value chains and exchange rate driven adjustments of Swiss exports. </w:t>
      </w:r>
      <w:r w:rsidRPr="00A03898">
        <w:rPr>
          <w:i/>
          <w:lang w:val="en-GB" w:eastAsia="hr-HR"/>
        </w:rPr>
        <w:t>Review of World Economics</w:t>
      </w:r>
      <w:r w:rsidR="00EE6EA4" w:rsidRPr="00A03898">
        <w:rPr>
          <w:lang w:val="en-GB" w:eastAsia="hr-HR"/>
        </w:rPr>
        <w:t>, 154(3), 537–584, https://doi.org/10.1007/s10290-018-0310-z</w:t>
      </w:r>
    </w:p>
    <w:p w14:paraId="39BF0A53" w14:textId="6FEBB15D" w:rsidR="002F4D8F" w:rsidRPr="00A03898" w:rsidRDefault="002F4D8F" w:rsidP="002F4D8F">
      <w:pPr>
        <w:spacing w:line="360" w:lineRule="auto"/>
        <w:ind w:left="851" w:hanging="851"/>
        <w:rPr>
          <w:rStyle w:val="Hyperlink"/>
          <w:lang w:val="en-GB" w:eastAsia="hr-HR"/>
        </w:rPr>
      </w:pPr>
      <w:r w:rsidRPr="00A03898">
        <w:rPr>
          <w:lang w:val="en-GB" w:eastAsia="hr-HR"/>
        </w:rPr>
        <w:t>Fritsch, M. (2008). How does new business formation affect regional development? Introduction to the special issue. Small Bus</w:t>
      </w:r>
      <w:r w:rsidR="001F0E8A" w:rsidRPr="00A03898">
        <w:rPr>
          <w:lang w:val="en-GB" w:eastAsia="hr-HR"/>
        </w:rPr>
        <w:t>iness</w:t>
      </w:r>
      <w:r w:rsidRPr="00A03898">
        <w:rPr>
          <w:lang w:val="en-GB" w:eastAsia="hr-HR"/>
        </w:rPr>
        <w:t xml:space="preserve"> Econ</w:t>
      </w:r>
      <w:r w:rsidR="001F0E8A" w:rsidRPr="00A03898">
        <w:rPr>
          <w:lang w:val="en-GB" w:eastAsia="hr-HR"/>
        </w:rPr>
        <w:t>omics,</w:t>
      </w:r>
      <w:r w:rsidRPr="00A03898">
        <w:rPr>
          <w:lang w:val="en-GB" w:eastAsia="hr-HR"/>
        </w:rPr>
        <w:t xml:space="preserve"> 30, 1–14. </w:t>
      </w:r>
      <w:hyperlink r:id="rId32" w:history="1">
        <w:r w:rsidRPr="00A03898">
          <w:rPr>
            <w:rStyle w:val="Hyperlink"/>
            <w:lang w:val="en-GB" w:eastAsia="hr-HR"/>
          </w:rPr>
          <w:t>https://doi.org/10.1007/s11187-007-9057-y</w:t>
        </w:r>
      </w:hyperlink>
    </w:p>
    <w:p w14:paraId="3CC9712C" w14:textId="75AC292F" w:rsidR="002F4D8F" w:rsidRPr="00A03898" w:rsidRDefault="002F4D8F" w:rsidP="002F4D8F">
      <w:pPr>
        <w:spacing w:line="360" w:lineRule="auto"/>
        <w:ind w:left="567" w:hanging="567"/>
        <w:rPr>
          <w:lang w:val="en-GB" w:eastAsia="hr-HR"/>
        </w:rPr>
      </w:pPr>
      <w:r w:rsidRPr="00A03898">
        <w:rPr>
          <w:lang w:val="en-GB" w:eastAsia="hr-HR"/>
        </w:rPr>
        <w:t xml:space="preserve">Gehl Sampath, P., </w:t>
      </w:r>
      <w:r w:rsidR="007D18FA" w:rsidRPr="00A03898">
        <w:rPr>
          <w:lang w:val="en-GB" w:eastAsia="hr-HR"/>
        </w:rPr>
        <w:t xml:space="preserve">&amp; </w:t>
      </w:r>
      <w:r w:rsidRPr="00A03898">
        <w:rPr>
          <w:lang w:val="en-GB" w:eastAsia="hr-HR"/>
        </w:rPr>
        <w:t>Vallejo, B.</w:t>
      </w:r>
      <w:r w:rsidR="00010591" w:rsidRPr="00A03898">
        <w:rPr>
          <w:lang w:val="en-GB" w:eastAsia="hr-HR"/>
        </w:rPr>
        <w:t xml:space="preserve"> (2018).</w:t>
      </w:r>
      <w:r w:rsidRPr="00A03898">
        <w:rPr>
          <w:lang w:val="en-GB" w:eastAsia="hr-HR"/>
        </w:rPr>
        <w:t xml:space="preserve"> Trade, Global Value Chains and Upgrading: What, When and </w:t>
      </w:r>
      <w:proofErr w:type="gramStart"/>
      <w:r w:rsidRPr="00A03898">
        <w:rPr>
          <w:lang w:val="en-GB" w:eastAsia="hr-HR"/>
        </w:rPr>
        <w:t>How?.</w:t>
      </w:r>
      <w:proofErr w:type="gramEnd"/>
      <w:r w:rsidRPr="00A03898">
        <w:rPr>
          <w:lang w:val="en-GB" w:eastAsia="hr-HR"/>
        </w:rPr>
        <w:t xml:space="preserve"> </w:t>
      </w:r>
      <w:r w:rsidR="00010591" w:rsidRPr="00A03898">
        <w:rPr>
          <w:i/>
          <w:lang w:val="en-GB" w:eastAsia="hr-HR"/>
        </w:rPr>
        <w:t>The European Journal of Development Research</w:t>
      </w:r>
      <w:r w:rsidR="00010591" w:rsidRPr="00A03898">
        <w:rPr>
          <w:lang w:val="en-GB" w:eastAsia="hr-HR"/>
        </w:rPr>
        <w:t>,</w:t>
      </w:r>
      <w:r w:rsidRPr="00A03898">
        <w:rPr>
          <w:lang w:val="en-GB" w:eastAsia="hr-HR"/>
        </w:rPr>
        <w:t xml:space="preserve"> 30, 481–504 (2018). </w:t>
      </w:r>
      <w:hyperlink r:id="rId33" w:history="1">
        <w:r w:rsidRPr="00A03898">
          <w:rPr>
            <w:rStyle w:val="Hyperlink"/>
            <w:lang w:val="en-GB" w:eastAsia="hr-HR"/>
          </w:rPr>
          <w:t>https://doi.org/10.1057/s41287-018-0148-1</w:t>
        </w:r>
      </w:hyperlink>
    </w:p>
    <w:p w14:paraId="17078CB0" w14:textId="31E853AA" w:rsidR="002F4D8F" w:rsidRPr="00A03898" w:rsidRDefault="002F4D8F" w:rsidP="002F4D8F">
      <w:pPr>
        <w:spacing w:line="360" w:lineRule="auto"/>
        <w:ind w:left="567" w:hanging="567"/>
        <w:rPr>
          <w:lang w:val="en-GB" w:eastAsia="hr-HR"/>
        </w:rPr>
      </w:pPr>
      <w:r w:rsidRPr="00A03898">
        <w:rPr>
          <w:lang w:val="en-GB" w:eastAsia="hr-HR"/>
        </w:rPr>
        <w:t>Goswami, A.G., Medvedev,</w:t>
      </w:r>
      <w:r w:rsidR="005B08AE" w:rsidRPr="00A03898">
        <w:rPr>
          <w:lang w:val="en-GB" w:eastAsia="hr-HR"/>
        </w:rPr>
        <w:t xml:space="preserve"> D.,</w:t>
      </w:r>
      <w:r w:rsidRPr="00A03898">
        <w:rPr>
          <w:lang w:val="en-GB" w:eastAsia="hr-HR"/>
        </w:rPr>
        <w:t xml:space="preserve"> </w:t>
      </w:r>
      <w:proofErr w:type="spellStart"/>
      <w:r w:rsidRPr="00A03898">
        <w:rPr>
          <w:lang w:val="en-GB" w:eastAsia="hr-HR"/>
        </w:rPr>
        <w:t>Olafsen</w:t>
      </w:r>
      <w:proofErr w:type="spellEnd"/>
      <w:r w:rsidR="005B08AE" w:rsidRPr="00A03898">
        <w:rPr>
          <w:lang w:val="en-GB" w:eastAsia="hr-HR"/>
        </w:rPr>
        <w:t xml:space="preserve">, E. </w:t>
      </w:r>
      <w:r w:rsidRPr="00A03898">
        <w:rPr>
          <w:lang w:val="en-GB" w:eastAsia="hr-HR"/>
        </w:rPr>
        <w:t>(2019). High-Growth Firms: Facts, Fiction, and Policy Options for Emerging Economies.</w:t>
      </w:r>
      <w:r w:rsidR="005B08AE" w:rsidRPr="00A03898">
        <w:rPr>
          <w:lang w:val="en-GB" w:eastAsia="hr-HR"/>
        </w:rPr>
        <w:t xml:space="preserve"> Washington, DC: World Bank.</w:t>
      </w:r>
      <w:r w:rsidR="005D13ED" w:rsidRPr="00A03898">
        <w:rPr>
          <w:lang w:val="en-GB" w:eastAsia="hr-HR"/>
        </w:rPr>
        <w:t xml:space="preserve"> </w:t>
      </w:r>
      <w:hyperlink r:id="rId34" w:history="1">
        <w:r w:rsidR="005D13ED" w:rsidRPr="00A03898">
          <w:rPr>
            <w:rStyle w:val="Hyperlink"/>
            <w:lang w:val="en-GB" w:eastAsia="hr-HR"/>
          </w:rPr>
          <w:t>https://openknowledge.worldbank.org/handle/10986/30800</w:t>
        </w:r>
      </w:hyperlink>
      <w:r w:rsidR="005D13ED" w:rsidRPr="00A03898">
        <w:rPr>
          <w:lang w:val="en-GB" w:eastAsia="hr-HR"/>
        </w:rPr>
        <w:t>. Accessed 12 February 2020.</w:t>
      </w:r>
    </w:p>
    <w:p w14:paraId="17ACFE67" w14:textId="15C45B26" w:rsidR="002F4D8F" w:rsidRPr="00A03898" w:rsidRDefault="001B075B" w:rsidP="002F4D8F">
      <w:pPr>
        <w:spacing w:line="360" w:lineRule="auto"/>
        <w:ind w:left="567" w:hanging="567"/>
        <w:rPr>
          <w:lang w:val="en-GB" w:eastAsia="hr-HR"/>
        </w:rPr>
      </w:pPr>
      <w:r w:rsidRPr="00A03898">
        <w:rPr>
          <w:rFonts w:eastAsia="Helvetica"/>
          <w:lang w:val="en-GB"/>
        </w:rPr>
        <w:t xml:space="preserve">Giovannetti, G., </w:t>
      </w:r>
      <w:proofErr w:type="spellStart"/>
      <w:r w:rsidRPr="00A03898">
        <w:rPr>
          <w:rFonts w:eastAsia="Helvetica"/>
          <w:lang w:val="en-GB"/>
        </w:rPr>
        <w:t>Marvasi</w:t>
      </w:r>
      <w:proofErr w:type="spellEnd"/>
      <w:r w:rsidRPr="00A03898">
        <w:rPr>
          <w:rFonts w:eastAsia="Helvetica"/>
          <w:lang w:val="en-GB"/>
        </w:rPr>
        <w:t xml:space="preserve">, E., </w:t>
      </w:r>
      <w:r w:rsidR="002F4D8F" w:rsidRPr="00A03898">
        <w:rPr>
          <w:rFonts w:eastAsia="Helvetica"/>
          <w:lang w:val="en-GB"/>
        </w:rPr>
        <w:t>Sanfilippo, M.</w:t>
      </w:r>
      <w:r w:rsidRPr="00A03898">
        <w:rPr>
          <w:rFonts w:eastAsia="Helvetica"/>
          <w:lang w:val="en-GB"/>
        </w:rPr>
        <w:t xml:space="preserve"> (2015).</w:t>
      </w:r>
      <w:r w:rsidR="002F4D8F" w:rsidRPr="00A03898">
        <w:rPr>
          <w:rFonts w:eastAsia="Helvetica"/>
          <w:lang w:val="en-GB"/>
        </w:rPr>
        <w:t xml:space="preserve"> Supply chains and the internationalization of small firms. </w:t>
      </w:r>
      <w:r w:rsidR="002F4D8F" w:rsidRPr="00A03898">
        <w:rPr>
          <w:rFonts w:eastAsia="Helvetica"/>
          <w:i/>
          <w:lang w:val="en-GB"/>
        </w:rPr>
        <w:t>Small Bus</w:t>
      </w:r>
      <w:r w:rsidRPr="00A03898">
        <w:rPr>
          <w:rFonts w:eastAsia="Helvetica"/>
          <w:i/>
          <w:lang w:val="en-GB"/>
        </w:rPr>
        <w:t>iness</w:t>
      </w:r>
      <w:r w:rsidR="002F4D8F" w:rsidRPr="00A03898">
        <w:rPr>
          <w:rFonts w:eastAsia="Helvetica"/>
          <w:i/>
          <w:lang w:val="en-GB"/>
        </w:rPr>
        <w:t xml:space="preserve"> </w:t>
      </w:r>
      <w:r w:rsidRPr="00A03898">
        <w:rPr>
          <w:rFonts w:eastAsia="Helvetica"/>
          <w:i/>
          <w:lang w:val="en-GB"/>
        </w:rPr>
        <w:t>Economics</w:t>
      </w:r>
      <w:r w:rsidRPr="00A03898">
        <w:rPr>
          <w:rFonts w:eastAsia="Helvetica"/>
          <w:lang w:val="en-GB"/>
        </w:rPr>
        <w:t>, 44, 845–865,</w:t>
      </w:r>
      <w:r w:rsidR="002F4D8F" w:rsidRPr="00A03898">
        <w:rPr>
          <w:rFonts w:eastAsia="Helvetica"/>
          <w:lang w:val="en-GB"/>
        </w:rPr>
        <w:t xml:space="preserve"> </w:t>
      </w:r>
      <w:hyperlink r:id="rId35" w:history="1">
        <w:r w:rsidR="002F4D8F" w:rsidRPr="00A03898">
          <w:rPr>
            <w:rStyle w:val="Hyperlink"/>
            <w:rFonts w:eastAsia="Helvetica"/>
            <w:lang w:val="en-GB"/>
          </w:rPr>
          <w:t>https://doi.org/10.1007/s11187-014-9625-x</w:t>
        </w:r>
      </w:hyperlink>
      <w:r w:rsidR="002F4D8F" w:rsidRPr="00A03898">
        <w:rPr>
          <w:rFonts w:eastAsia="Helvetica"/>
          <w:lang w:val="en-GB"/>
        </w:rPr>
        <w:t xml:space="preserve"> </w:t>
      </w:r>
    </w:p>
    <w:p w14:paraId="62A86D50" w14:textId="2A3B66F9" w:rsidR="002F4D8F" w:rsidRPr="00A03898" w:rsidRDefault="002F4D8F" w:rsidP="002F4D8F">
      <w:pPr>
        <w:spacing w:line="360" w:lineRule="auto"/>
        <w:ind w:left="851" w:hanging="851"/>
        <w:rPr>
          <w:lang w:val="en-GB" w:eastAsia="hr-HR"/>
        </w:rPr>
      </w:pPr>
      <w:proofErr w:type="spellStart"/>
      <w:r w:rsidRPr="00A03898">
        <w:rPr>
          <w:lang w:val="en-GB" w:eastAsia="hr-HR"/>
        </w:rPr>
        <w:t>Grazzi</w:t>
      </w:r>
      <w:proofErr w:type="spellEnd"/>
      <w:r w:rsidRPr="00A03898">
        <w:rPr>
          <w:lang w:val="en-GB" w:eastAsia="hr-HR"/>
        </w:rPr>
        <w:t xml:space="preserve">, M., &amp; </w:t>
      </w:r>
      <w:proofErr w:type="spellStart"/>
      <w:r w:rsidRPr="00A03898">
        <w:rPr>
          <w:lang w:val="en-GB" w:eastAsia="hr-HR"/>
        </w:rPr>
        <w:t>Moschella</w:t>
      </w:r>
      <w:proofErr w:type="spellEnd"/>
      <w:r w:rsidRPr="00A03898">
        <w:rPr>
          <w:lang w:val="en-GB" w:eastAsia="hr-HR"/>
        </w:rPr>
        <w:t xml:space="preserve">, D. (2018). Small, young, and exporters: New evidence on the determinants of firm growth. </w:t>
      </w:r>
      <w:r w:rsidRPr="00A03898">
        <w:rPr>
          <w:i/>
          <w:lang w:val="en-GB" w:eastAsia="hr-HR"/>
        </w:rPr>
        <w:t>Journal of Evolutionary Economics</w:t>
      </w:r>
      <w:r w:rsidRPr="00A03898">
        <w:rPr>
          <w:lang w:val="en-GB" w:eastAsia="hr-HR"/>
        </w:rPr>
        <w:t>, 28(1), 125-152</w:t>
      </w:r>
      <w:r w:rsidR="00FA3A22" w:rsidRPr="00A03898">
        <w:rPr>
          <w:lang w:val="en-GB" w:eastAsia="hr-HR"/>
        </w:rPr>
        <w:t>, https://doi.org/10.1007/s00191-017-0523-7</w:t>
      </w:r>
    </w:p>
    <w:p w14:paraId="7276833B" w14:textId="6AC5F2B6" w:rsidR="002F4D8F" w:rsidRPr="00A03898" w:rsidRDefault="002F4D8F" w:rsidP="002F4D8F">
      <w:pPr>
        <w:spacing w:line="360" w:lineRule="auto"/>
        <w:ind w:left="851" w:hanging="851"/>
        <w:rPr>
          <w:lang w:val="en-GB" w:eastAsia="hr-HR"/>
        </w:rPr>
      </w:pPr>
      <w:proofErr w:type="spellStart"/>
      <w:r w:rsidRPr="00A03898">
        <w:rPr>
          <w:lang w:val="en-GB" w:eastAsia="hr-HR"/>
        </w:rPr>
        <w:lastRenderedPageBreak/>
        <w:t>Hagemejer</w:t>
      </w:r>
      <w:proofErr w:type="spellEnd"/>
      <w:r w:rsidRPr="00A03898">
        <w:rPr>
          <w:lang w:val="en-GB" w:eastAsia="hr-HR"/>
        </w:rPr>
        <w:t xml:space="preserve">, J. (2018). Trade and Growth in the New Member States: The Role of Global Value Chains. </w:t>
      </w:r>
      <w:r w:rsidRPr="00A03898">
        <w:rPr>
          <w:i/>
          <w:lang w:val="en-GB" w:eastAsia="hr-HR"/>
        </w:rPr>
        <w:t>Emerging Markets Finance and Trade</w:t>
      </w:r>
      <w:r w:rsidR="008C655D" w:rsidRPr="00A03898">
        <w:rPr>
          <w:lang w:val="en-GB" w:eastAsia="hr-HR"/>
        </w:rPr>
        <w:t>, 54(11), 2630-2649, https://doi.org/10.1080/1540496X.2017.1369878</w:t>
      </w:r>
    </w:p>
    <w:p w14:paraId="47956139" w14:textId="490953FF" w:rsidR="002F4D8F" w:rsidRPr="00A03898" w:rsidRDefault="002F4D8F" w:rsidP="002F4D8F">
      <w:pPr>
        <w:spacing w:line="360" w:lineRule="auto"/>
        <w:ind w:left="851" w:hanging="851"/>
        <w:rPr>
          <w:lang w:val="en-GB" w:eastAsia="hr-HR"/>
        </w:rPr>
      </w:pPr>
      <w:proofErr w:type="spellStart"/>
      <w:r w:rsidRPr="00A03898">
        <w:rPr>
          <w:lang w:val="en-GB" w:eastAsia="hr-HR"/>
        </w:rPr>
        <w:t>Henrekson</w:t>
      </w:r>
      <w:proofErr w:type="spellEnd"/>
      <w:r w:rsidRPr="00A03898">
        <w:rPr>
          <w:lang w:val="en-GB" w:eastAsia="hr-HR"/>
        </w:rPr>
        <w:t xml:space="preserve">, M., </w:t>
      </w:r>
      <w:r w:rsidR="005140D9" w:rsidRPr="00A03898">
        <w:rPr>
          <w:lang w:val="en-GB" w:eastAsia="hr-HR"/>
        </w:rPr>
        <w:t xml:space="preserve">&amp; </w:t>
      </w:r>
      <w:r w:rsidRPr="00A03898">
        <w:rPr>
          <w:lang w:val="en-GB" w:eastAsia="hr-HR"/>
        </w:rPr>
        <w:t xml:space="preserve">Johansson, D. </w:t>
      </w:r>
      <w:r w:rsidR="005140D9" w:rsidRPr="00A03898">
        <w:rPr>
          <w:lang w:val="en-GB" w:eastAsia="hr-HR"/>
        </w:rPr>
        <w:t xml:space="preserve">(2009). </w:t>
      </w:r>
      <w:r w:rsidRPr="00A03898">
        <w:rPr>
          <w:lang w:val="en-GB" w:eastAsia="hr-HR"/>
        </w:rPr>
        <w:t>Gazelles as job creators: a survey and interpretation of the evidence. Sm</w:t>
      </w:r>
      <w:r w:rsidR="005140D9" w:rsidRPr="00A03898">
        <w:rPr>
          <w:lang w:val="en-GB" w:eastAsia="hr-HR"/>
        </w:rPr>
        <w:t>all Business Economics, 35, 227–244,</w:t>
      </w:r>
      <w:r w:rsidRPr="00A03898">
        <w:rPr>
          <w:lang w:val="en-GB" w:eastAsia="hr-HR"/>
        </w:rPr>
        <w:t xml:space="preserve"> https://doi.org/10.1007/s11187-009-9172-z</w:t>
      </w:r>
    </w:p>
    <w:p w14:paraId="48BFAC09" w14:textId="77777777" w:rsidR="002F4D8F" w:rsidRPr="00A03898" w:rsidRDefault="002F4D8F" w:rsidP="002F4D8F">
      <w:pPr>
        <w:spacing w:line="360" w:lineRule="auto"/>
        <w:ind w:left="851" w:hanging="851"/>
        <w:rPr>
          <w:lang w:val="en-GB" w:eastAsia="hr-HR"/>
        </w:rPr>
      </w:pPr>
      <w:proofErr w:type="spellStart"/>
      <w:r w:rsidRPr="00A03898">
        <w:rPr>
          <w:lang w:val="en-GB" w:eastAsia="hr-HR"/>
        </w:rPr>
        <w:t>Hobolt</w:t>
      </w:r>
      <w:proofErr w:type="spellEnd"/>
      <w:r w:rsidRPr="00A03898">
        <w:rPr>
          <w:lang w:val="en-GB" w:eastAsia="hr-HR"/>
        </w:rPr>
        <w:t xml:space="preserve">, S.B. (2016). The Brexit vote: a divided nation, a divided continent. </w:t>
      </w:r>
      <w:r w:rsidRPr="00A03898">
        <w:rPr>
          <w:i/>
          <w:lang w:val="en-GB" w:eastAsia="hr-HR"/>
        </w:rPr>
        <w:t>Journal of European Public Policy</w:t>
      </w:r>
      <w:r w:rsidRPr="00A03898">
        <w:rPr>
          <w:lang w:val="en-GB" w:eastAsia="hr-HR"/>
        </w:rPr>
        <w:t>, 23(9), 1259-1277.</w:t>
      </w:r>
    </w:p>
    <w:p w14:paraId="7C37B76C" w14:textId="01073384" w:rsidR="002F4D8F" w:rsidRPr="00A03898" w:rsidRDefault="002F4D8F" w:rsidP="002F4D8F">
      <w:pPr>
        <w:spacing w:line="360" w:lineRule="auto"/>
        <w:ind w:left="851" w:hanging="851"/>
        <w:rPr>
          <w:lang w:val="en-GB" w:eastAsia="hr-HR"/>
        </w:rPr>
      </w:pPr>
      <w:proofErr w:type="spellStart"/>
      <w:r w:rsidRPr="00A03898">
        <w:rPr>
          <w:lang w:val="en-GB" w:eastAsia="hr-HR"/>
        </w:rPr>
        <w:t>Hölzl</w:t>
      </w:r>
      <w:proofErr w:type="spellEnd"/>
      <w:r w:rsidRPr="00A03898">
        <w:rPr>
          <w:lang w:val="en-GB" w:eastAsia="hr-HR"/>
        </w:rPr>
        <w:t xml:space="preserve">, W. (2009). Is the R&amp;D behaviour of fast-growing SMEs different? Evidence from CIS III data for 16 countries. </w:t>
      </w:r>
      <w:r w:rsidRPr="00A03898">
        <w:rPr>
          <w:i/>
          <w:lang w:val="en-GB" w:eastAsia="hr-HR"/>
        </w:rPr>
        <w:t>Small Business Economics</w:t>
      </w:r>
      <w:r w:rsidR="00F11508" w:rsidRPr="00A03898">
        <w:rPr>
          <w:lang w:val="en-GB" w:eastAsia="hr-HR"/>
        </w:rPr>
        <w:t>, 33(1), 59-75, https://doi.org/10.1007/s11187-009-9182-x</w:t>
      </w:r>
    </w:p>
    <w:p w14:paraId="0084A87E" w14:textId="08D7999D" w:rsidR="002F4D8F" w:rsidRPr="00A03898" w:rsidRDefault="002F4D8F" w:rsidP="002F4D8F">
      <w:pPr>
        <w:spacing w:line="360" w:lineRule="auto"/>
        <w:ind w:left="567" w:hanging="567"/>
        <w:rPr>
          <w:lang w:val="en-GB" w:eastAsia="hr-HR"/>
        </w:rPr>
      </w:pPr>
      <w:bookmarkStart w:id="0" w:name="OLE_LINK1"/>
      <w:bookmarkStart w:id="1" w:name="OLE_LINK2"/>
      <w:proofErr w:type="spellStart"/>
      <w:r w:rsidRPr="00A03898">
        <w:rPr>
          <w:lang w:val="en-GB" w:eastAsia="hr-HR"/>
        </w:rPr>
        <w:t>Ipinnaiye</w:t>
      </w:r>
      <w:bookmarkEnd w:id="0"/>
      <w:bookmarkEnd w:id="1"/>
      <w:proofErr w:type="spellEnd"/>
      <w:r w:rsidRPr="00A03898">
        <w:rPr>
          <w:lang w:val="en-GB" w:eastAsia="hr-HR"/>
        </w:rPr>
        <w:t xml:space="preserve">, O., Dineen, D., </w:t>
      </w:r>
      <w:proofErr w:type="spellStart"/>
      <w:r w:rsidRPr="00A03898">
        <w:rPr>
          <w:lang w:val="en-GB" w:eastAsia="hr-HR"/>
        </w:rPr>
        <w:t>Lenihan</w:t>
      </w:r>
      <w:proofErr w:type="spellEnd"/>
      <w:r w:rsidRPr="00A03898">
        <w:rPr>
          <w:lang w:val="en-GB" w:eastAsia="hr-HR"/>
        </w:rPr>
        <w:t xml:space="preserve">, H. (2017). Drivers of SME performance: a holistic and multivariate approach. </w:t>
      </w:r>
      <w:r w:rsidRPr="00A03898">
        <w:rPr>
          <w:i/>
          <w:lang w:val="en-GB" w:eastAsia="hr-HR"/>
        </w:rPr>
        <w:t>Small Business Economics</w:t>
      </w:r>
      <w:r w:rsidRPr="00A03898">
        <w:rPr>
          <w:lang w:val="en-GB" w:eastAsia="hr-HR"/>
        </w:rPr>
        <w:t>, 48(4)</w:t>
      </w:r>
      <w:r w:rsidR="00F77524" w:rsidRPr="00A03898">
        <w:rPr>
          <w:lang w:val="en-GB" w:eastAsia="hr-HR"/>
        </w:rPr>
        <w:t>, 883-911, https://doi.org/10.1007/s11187-016-9819-5</w:t>
      </w:r>
    </w:p>
    <w:p w14:paraId="563F2D86" w14:textId="0512596C" w:rsidR="002F4D8F" w:rsidRPr="00A03898" w:rsidRDefault="002F4D8F" w:rsidP="002F4D8F">
      <w:pPr>
        <w:spacing w:line="360" w:lineRule="auto"/>
        <w:ind w:left="567" w:hanging="567"/>
        <w:rPr>
          <w:lang w:val="en-GB" w:eastAsia="hr-HR"/>
        </w:rPr>
      </w:pPr>
      <w:r w:rsidRPr="00A03898">
        <w:rPr>
          <w:lang w:val="en-GB" w:eastAsia="hr-HR"/>
        </w:rPr>
        <w:t xml:space="preserve">König, J. (2015). European integration and the effects of country size on growth. </w:t>
      </w:r>
      <w:r w:rsidRPr="00A03898">
        <w:rPr>
          <w:i/>
          <w:lang w:val="en-GB" w:eastAsia="hr-HR"/>
        </w:rPr>
        <w:t>Journal of Economic Integration</w:t>
      </w:r>
      <w:r w:rsidR="00642046" w:rsidRPr="00A03898">
        <w:rPr>
          <w:lang w:val="en-GB" w:eastAsia="hr-HR"/>
        </w:rPr>
        <w:t>, 30(3), 501-531, www.jstor.org/stable/43549863</w:t>
      </w:r>
    </w:p>
    <w:p w14:paraId="1011BDA9" w14:textId="3E195967" w:rsidR="002F4D8F" w:rsidRPr="00A03898" w:rsidRDefault="002F4D8F" w:rsidP="002F4D8F">
      <w:pPr>
        <w:spacing w:line="360" w:lineRule="auto"/>
        <w:ind w:left="567" w:hanging="567"/>
        <w:rPr>
          <w:lang w:val="en-GB" w:eastAsia="hr-HR"/>
        </w:rPr>
      </w:pPr>
      <w:proofErr w:type="spellStart"/>
      <w:r w:rsidRPr="00A03898">
        <w:rPr>
          <w:lang w:val="en-GB" w:eastAsia="hr-HR"/>
        </w:rPr>
        <w:t>Krasniqi</w:t>
      </w:r>
      <w:proofErr w:type="spellEnd"/>
      <w:r w:rsidRPr="00A03898">
        <w:rPr>
          <w:lang w:val="en-GB" w:eastAsia="hr-HR"/>
        </w:rPr>
        <w:t xml:space="preserve">, B.A., </w:t>
      </w:r>
      <w:r w:rsidR="005B0A63" w:rsidRPr="00A03898">
        <w:rPr>
          <w:lang w:val="en-GB" w:eastAsia="hr-HR"/>
        </w:rPr>
        <w:t xml:space="preserve">&amp; </w:t>
      </w:r>
      <w:r w:rsidRPr="00A03898">
        <w:rPr>
          <w:lang w:val="en-GB" w:eastAsia="hr-HR"/>
        </w:rPr>
        <w:t xml:space="preserve">Desai, S. </w:t>
      </w:r>
      <w:r w:rsidR="005B0A63" w:rsidRPr="00A03898">
        <w:rPr>
          <w:lang w:val="en-GB" w:eastAsia="hr-HR"/>
        </w:rPr>
        <w:t xml:space="preserve">(2016). </w:t>
      </w:r>
      <w:r w:rsidRPr="00A03898">
        <w:rPr>
          <w:lang w:val="en-GB" w:eastAsia="hr-HR"/>
        </w:rPr>
        <w:t>Institutional drivers of high-growth firms: country-level evidence from 26 transition economies. Small Bus</w:t>
      </w:r>
      <w:r w:rsidR="005B0A63" w:rsidRPr="00A03898">
        <w:rPr>
          <w:lang w:val="en-GB" w:eastAsia="hr-HR"/>
        </w:rPr>
        <w:t>iness</w:t>
      </w:r>
      <w:r w:rsidRPr="00A03898">
        <w:rPr>
          <w:lang w:val="en-GB" w:eastAsia="hr-HR"/>
        </w:rPr>
        <w:t xml:space="preserve"> Econ</w:t>
      </w:r>
      <w:r w:rsidR="005B0A63" w:rsidRPr="00A03898">
        <w:rPr>
          <w:lang w:val="en-GB" w:eastAsia="hr-HR"/>
        </w:rPr>
        <w:t>omics, 47, 1075–1094,</w:t>
      </w:r>
      <w:r w:rsidRPr="00A03898">
        <w:rPr>
          <w:lang w:val="en-GB" w:eastAsia="hr-HR"/>
        </w:rPr>
        <w:t xml:space="preserve"> </w:t>
      </w:r>
      <w:r w:rsidR="005B0A63" w:rsidRPr="00A03898">
        <w:rPr>
          <w:lang w:val="en-GB" w:eastAsia="hr-HR"/>
        </w:rPr>
        <w:t>https://doi.org/10.1007/s11187-016-9736-7</w:t>
      </w:r>
    </w:p>
    <w:p w14:paraId="13A5AB4D" w14:textId="4B131283" w:rsidR="002F4D8F" w:rsidRPr="00A03898" w:rsidRDefault="002F4D8F" w:rsidP="002F4D8F">
      <w:pPr>
        <w:spacing w:line="360" w:lineRule="auto"/>
        <w:ind w:left="567" w:hanging="567"/>
        <w:rPr>
          <w:lang w:val="en-GB" w:eastAsia="hr-HR"/>
        </w:rPr>
      </w:pPr>
      <w:r w:rsidRPr="00A03898">
        <w:rPr>
          <w:lang w:val="en-GB" w:eastAsia="hr-HR"/>
        </w:rPr>
        <w:t xml:space="preserve">Lee, K. (2019). The Art of Economic Catch-Up: Barriers, Detours and Leapfrogging in Innovation Systems. Cambridge University Press. </w:t>
      </w:r>
      <w:hyperlink r:id="rId36" w:history="1">
        <w:r w:rsidRPr="00A03898">
          <w:rPr>
            <w:rStyle w:val="Hyperlink"/>
            <w:lang w:val="en-GB" w:eastAsia="hr-HR"/>
          </w:rPr>
          <w:t>https://doi.org/10.1017/9781108588232</w:t>
        </w:r>
      </w:hyperlink>
    </w:p>
    <w:p w14:paraId="615D0AA2" w14:textId="77777777" w:rsidR="002F4D8F" w:rsidRPr="00A03898" w:rsidRDefault="002F4D8F" w:rsidP="002F4D8F">
      <w:pPr>
        <w:spacing w:line="360" w:lineRule="auto"/>
        <w:ind w:left="567" w:hanging="567"/>
        <w:rPr>
          <w:lang w:val="en-GB" w:eastAsia="hr-HR"/>
        </w:rPr>
      </w:pPr>
      <w:r w:rsidRPr="00A03898">
        <w:rPr>
          <w:lang w:val="en-GB" w:eastAsia="hr-HR"/>
        </w:rPr>
        <w:t>Mann, K. (2015). The EU, a Growth Engine? The Impact of European Integration on Economic Growth in Central Eastern Europe, FIW Working Paper, 136. Vienna: FIW.</w:t>
      </w:r>
    </w:p>
    <w:p w14:paraId="496DC696" w14:textId="77777777" w:rsidR="002F4D8F" w:rsidRPr="00A03898" w:rsidRDefault="002F4D8F" w:rsidP="002F4D8F">
      <w:pPr>
        <w:spacing w:line="360" w:lineRule="auto"/>
        <w:ind w:left="567" w:hanging="567"/>
        <w:rPr>
          <w:lang w:val="en-GB" w:eastAsia="hr-HR"/>
        </w:rPr>
      </w:pPr>
      <w:r w:rsidRPr="00A03898">
        <w:rPr>
          <w:lang w:val="en-GB" w:eastAsia="hr-HR"/>
        </w:rPr>
        <w:t>Mason, C., &amp; Brown, R. (2010). High growth firms in Scotland. Glasgow: Scottish Enterprise.</w:t>
      </w:r>
    </w:p>
    <w:p w14:paraId="13684B40" w14:textId="3DC4BCC1" w:rsidR="002F4D8F" w:rsidRPr="00A03898" w:rsidRDefault="002F4D8F" w:rsidP="002F4D8F">
      <w:pPr>
        <w:spacing w:line="360" w:lineRule="auto"/>
        <w:ind w:left="567" w:hanging="567"/>
        <w:rPr>
          <w:lang w:val="en-GB" w:eastAsia="hr-HR"/>
        </w:rPr>
      </w:pPr>
      <w:r w:rsidRPr="00A03898">
        <w:rPr>
          <w:lang w:val="en-GB" w:eastAsia="hr-HR"/>
        </w:rPr>
        <w:t>Mohr, V.</w:t>
      </w:r>
      <w:r w:rsidR="005B0A63" w:rsidRPr="00A03898">
        <w:rPr>
          <w:lang w:val="en-GB" w:eastAsia="hr-HR"/>
        </w:rPr>
        <w:t xml:space="preserve">, </w:t>
      </w:r>
      <w:r w:rsidRPr="00A03898">
        <w:rPr>
          <w:lang w:val="en-GB" w:eastAsia="hr-HR"/>
        </w:rPr>
        <w:t>Garnsey,</w:t>
      </w:r>
      <w:r w:rsidR="005B0A63" w:rsidRPr="00A03898">
        <w:rPr>
          <w:lang w:val="en-GB" w:eastAsia="hr-HR"/>
        </w:rPr>
        <w:t xml:space="preserve"> E.,</w:t>
      </w:r>
      <w:r w:rsidRPr="00A03898">
        <w:rPr>
          <w:lang w:val="en-GB" w:eastAsia="hr-HR"/>
        </w:rPr>
        <w:t xml:space="preserve"> </w:t>
      </w:r>
      <w:proofErr w:type="spellStart"/>
      <w:r w:rsidR="005B0A63" w:rsidRPr="00A03898">
        <w:rPr>
          <w:lang w:val="en-GB" w:eastAsia="hr-HR"/>
        </w:rPr>
        <w:t>Theyel</w:t>
      </w:r>
      <w:proofErr w:type="spellEnd"/>
      <w:r w:rsidR="005B0A63" w:rsidRPr="00A03898">
        <w:rPr>
          <w:lang w:val="en-GB" w:eastAsia="hr-HR"/>
        </w:rPr>
        <w:t>, G. (2014).</w:t>
      </w:r>
      <w:r w:rsidRPr="00A03898">
        <w:rPr>
          <w:lang w:val="en-GB" w:eastAsia="hr-HR"/>
        </w:rPr>
        <w:t xml:space="preserve"> The role of alliances in the early d</w:t>
      </w:r>
      <w:r w:rsidR="005B0A63" w:rsidRPr="00A03898">
        <w:rPr>
          <w:lang w:val="en-GB" w:eastAsia="hr-HR"/>
        </w:rPr>
        <w:t>evelopment of high-growth firms.</w:t>
      </w:r>
      <w:r w:rsidRPr="00A03898">
        <w:rPr>
          <w:lang w:val="en-GB" w:eastAsia="hr-HR"/>
        </w:rPr>
        <w:t xml:space="preserve"> </w:t>
      </w:r>
      <w:r w:rsidRPr="00A03898">
        <w:rPr>
          <w:i/>
          <w:lang w:val="en-GB" w:eastAsia="hr-HR"/>
        </w:rPr>
        <w:t>Industrial and Corporate Change</w:t>
      </w:r>
      <w:r w:rsidRPr="00A03898">
        <w:rPr>
          <w:lang w:val="en-GB" w:eastAsia="hr-HR"/>
        </w:rPr>
        <w:t>, 23</w:t>
      </w:r>
      <w:r w:rsidR="005B0A63" w:rsidRPr="00A03898">
        <w:rPr>
          <w:lang w:val="en-GB" w:eastAsia="hr-HR"/>
        </w:rPr>
        <w:t>(</w:t>
      </w:r>
      <w:r w:rsidRPr="00A03898">
        <w:rPr>
          <w:lang w:val="en-GB" w:eastAsia="hr-HR"/>
        </w:rPr>
        <w:t>1</w:t>
      </w:r>
      <w:r w:rsidR="005B0A63" w:rsidRPr="00A03898">
        <w:rPr>
          <w:lang w:val="en-GB" w:eastAsia="hr-HR"/>
        </w:rPr>
        <w:t>)</w:t>
      </w:r>
      <w:r w:rsidRPr="00A03898">
        <w:rPr>
          <w:lang w:val="en-GB" w:eastAsia="hr-HR"/>
        </w:rPr>
        <w:t>, 233–259, https://doi.org/10.1093/icc/dtt056</w:t>
      </w:r>
    </w:p>
    <w:p w14:paraId="231B992A" w14:textId="5EB9B4E0" w:rsidR="002F4D8F" w:rsidRPr="00A03898" w:rsidRDefault="005B0A63" w:rsidP="002F4D8F">
      <w:pPr>
        <w:spacing w:line="360" w:lineRule="auto"/>
        <w:ind w:left="567" w:hanging="567"/>
        <w:rPr>
          <w:lang w:val="en-GB" w:eastAsia="hr-HR"/>
        </w:rPr>
      </w:pPr>
      <w:proofErr w:type="spellStart"/>
      <w:r w:rsidRPr="00A03898">
        <w:rPr>
          <w:lang w:val="en-GB" w:eastAsia="hr-HR"/>
        </w:rPr>
        <w:t>Moschella</w:t>
      </w:r>
      <w:proofErr w:type="spellEnd"/>
      <w:r w:rsidRPr="00A03898">
        <w:rPr>
          <w:lang w:val="en-GB" w:eastAsia="hr-HR"/>
        </w:rPr>
        <w:t xml:space="preserve">, D., </w:t>
      </w:r>
      <w:proofErr w:type="spellStart"/>
      <w:r w:rsidRPr="00A03898">
        <w:rPr>
          <w:lang w:val="en-GB" w:eastAsia="hr-HR"/>
        </w:rPr>
        <w:t>Tamagni</w:t>
      </w:r>
      <w:proofErr w:type="spellEnd"/>
      <w:r w:rsidRPr="00A03898">
        <w:rPr>
          <w:lang w:val="en-GB" w:eastAsia="hr-HR"/>
        </w:rPr>
        <w:t xml:space="preserve">, F., </w:t>
      </w:r>
      <w:r w:rsidR="002F4D8F" w:rsidRPr="00A03898">
        <w:rPr>
          <w:lang w:val="en-GB" w:eastAsia="hr-HR"/>
        </w:rPr>
        <w:t xml:space="preserve">Yu, X. (2019). Persistent high-growth firms in China’s manufacturing. </w:t>
      </w:r>
      <w:r w:rsidR="002F4D8F" w:rsidRPr="00A03898">
        <w:rPr>
          <w:i/>
          <w:lang w:val="en-GB" w:eastAsia="hr-HR"/>
        </w:rPr>
        <w:t>Small Business Economics</w:t>
      </w:r>
      <w:r w:rsidRPr="00A03898">
        <w:rPr>
          <w:lang w:val="en-GB" w:eastAsia="hr-HR"/>
        </w:rPr>
        <w:t>, 52(3), 573-594, https://doi.org/10.1007/s11187-017-9973-4</w:t>
      </w:r>
    </w:p>
    <w:p w14:paraId="74CF9B99" w14:textId="43FC5485" w:rsidR="002F4D8F" w:rsidRPr="00A03898" w:rsidRDefault="002F4D8F" w:rsidP="002F4D8F">
      <w:pPr>
        <w:spacing w:line="360" w:lineRule="auto"/>
        <w:ind w:left="567" w:hanging="567"/>
        <w:rPr>
          <w:lang w:val="en-GB" w:eastAsia="hr-HR"/>
        </w:rPr>
      </w:pPr>
      <w:proofErr w:type="spellStart"/>
      <w:r w:rsidRPr="00A03898">
        <w:rPr>
          <w:lang w:val="en-GB" w:eastAsia="hr-HR"/>
        </w:rPr>
        <w:t>Pavcnik</w:t>
      </w:r>
      <w:proofErr w:type="spellEnd"/>
      <w:r w:rsidRPr="00A03898">
        <w:rPr>
          <w:lang w:val="en-GB" w:eastAsia="hr-HR"/>
        </w:rPr>
        <w:t xml:space="preserve">, N. (2019). The Winners and Losers from International Trade. </w:t>
      </w:r>
      <w:r w:rsidRPr="00A03898">
        <w:rPr>
          <w:i/>
          <w:lang w:val="en-GB" w:eastAsia="hr-HR"/>
        </w:rPr>
        <w:t>Survival,</w:t>
      </w:r>
      <w:r w:rsidR="008E4864" w:rsidRPr="00A03898">
        <w:rPr>
          <w:lang w:val="en-GB" w:eastAsia="hr-HR"/>
        </w:rPr>
        <w:t xml:space="preserve"> 61(2), 97-100, https://doi.org/10.1080/00396338.2019.1589088</w:t>
      </w:r>
    </w:p>
    <w:p w14:paraId="5B913763" w14:textId="35907909" w:rsidR="002F4D8F" w:rsidRPr="00A03898" w:rsidRDefault="002F4D8F" w:rsidP="002F4D8F">
      <w:pPr>
        <w:spacing w:line="360" w:lineRule="auto"/>
        <w:ind w:left="567" w:hanging="567"/>
        <w:rPr>
          <w:lang w:val="en-GB" w:eastAsia="hr-HR"/>
        </w:rPr>
      </w:pPr>
      <w:proofErr w:type="spellStart"/>
      <w:r w:rsidRPr="00A03898">
        <w:rPr>
          <w:lang w:val="en-GB" w:eastAsia="hr-HR"/>
        </w:rPr>
        <w:lastRenderedPageBreak/>
        <w:t>Pietrobelli</w:t>
      </w:r>
      <w:proofErr w:type="spellEnd"/>
      <w:r w:rsidRPr="00A03898">
        <w:rPr>
          <w:lang w:val="en-GB" w:eastAsia="hr-HR"/>
        </w:rPr>
        <w:t>, C. (2008)</w:t>
      </w:r>
      <w:r w:rsidR="00171014" w:rsidRPr="00A03898">
        <w:rPr>
          <w:lang w:val="en-GB" w:eastAsia="hr-HR"/>
        </w:rPr>
        <w:t>.</w:t>
      </w:r>
      <w:r w:rsidRPr="00A03898">
        <w:rPr>
          <w:lang w:val="en-GB" w:eastAsia="hr-HR"/>
        </w:rPr>
        <w:t xml:space="preserve"> Global value chains in the least developed countries of the world: Threats and opportunities for local producers. </w:t>
      </w:r>
      <w:r w:rsidRPr="00A03898">
        <w:rPr>
          <w:i/>
          <w:lang w:val="en-GB" w:eastAsia="hr-HR"/>
        </w:rPr>
        <w:t>International Journal of Technological Learning, Innovation and Development</w:t>
      </w:r>
      <w:r w:rsidR="00171014" w:rsidRPr="00A03898">
        <w:rPr>
          <w:i/>
          <w:lang w:val="en-GB" w:eastAsia="hr-HR"/>
        </w:rPr>
        <w:t>,</w:t>
      </w:r>
      <w:r w:rsidR="00171014" w:rsidRPr="00A03898">
        <w:rPr>
          <w:lang w:val="en-GB" w:eastAsia="hr-HR"/>
        </w:rPr>
        <w:t xml:space="preserve"> 1(4),</w:t>
      </w:r>
      <w:r w:rsidRPr="00A03898">
        <w:rPr>
          <w:lang w:val="en-GB" w:eastAsia="hr-HR"/>
        </w:rPr>
        <w:t xml:space="preserve"> 459–481. </w:t>
      </w:r>
      <w:hyperlink r:id="rId37" w:history="1">
        <w:r w:rsidRPr="00A03898">
          <w:rPr>
            <w:rStyle w:val="Hyperlink"/>
            <w:lang w:val="en-GB" w:eastAsia="hr-HR"/>
          </w:rPr>
          <w:t>https://doi.org/10.1504/IJTLID.2008.021964</w:t>
        </w:r>
      </w:hyperlink>
      <w:r w:rsidRPr="00A03898">
        <w:rPr>
          <w:lang w:val="en-GB" w:eastAsia="hr-HR"/>
        </w:rPr>
        <w:t>.</w:t>
      </w:r>
    </w:p>
    <w:p w14:paraId="6D06C613" w14:textId="60A021F2" w:rsidR="002F4D8F" w:rsidRPr="00A03898" w:rsidRDefault="002F4D8F" w:rsidP="002F4D8F">
      <w:pPr>
        <w:spacing w:line="360" w:lineRule="auto"/>
        <w:ind w:left="567" w:hanging="567"/>
        <w:rPr>
          <w:lang w:val="en-GB" w:eastAsia="hr-HR"/>
        </w:rPr>
      </w:pPr>
      <w:r w:rsidRPr="00A03898">
        <w:rPr>
          <w:lang w:val="en-GB" w:eastAsia="hr-HR"/>
        </w:rPr>
        <w:t xml:space="preserve">Reyes, J.-D. </w:t>
      </w:r>
      <w:r w:rsidR="00FC67E5" w:rsidRPr="00A03898">
        <w:rPr>
          <w:lang w:val="en-GB" w:eastAsia="hr-HR"/>
        </w:rPr>
        <w:t>(</w:t>
      </w:r>
      <w:r w:rsidRPr="00A03898">
        <w:rPr>
          <w:lang w:val="en-GB" w:eastAsia="hr-HR"/>
        </w:rPr>
        <w:t>2018</w:t>
      </w:r>
      <w:r w:rsidR="00FC67E5" w:rsidRPr="00A03898">
        <w:rPr>
          <w:lang w:val="en-GB" w:eastAsia="hr-HR"/>
        </w:rPr>
        <w:t xml:space="preserve">). </w:t>
      </w:r>
      <w:r w:rsidRPr="00A03898">
        <w:rPr>
          <w:lang w:val="en-GB" w:eastAsia="hr-HR"/>
        </w:rPr>
        <w:t>Effects of FDI on High-Growth</w:t>
      </w:r>
      <w:r w:rsidR="00FC67E5" w:rsidRPr="00A03898">
        <w:rPr>
          <w:lang w:val="en-GB" w:eastAsia="hr-HR"/>
        </w:rPr>
        <w:t xml:space="preserve"> Firms in Developing Countries.</w:t>
      </w:r>
      <w:r w:rsidRPr="00A03898">
        <w:rPr>
          <w:lang w:val="en-GB" w:eastAsia="hr-HR"/>
        </w:rPr>
        <w:t xml:space="preserve"> In </w:t>
      </w:r>
      <w:r w:rsidRPr="00A03898">
        <w:rPr>
          <w:i/>
          <w:lang w:val="en-GB" w:eastAsia="hr-HR"/>
        </w:rPr>
        <w:t>Global Investment Competitiveness Report 2017/2018: Foreign Investor Perspectives and Policy Implications</w:t>
      </w:r>
      <w:r w:rsidRPr="00A03898">
        <w:rPr>
          <w:lang w:val="en-GB" w:eastAsia="hr-HR"/>
        </w:rPr>
        <w:t>. Washington, DC: World Bank.</w:t>
      </w:r>
    </w:p>
    <w:p w14:paraId="37E9C36F" w14:textId="5AD3C6CF" w:rsidR="002F4D8F" w:rsidRPr="00A03898" w:rsidRDefault="002F4D8F" w:rsidP="002F4D8F">
      <w:pPr>
        <w:spacing w:line="360" w:lineRule="auto"/>
        <w:ind w:left="567" w:hanging="567"/>
        <w:rPr>
          <w:lang w:val="en-GB" w:eastAsia="hr-HR"/>
        </w:rPr>
      </w:pPr>
      <w:proofErr w:type="spellStart"/>
      <w:r w:rsidRPr="00A03898">
        <w:rPr>
          <w:lang w:val="en-GB" w:eastAsia="hr-HR"/>
        </w:rPr>
        <w:t>Sambharya</w:t>
      </w:r>
      <w:proofErr w:type="spellEnd"/>
      <w:r w:rsidRPr="00A03898">
        <w:rPr>
          <w:lang w:val="en-GB" w:eastAsia="hr-HR"/>
        </w:rPr>
        <w:t xml:space="preserve">, R., &amp; </w:t>
      </w:r>
      <w:proofErr w:type="spellStart"/>
      <w:r w:rsidRPr="00A03898">
        <w:rPr>
          <w:lang w:val="en-GB" w:eastAsia="hr-HR"/>
        </w:rPr>
        <w:t>Musteen</w:t>
      </w:r>
      <w:proofErr w:type="spellEnd"/>
      <w:r w:rsidRPr="00A03898">
        <w:rPr>
          <w:lang w:val="en-GB" w:eastAsia="hr-HR"/>
        </w:rPr>
        <w:t xml:space="preserve">, M. (2014). Institutional environment and entrepreneurship: an empirical study across countries. </w:t>
      </w:r>
      <w:r w:rsidRPr="00A03898">
        <w:rPr>
          <w:i/>
          <w:lang w:val="en-GB" w:eastAsia="hr-HR"/>
        </w:rPr>
        <w:t>Journal of International Entrepreneurship</w:t>
      </w:r>
      <w:r w:rsidR="00271863" w:rsidRPr="00A03898">
        <w:rPr>
          <w:lang w:val="en-GB" w:eastAsia="hr-HR"/>
        </w:rPr>
        <w:t>, 12(4), 314-440, https://doi.org/10.1007/s10843-014-0137-1</w:t>
      </w:r>
    </w:p>
    <w:p w14:paraId="4D114B2C" w14:textId="1864E131" w:rsidR="002F4D8F" w:rsidRPr="00A03898" w:rsidRDefault="002F4D8F" w:rsidP="002F4D8F">
      <w:pPr>
        <w:spacing w:line="360" w:lineRule="auto"/>
        <w:ind w:left="567" w:hanging="567"/>
        <w:rPr>
          <w:lang w:val="en-GB" w:eastAsia="hr-HR"/>
        </w:rPr>
      </w:pPr>
      <w:proofErr w:type="spellStart"/>
      <w:r w:rsidRPr="00A03898">
        <w:rPr>
          <w:lang w:val="en-GB" w:eastAsia="hr-HR"/>
        </w:rPr>
        <w:t>Santarelli</w:t>
      </w:r>
      <w:proofErr w:type="spellEnd"/>
      <w:r w:rsidRPr="00A03898">
        <w:rPr>
          <w:lang w:val="en-GB" w:eastAsia="hr-HR"/>
        </w:rPr>
        <w:t xml:space="preserve">, E., &amp; </w:t>
      </w:r>
      <w:proofErr w:type="spellStart"/>
      <w:r w:rsidRPr="00A03898">
        <w:rPr>
          <w:lang w:val="en-GB" w:eastAsia="hr-HR"/>
        </w:rPr>
        <w:t>Vivarelli</w:t>
      </w:r>
      <w:proofErr w:type="spellEnd"/>
      <w:r w:rsidR="00F50E89" w:rsidRPr="00A03898">
        <w:rPr>
          <w:lang w:val="en-GB" w:eastAsia="hr-HR"/>
        </w:rPr>
        <w:t>, M.</w:t>
      </w:r>
      <w:r w:rsidRPr="00A03898">
        <w:rPr>
          <w:lang w:val="en-GB" w:eastAsia="hr-HR"/>
        </w:rPr>
        <w:t xml:space="preserve"> (2007). Entrepreneurship and the process of fi</w:t>
      </w:r>
      <w:r w:rsidR="00F50E89" w:rsidRPr="00A03898">
        <w:rPr>
          <w:lang w:val="en-GB" w:eastAsia="hr-HR"/>
        </w:rPr>
        <w:t>rms’ entry, survival and growth.</w:t>
      </w:r>
      <w:r w:rsidRPr="00A03898">
        <w:rPr>
          <w:lang w:val="en-GB" w:eastAsia="hr-HR"/>
        </w:rPr>
        <w:t xml:space="preserve"> </w:t>
      </w:r>
      <w:r w:rsidRPr="00A03898">
        <w:rPr>
          <w:i/>
          <w:lang w:val="en-GB" w:eastAsia="hr-HR"/>
        </w:rPr>
        <w:t>Industrial and Corporate Change</w:t>
      </w:r>
      <w:r w:rsidRPr="00A03898">
        <w:rPr>
          <w:lang w:val="en-GB" w:eastAsia="hr-HR"/>
        </w:rPr>
        <w:t>, 16</w:t>
      </w:r>
      <w:r w:rsidR="00F50E89" w:rsidRPr="00A03898">
        <w:rPr>
          <w:lang w:val="en-GB" w:eastAsia="hr-HR"/>
        </w:rPr>
        <w:t>(</w:t>
      </w:r>
      <w:r w:rsidRPr="00A03898">
        <w:rPr>
          <w:lang w:val="en-GB" w:eastAsia="hr-HR"/>
        </w:rPr>
        <w:t>3</w:t>
      </w:r>
      <w:r w:rsidR="00F50E89" w:rsidRPr="00A03898">
        <w:rPr>
          <w:lang w:val="en-GB" w:eastAsia="hr-HR"/>
        </w:rPr>
        <w:t>)</w:t>
      </w:r>
      <w:r w:rsidRPr="00A03898">
        <w:rPr>
          <w:lang w:val="en-GB" w:eastAsia="hr-HR"/>
        </w:rPr>
        <w:t xml:space="preserve">, 455–488, </w:t>
      </w:r>
      <w:hyperlink r:id="rId38" w:history="1">
        <w:r w:rsidRPr="00A03898">
          <w:rPr>
            <w:rStyle w:val="Hyperlink"/>
            <w:lang w:val="en-GB" w:eastAsia="hr-HR"/>
          </w:rPr>
          <w:t>https://doi.org/10.1093/icc/dtm010</w:t>
        </w:r>
      </w:hyperlink>
    </w:p>
    <w:p w14:paraId="2B7DB0FA" w14:textId="69494F0F" w:rsidR="002F4D8F" w:rsidRPr="00A03898" w:rsidRDefault="002F4D8F" w:rsidP="002F4D8F">
      <w:pPr>
        <w:spacing w:line="360" w:lineRule="auto"/>
        <w:ind w:left="567" w:hanging="567"/>
        <w:rPr>
          <w:lang w:val="en-GB" w:eastAsia="hr-HR"/>
        </w:rPr>
      </w:pPr>
      <w:r w:rsidRPr="00A03898">
        <w:rPr>
          <w:lang w:val="en-GB" w:eastAsia="hr-HR"/>
        </w:rPr>
        <w:t>Segarra-</w:t>
      </w:r>
      <w:proofErr w:type="spellStart"/>
      <w:r w:rsidRPr="00A03898">
        <w:rPr>
          <w:lang w:val="en-GB" w:eastAsia="hr-HR"/>
        </w:rPr>
        <w:t>Blasco</w:t>
      </w:r>
      <w:proofErr w:type="spellEnd"/>
      <w:r w:rsidRPr="00A03898">
        <w:rPr>
          <w:lang w:val="en-GB" w:eastAsia="hr-HR"/>
        </w:rPr>
        <w:t xml:space="preserve"> A.</w:t>
      </w:r>
      <w:r w:rsidR="00CE2B7C" w:rsidRPr="00A03898">
        <w:rPr>
          <w:lang w:val="en-GB" w:eastAsia="hr-HR"/>
        </w:rPr>
        <w:t>,</w:t>
      </w:r>
      <w:r w:rsidRPr="00A03898">
        <w:rPr>
          <w:lang w:val="en-GB" w:eastAsia="hr-HR"/>
        </w:rPr>
        <w:t xml:space="preserve"> </w:t>
      </w:r>
      <w:proofErr w:type="spellStart"/>
      <w:r w:rsidRPr="00A03898">
        <w:rPr>
          <w:lang w:val="en-GB" w:eastAsia="hr-HR"/>
        </w:rPr>
        <w:t>Teruel</w:t>
      </w:r>
      <w:proofErr w:type="spellEnd"/>
      <w:r w:rsidR="00CE2B7C" w:rsidRPr="00A03898">
        <w:rPr>
          <w:lang w:val="en-GB" w:eastAsia="hr-HR"/>
        </w:rPr>
        <w:t>, M.,</w:t>
      </w:r>
      <w:r w:rsidRPr="00A03898">
        <w:rPr>
          <w:lang w:val="en-GB" w:eastAsia="hr-HR"/>
        </w:rPr>
        <w:t xml:space="preserve"> </w:t>
      </w:r>
      <w:proofErr w:type="spellStart"/>
      <w:r w:rsidRPr="00A03898">
        <w:rPr>
          <w:lang w:val="en-GB" w:eastAsia="hr-HR"/>
        </w:rPr>
        <w:t>Jové-Llopis</w:t>
      </w:r>
      <w:proofErr w:type="spellEnd"/>
      <w:r w:rsidRPr="00A03898">
        <w:rPr>
          <w:lang w:val="en-GB" w:eastAsia="hr-HR"/>
        </w:rPr>
        <w:t>,</w:t>
      </w:r>
      <w:r w:rsidR="00CE2B7C" w:rsidRPr="00A03898">
        <w:rPr>
          <w:lang w:val="en-GB" w:eastAsia="hr-HR"/>
        </w:rPr>
        <w:t xml:space="preserve"> E. (</w:t>
      </w:r>
      <w:r w:rsidRPr="00A03898">
        <w:rPr>
          <w:lang w:val="en-GB" w:eastAsia="hr-HR"/>
        </w:rPr>
        <w:t>2018</w:t>
      </w:r>
      <w:r w:rsidR="00CE2B7C" w:rsidRPr="00A03898">
        <w:rPr>
          <w:lang w:val="en-GB" w:eastAsia="hr-HR"/>
        </w:rPr>
        <w:t xml:space="preserve">). </w:t>
      </w:r>
      <w:r w:rsidRPr="00A03898">
        <w:rPr>
          <w:lang w:val="en-GB" w:eastAsia="hr-HR"/>
        </w:rPr>
        <w:t>High-growth firms in European cou</w:t>
      </w:r>
      <w:r w:rsidR="00CE2B7C" w:rsidRPr="00A03898">
        <w:rPr>
          <w:lang w:val="en-GB" w:eastAsia="hr-HR"/>
        </w:rPr>
        <w:t>ntries: The role of innovation.</w:t>
      </w:r>
      <w:r w:rsidRPr="00A03898">
        <w:rPr>
          <w:lang w:val="en-GB" w:eastAsia="hr-HR"/>
        </w:rPr>
        <w:t xml:space="preserve"> </w:t>
      </w:r>
      <w:proofErr w:type="spellStart"/>
      <w:r w:rsidRPr="00A03898">
        <w:rPr>
          <w:i/>
          <w:lang w:val="en-GB" w:eastAsia="hr-HR"/>
        </w:rPr>
        <w:t>Revista</w:t>
      </w:r>
      <w:proofErr w:type="spellEnd"/>
      <w:r w:rsidRPr="00A03898">
        <w:rPr>
          <w:i/>
          <w:lang w:val="en-GB" w:eastAsia="hr-HR"/>
        </w:rPr>
        <w:t xml:space="preserve"> </w:t>
      </w:r>
      <w:proofErr w:type="spellStart"/>
      <w:r w:rsidRPr="00A03898">
        <w:rPr>
          <w:i/>
          <w:lang w:val="en-GB" w:eastAsia="hr-HR"/>
        </w:rPr>
        <w:t>Cuadernos</w:t>
      </w:r>
      <w:proofErr w:type="spellEnd"/>
      <w:r w:rsidRPr="00A03898">
        <w:rPr>
          <w:i/>
          <w:lang w:val="en-GB" w:eastAsia="hr-HR"/>
        </w:rPr>
        <w:t xml:space="preserve"> de </w:t>
      </w:r>
      <w:proofErr w:type="spellStart"/>
      <w:r w:rsidRPr="00A03898">
        <w:rPr>
          <w:i/>
          <w:lang w:val="en-GB" w:eastAsia="hr-HR"/>
        </w:rPr>
        <w:t>Economía</w:t>
      </w:r>
      <w:proofErr w:type="spellEnd"/>
      <w:r w:rsidRPr="00A03898">
        <w:rPr>
          <w:lang w:val="en-GB" w:eastAsia="hr-HR"/>
        </w:rPr>
        <w:t xml:space="preserve">, 37(75), </w:t>
      </w:r>
      <w:r w:rsidR="000E51CA" w:rsidRPr="00A03898">
        <w:rPr>
          <w:lang w:val="en-GB" w:eastAsia="hr-HR"/>
        </w:rPr>
        <w:t>637-808</w:t>
      </w:r>
      <w:r w:rsidRPr="00A03898">
        <w:rPr>
          <w:lang w:val="en-GB" w:eastAsia="hr-HR"/>
        </w:rPr>
        <w:t>.</w:t>
      </w:r>
    </w:p>
    <w:p w14:paraId="3009FD53" w14:textId="77777777" w:rsidR="002F4D8F" w:rsidRPr="00A03898" w:rsidRDefault="002F4D8F" w:rsidP="002F4D8F">
      <w:pPr>
        <w:spacing w:line="360" w:lineRule="auto"/>
        <w:ind w:left="567" w:hanging="567"/>
        <w:rPr>
          <w:lang w:val="en-GB" w:eastAsia="hr-HR"/>
        </w:rPr>
      </w:pPr>
      <w:r w:rsidRPr="00A03898">
        <w:rPr>
          <w:lang w:val="en-GB" w:eastAsia="hr-HR"/>
        </w:rPr>
        <w:t xml:space="preserve">Tan, S. W., H. Winkler, and T. </w:t>
      </w:r>
      <w:proofErr w:type="spellStart"/>
      <w:r w:rsidRPr="00A03898">
        <w:rPr>
          <w:lang w:val="en-GB" w:eastAsia="hr-HR"/>
        </w:rPr>
        <w:t>Yde</w:t>
      </w:r>
      <w:proofErr w:type="spellEnd"/>
      <w:r w:rsidRPr="00A03898">
        <w:rPr>
          <w:lang w:val="en-GB" w:eastAsia="hr-HR"/>
        </w:rPr>
        <w:t>-Jensen. 2018. “Connectivity and Firms.” In Critical Connections: Why Europe and Central Asia’s Connections Matter for Growth and Stability. Washington, DC: World Bank.</w:t>
      </w:r>
    </w:p>
    <w:p w14:paraId="0A482821" w14:textId="00D3C3C7" w:rsidR="002F4D8F" w:rsidRPr="00A03898" w:rsidRDefault="002F4D8F" w:rsidP="002F472A">
      <w:pPr>
        <w:spacing w:line="360" w:lineRule="auto"/>
        <w:ind w:left="567" w:hanging="567"/>
        <w:rPr>
          <w:lang w:val="en-GB" w:eastAsia="hr-HR"/>
        </w:rPr>
      </w:pPr>
      <w:proofErr w:type="spellStart"/>
      <w:r w:rsidRPr="00A03898">
        <w:rPr>
          <w:lang w:val="en-GB" w:eastAsia="hr-HR"/>
        </w:rPr>
        <w:t>Tarabar</w:t>
      </w:r>
      <w:proofErr w:type="spellEnd"/>
      <w:r w:rsidRPr="00A03898">
        <w:rPr>
          <w:lang w:val="en-GB" w:eastAsia="hr-HR"/>
        </w:rPr>
        <w:t xml:space="preserve">, D. (2018). Regional integration and entrepreneurship: evidence from European Union. </w:t>
      </w:r>
      <w:r w:rsidRPr="00A03898">
        <w:rPr>
          <w:i/>
          <w:lang w:val="en-GB" w:eastAsia="hr-HR"/>
        </w:rPr>
        <w:t>Journal of Entrepreneurship and Public Policy</w:t>
      </w:r>
      <w:r w:rsidR="002F472A" w:rsidRPr="00A03898">
        <w:rPr>
          <w:lang w:val="en-GB" w:eastAsia="hr-HR"/>
        </w:rPr>
        <w:t>, 7(2), 117-134, https://doi.org/10.1108/JEPP-D-18-00003</w:t>
      </w:r>
    </w:p>
    <w:p w14:paraId="0D383EB3" w14:textId="398094DC" w:rsidR="002F4D8F" w:rsidRPr="00A03898" w:rsidRDefault="002F4D8F" w:rsidP="002F4D8F">
      <w:pPr>
        <w:spacing w:line="360" w:lineRule="auto"/>
        <w:ind w:left="567" w:hanging="567"/>
        <w:rPr>
          <w:lang w:val="en-GB" w:eastAsia="hr-HR"/>
        </w:rPr>
      </w:pPr>
      <w:proofErr w:type="spellStart"/>
      <w:r w:rsidRPr="00A03898">
        <w:rPr>
          <w:lang w:val="en-GB" w:eastAsia="hr-HR"/>
        </w:rPr>
        <w:t>Vértesy</w:t>
      </w:r>
      <w:proofErr w:type="spellEnd"/>
      <w:r w:rsidRPr="00A03898">
        <w:rPr>
          <w:lang w:val="en-GB" w:eastAsia="hr-HR"/>
        </w:rPr>
        <w:t>,</w:t>
      </w:r>
      <w:r w:rsidR="009A0CE4" w:rsidRPr="00A03898">
        <w:rPr>
          <w:lang w:val="en-GB" w:eastAsia="hr-HR"/>
        </w:rPr>
        <w:t xml:space="preserve"> D., Del Sorbo, M., </w:t>
      </w:r>
      <w:proofErr w:type="spellStart"/>
      <w:r w:rsidR="009A0CE4" w:rsidRPr="00A03898">
        <w:rPr>
          <w:lang w:val="en-GB" w:eastAsia="hr-HR"/>
        </w:rPr>
        <w:t>Damioli</w:t>
      </w:r>
      <w:proofErr w:type="spellEnd"/>
      <w:r w:rsidR="009A0CE4" w:rsidRPr="00A03898">
        <w:rPr>
          <w:lang w:val="en-GB" w:eastAsia="hr-HR"/>
        </w:rPr>
        <w:t>, G. (2017).</w:t>
      </w:r>
      <w:r w:rsidRPr="00A03898">
        <w:rPr>
          <w:lang w:val="en-GB" w:eastAsia="hr-HR"/>
        </w:rPr>
        <w:t xml:space="preserve"> </w:t>
      </w:r>
      <w:r w:rsidRPr="00A03898">
        <w:rPr>
          <w:i/>
          <w:lang w:val="en-GB" w:eastAsia="hr-HR"/>
        </w:rPr>
        <w:t xml:space="preserve">High-growth, innovative enterprises in </w:t>
      </w:r>
      <w:r w:rsidR="009A0CE4" w:rsidRPr="00A03898">
        <w:rPr>
          <w:i/>
          <w:lang w:val="en-GB" w:eastAsia="hr-HR"/>
        </w:rPr>
        <w:t>Europe</w:t>
      </w:r>
      <w:r w:rsidR="009A0CE4" w:rsidRPr="00A03898">
        <w:rPr>
          <w:lang w:val="en-GB" w:eastAsia="hr-HR"/>
        </w:rPr>
        <w:t>.</w:t>
      </w:r>
      <w:r w:rsidRPr="00A03898">
        <w:rPr>
          <w:lang w:val="en-GB" w:eastAsia="hr-HR"/>
        </w:rPr>
        <w:t xml:space="preserve"> Publications Office fo</w:t>
      </w:r>
      <w:r w:rsidR="009A0CE4" w:rsidRPr="00A03898">
        <w:rPr>
          <w:lang w:val="en-GB" w:eastAsia="hr-HR"/>
        </w:rPr>
        <w:t>r</w:t>
      </w:r>
      <w:r w:rsidRPr="00A03898">
        <w:rPr>
          <w:lang w:val="en-GB" w:eastAsia="hr-HR"/>
        </w:rPr>
        <w:t xml:space="preserve"> the European Union, Luxembourg, doi:10.2760/328958, JRC106419</w:t>
      </w:r>
    </w:p>
    <w:p w14:paraId="41CA2228" w14:textId="22DC34D2" w:rsidR="002F4D8F" w:rsidRPr="00A03898" w:rsidRDefault="002F4D8F" w:rsidP="002F4D8F">
      <w:pPr>
        <w:spacing w:line="360" w:lineRule="auto"/>
        <w:ind w:left="567" w:hanging="567"/>
        <w:rPr>
          <w:lang w:val="en-GB" w:eastAsia="hr-HR"/>
        </w:rPr>
      </w:pPr>
      <w:proofErr w:type="spellStart"/>
      <w:r w:rsidRPr="00A03898">
        <w:rPr>
          <w:lang w:val="en-GB" w:eastAsia="hr-HR"/>
        </w:rPr>
        <w:t>Vrh</w:t>
      </w:r>
      <w:proofErr w:type="spellEnd"/>
      <w:r w:rsidRPr="00A03898">
        <w:rPr>
          <w:lang w:val="en-GB" w:eastAsia="hr-HR"/>
        </w:rPr>
        <w:t>, N. (2018)</w:t>
      </w:r>
      <w:r w:rsidR="001B724B" w:rsidRPr="00A03898">
        <w:rPr>
          <w:lang w:val="en-GB" w:eastAsia="hr-HR"/>
        </w:rPr>
        <w:t>.</w:t>
      </w:r>
      <w:r w:rsidRPr="00A03898">
        <w:rPr>
          <w:lang w:val="en-GB" w:eastAsia="hr-HR"/>
        </w:rPr>
        <w:t xml:space="preserve"> What drives the differences in domestic value added in exports between old and new E.U. member </w:t>
      </w:r>
      <w:proofErr w:type="gramStart"/>
      <w:r w:rsidRPr="00A03898">
        <w:rPr>
          <w:lang w:val="en-GB" w:eastAsia="hr-HR"/>
        </w:rPr>
        <w:t>states?,</w:t>
      </w:r>
      <w:proofErr w:type="gramEnd"/>
      <w:r w:rsidRPr="00A03898">
        <w:rPr>
          <w:lang w:val="en-GB" w:eastAsia="hr-HR"/>
        </w:rPr>
        <w:t xml:space="preserve"> </w:t>
      </w:r>
      <w:r w:rsidRPr="00A03898">
        <w:rPr>
          <w:i/>
          <w:lang w:val="en-GB" w:eastAsia="hr-HR"/>
        </w:rPr>
        <w:t>Economic Research-</w:t>
      </w:r>
      <w:proofErr w:type="spellStart"/>
      <w:r w:rsidRPr="00A03898">
        <w:rPr>
          <w:i/>
          <w:lang w:val="en-GB" w:eastAsia="hr-HR"/>
        </w:rPr>
        <w:t>Ekonomska</w:t>
      </w:r>
      <w:proofErr w:type="spellEnd"/>
      <w:r w:rsidRPr="00A03898">
        <w:rPr>
          <w:i/>
          <w:lang w:val="en-GB" w:eastAsia="hr-HR"/>
        </w:rPr>
        <w:t xml:space="preserve"> </w:t>
      </w:r>
      <w:proofErr w:type="spellStart"/>
      <w:r w:rsidRPr="00A03898">
        <w:rPr>
          <w:i/>
          <w:lang w:val="en-GB" w:eastAsia="hr-HR"/>
        </w:rPr>
        <w:t>Istraživanja</w:t>
      </w:r>
      <w:proofErr w:type="spellEnd"/>
      <w:r w:rsidR="005B3467" w:rsidRPr="00A03898">
        <w:rPr>
          <w:lang w:val="en-GB" w:eastAsia="hr-HR"/>
        </w:rPr>
        <w:t>, 31(</w:t>
      </w:r>
      <w:r w:rsidRPr="00A03898">
        <w:rPr>
          <w:lang w:val="en-GB" w:eastAsia="hr-HR"/>
        </w:rPr>
        <w:t>1</w:t>
      </w:r>
      <w:r w:rsidR="005B3467" w:rsidRPr="00A03898">
        <w:rPr>
          <w:lang w:val="en-GB" w:eastAsia="hr-HR"/>
        </w:rPr>
        <w:t>)</w:t>
      </w:r>
      <w:r w:rsidRPr="00A03898">
        <w:rPr>
          <w:lang w:val="en-GB" w:eastAsia="hr-HR"/>
        </w:rPr>
        <w:t>, 645-663, DOI: 10.1080/1331677X.2018.1438910</w:t>
      </w:r>
    </w:p>
    <w:p w14:paraId="028D3D2A" w14:textId="38D32D5D" w:rsidR="002F4D8F" w:rsidRPr="00A03898" w:rsidRDefault="002F4D8F" w:rsidP="002F4D8F">
      <w:pPr>
        <w:spacing w:line="360" w:lineRule="auto"/>
        <w:ind w:left="567" w:hanging="567"/>
        <w:rPr>
          <w:lang w:val="en-GB" w:eastAsia="hr-HR"/>
        </w:rPr>
      </w:pPr>
      <w:r w:rsidRPr="00A03898">
        <w:rPr>
          <w:lang w:val="en-GB" w:eastAsia="hr-HR"/>
        </w:rPr>
        <w:t xml:space="preserve">Wagner, J. (2012). International trade and firm performance: a survey of empirical studies since 2006. </w:t>
      </w:r>
      <w:r w:rsidR="005B3467" w:rsidRPr="00A03898">
        <w:rPr>
          <w:i/>
          <w:lang w:val="en-GB" w:eastAsia="hr-HR"/>
        </w:rPr>
        <w:t>Review of World Economics,</w:t>
      </w:r>
      <w:r w:rsidR="005B3467" w:rsidRPr="00A03898">
        <w:rPr>
          <w:lang w:val="en-GB" w:eastAsia="hr-HR"/>
        </w:rPr>
        <w:t xml:space="preserve"> </w:t>
      </w:r>
      <w:r w:rsidRPr="00A03898">
        <w:rPr>
          <w:lang w:val="en-GB" w:eastAsia="hr-HR"/>
        </w:rPr>
        <w:t xml:space="preserve">148, 235–267. </w:t>
      </w:r>
      <w:hyperlink r:id="rId39" w:history="1">
        <w:r w:rsidRPr="00A03898">
          <w:rPr>
            <w:rStyle w:val="Hyperlink"/>
            <w:lang w:val="en-GB" w:eastAsia="hr-HR"/>
          </w:rPr>
          <w:t>https://doi.org/10.1007/s10290-011-0116-8</w:t>
        </w:r>
      </w:hyperlink>
    </w:p>
    <w:p w14:paraId="0C5DCCBA" w14:textId="40671D1B" w:rsidR="002F4D8F" w:rsidRPr="00A03898" w:rsidRDefault="002F4D8F" w:rsidP="002F4D8F">
      <w:pPr>
        <w:spacing w:line="360" w:lineRule="auto"/>
        <w:ind w:left="567" w:hanging="567"/>
      </w:pPr>
      <w:r w:rsidRPr="00A03898">
        <w:t xml:space="preserve">van </w:t>
      </w:r>
      <w:proofErr w:type="spellStart"/>
      <w:r w:rsidRPr="00A03898">
        <w:t>Weele</w:t>
      </w:r>
      <w:proofErr w:type="spellEnd"/>
      <w:r w:rsidRPr="00A03898">
        <w:t xml:space="preserve">, M., van </w:t>
      </w:r>
      <w:proofErr w:type="spellStart"/>
      <w:r w:rsidRPr="00A03898">
        <w:t>Rijnsoever</w:t>
      </w:r>
      <w:proofErr w:type="spellEnd"/>
      <w:r w:rsidRPr="00A03898">
        <w:t xml:space="preserve">, F.J., </w:t>
      </w:r>
      <w:proofErr w:type="spellStart"/>
      <w:r w:rsidRPr="00A03898">
        <w:t>Eveleens</w:t>
      </w:r>
      <w:proofErr w:type="spellEnd"/>
      <w:r w:rsidRPr="00A03898">
        <w:t xml:space="preserve">, C.P. et al. </w:t>
      </w:r>
      <w:r w:rsidR="00EC2E3D" w:rsidRPr="00A03898">
        <w:t xml:space="preserve">(2018). </w:t>
      </w:r>
      <w:r w:rsidRPr="00A03898">
        <w:t>Start-EU-up! Lessons from international incubation practices to address the challenges faced by Western European start-ups</w:t>
      </w:r>
      <w:r w:rsidRPr="00A03898">
        <w:rPr>
          <w:i/>
        </w:rPr>
        <w:t xml:space="preserve">. </w:t>
      </w:r>
      <w:r w:rsidR="00C55CCD" w:rsidRPr="00A03898">
        <w:rPr>
          <w:i/>
        </w:rPr>
        <w:t>The Journal of Technology Transfer,</w:t>
      </w:r>
      <w:r w:rsidR="00C55CCD" w:rsidRPr="00A03898">
        <w:t xml:space="preserve"> 43, 1161–1189, </w:t>
      </w:r>
      <w:r w:rsidR="00736912" w:rsidRPr="00A03898">
        <w:t>https://doi.org/10.1007/s10961-016-9538-8</w:t>
      </w:r>
    </w:p>
    <w:p w14:paraId="0583A3A9" w14:textId="5C4D290C" w:rsidR="002F4D8F" w:rsidRPr="00A03898" w:rsidRDefault="002F4D8F" w:rsidP="002F4D8F">
      <w:pPr>
        <w:spacing w:line="360" w:lineRule="auto"/>
        <w:ind w:left="567" w:hanging="567"/>
      </w:pPr>
      <w:proofErr w:type="spellStart"/>
      <w:r w:rsidRPr="00A03898">
        <w:lastRenderedPageBreak/>
        <w:t>Westlund</w:t>
      </w:r>
      <w:proofErr w:type="spellEnd"/>
      <w:r w:rsidRPr="00A03898">
        <w:t>, H.</w:t>
      </w:r>
      <w:r w:rsidR="00912FC0" w:rsidRPr="00A03898">
        <w:t>,</w:t>
      </w:r>
      <w:r w:rsidRPr="00A03898">
        <w:t xml:space="preserve"> &amp; Olsson,</w:t>
      </w:r>
      <w:r w:rsidR="00912FC0" w:rsidRPr="00A03898">
        <w:t xml:space="preserve"> A. (</w:t>
      </w:r>
      <w:r w:rsidRPr="00A03898">
        <w:t>2011</w:t>
      </w:r>
      <w:r w:rsidR="00912FC0" w:rsidRPr="00A03898">
        <w:t xml:space="preserve">). </w:t>
      </w:r>
      <w:r w:rsidRPr="00A03898">
        <w:t xml:space="preserve">Economic Entrepreneurship, Startups and Their Effects on Local </w:t>
      </w:r>
      <w:r w:rsidR="00912FC0" w:rsidRPr="00A03898">
        <w:t xml:space="preserve">Development: The Case of Sweden. </w:t>
      </w:r>
      <w:r w:rsidRPr="00A03898">
        <w:t>ERSA conference papers ersa11p327, European Regional Science Association.</w:t>
      </w:r>
    </w:p>
    <w:p w14:paraId="5081F40C" w14:textId="7429211F" w:rsidR="00574702" w:rsidRPr="00A03898" w:rsidRDefault="00A17B5A" w:rsidP="009156A4">
      <w:pPr>
        <w:spacing w:line="360" w:lineRule="auto"/>
        <w:ind w:left="567" w:hanging="567"/>
        <w:rPr>
          <w:lang w:val="en-GB" w:eastAsia="hr-HR"/>
        </w:rPr>
      </w:pPr>
      <w:proofErr w:type="spellStart"/>
      <w:r w:rsidRPr="00A03898">
        <w:rPr>
          <w:lang w:val="en-GB" w:eastAsia="hr-HR"/>
        </w:rPr>
        <w:t>Wyrwich</w:t>
      </w:r>
      <w:proofErr w:type="spellEnd"/>
      <w:r w:rsidRPr="00A03898">
        <w:rPr>
          <w:lang w:val="en-GB" w:eastAsia="hr-HR"/>
        </w:rPr>
        <w:t>, M. (</w:t>
      </w:r>
      <w:r w:rsidR="002F4D8F" w:rsidRPr="00A03898">
        <w:rPr>
          <w:lang w:val="en-GB" w:eastAsia="hr-HR"/>
        </w:rPr>
        <w:t>2010</w:t>
      </w:r>
      <w:r w:rsidRPr="00A03898">
        <w:rPr>
          <w:lang w:val="en-GB" w:eastAsia="hr-HR"/>
        </w:rPr>
        <w:t>).</w:t>
      </w:r>
      <w:r w:rsidR="002F4D8F" w:rsidRPr="00A03898">
        <w:rPr>
          <w:lang w:val="en-GB" w:eastAsia="hr-HR"/>
        </w:rPr>
        <w:t xml:space="preserve"> Assessing the role of strategy and “socioeconomic heritage” for rapidly growi</w:t>
      </w:r>
      <w:r w:rsidRPr="00A03898">
        <w:rPr>
          <w:lang w:val="en-GB" w:eastAsia="hr-HR"/>
        </w:rPr>
        <w:t>ng firms: evidence from Germany.</w:t>
      </w:r>
      <w:r w:rsidR="002F4D8F" w:rsidRPr="00A03898">
        <w:rPr>
          <w:lang w:val="en-GB" w:eastAsia="hr-HR"/>
        </w:rPr>
        <w:t xml:space="preserve"> </w:t>
      </w:r>
      <w:r w:rsidR="002F4D8F" w:rsidRPr="00A03898">
        <w:rPr>
          <w:i/>
          <w:lang w:val="en-GB" w:eastAsia="hr-HR"/>
        </w:rPr>
        <w:t>International Journal for Entrepreneurial Venturing</w:t>
      </w:r>
      <w:r w:rsidRPr="00A03898">
        <w:rPr>
          <w:lang w:val="en-GB" w:eastAsia="hr-HR"/>
        </w:rPr>
        <w:t>, 1(</w:t>
      </w:r>
      <w:r w:rsidR="002F4D8F" w:rsidRPr="00A03898">
        <w:rPr>
          <w:lang w:val="en-GB" w:eastAsia="hr-HR"/>
        </w:rPr>
        <w:t>3</w:t>
      </w:r>
      <w:r w:rsidRPr="00A03898">
        <w:rPr>
          <w:lang w:val="en-GB" w:eastAsia="hr-HR"/>
        </w:rPr>
        <w:t>)</w:t>
      </w:r>
      <w:r w:rsidR="002F4D8F" w:rsidRPr="00A03898">
        <w:rPr>
          <w:lang w:val="en-GB" w:eastAsia="hr-HR"/>
        </w:rPr>
        <w:t>, 245-263</w:t>
      </w:r>
      <w:r w:rsidRPr="00A03898">
        <w:rPr>
          <w:lang w:val="en-GB" w:eastAsia="hr-HR"/>
        </w:rPr>
        <w:t>.</w:t>
      </w:r>
    </w:p>
    <w:sectPr w:rsidR="00574702" w:rsidRPr="00A03898" w:rsidSect="00AC5DC0">
      <w:footerReference w:type="defaul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7C2AD5" w14:textId="77777777" w:rsidR="009E7EC9" w:rsidRDefault="009E7EC9">
      <w:r>
        <w:separator/>
      </w:r>
    </w:p>
  </w:endnote>
  <w:endnote w:type="continuationSeparator" w:id="0">
    <w:p w14:paraId="785A9266" w14:textId="77777777" w:rsidR="009E7EC9" w:rsidRDefault="009E7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Corbel"/>
    <w:panose1 w:val="02000503000000020004"/>
    <w:charset w:val="00"/>
    <w:family w:val="auto"/>
    <w:pitch w:val="variable"/>
    <w:sig w:usb0="E50002FF" w:usb1="500079DB" w:usb2="00000010" w:usb3="00000000" w:csb0="00000001" w:csb1="00000000"/>
  </w:font>
  <w:font w:name="Segoe UI">
    <w:altName w:val="Calibr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pleSystemUIFont">
    <w:altName w:val="Calibri"/>
    <w:panose1 w:val="020B0604020202020204"/>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ACE43" w14:textId="3D169411" w:rsidR="00647B95" w:rsidRPr="00C3011D" w:rsidRDefault="00647B95">
    <w:pPr>
      <w:pStyle w:val="Footer"/>
      <w:tabs>
        <w:tab w:val="clear" w:pos="9072"/>
        <w:tab w:val="right" w:pos="9046"/>
      </w:tabs>
      <w:jc w:val="right"/>
      <w:rPr>
        <w:rFonts w:ascii="Times New Roman" w:hAnsi="Times New Roman" w:cs="Times New Roman"/>
        <w:sz w:val="20"/>
        <w:szCs w:val="20"/>
      </w:rPr>
    </w:pPr>
    <w:r w:rsidRPr="00C3011D">
      <w:rPr>
        <w:rFonts w:ascii="Times New Roman" w:hAnsi="Times New Roman" w:cs="Times New Roman"/>
        <w:sz w:val="20"/>
        <w:szCs w:val="20"/>
      </w:rPr>
      <w:fldChar w:fldCharType="begin"/>
    </w:r>
    <w:r w:rsidRPr="00C3011D">
      <w:rPr>
        <w:rFonts w:ascii="Times New Roman" w:hAnsi="Times New Roman" w:cs="Times New Roman"/>
        <w:sz w:val="20"/>
        <w:szCs w:val="20"/>
      </w:rPr>
      <w:instrText xml:space="preserve"> PAGE </w:instrText>
    </w:r>
    <w:r w:rsidRPr="00C3011D">
      <w:rPr>
        <w:rFonts w:ascii="Times New Roman" w:hAnsi="Times New Roman" w:cs="Times New Roman"/>
        <w:sz w:val="20"/>
        <w:szCs w:val="20"/>
      </w:rPr>
      <w:fldChar w:fldCharType="separate"/>
    </w:r>
    <w:r w:rsidR="00C336E2">
      <w:rPr>
        <w:rFonts w:ascii="Times New Roman" w:hAnsi="Times New Roman" w:cs="Times New Roman"/>
        <w:noProof/>
        <w:sz w:val="20"/>
        <w:szCs w:val="20"/>
      </w:rPr>
      <w:t>21</w:t>
    </w:r>
    <w:r w:rsidRPr="00C3011D">
      <w:rPr>
        <w:rFonts w:ascii="Times New Roman" w:hAnsi="Times New Roman" w:cs="Times New Roman"/>
        <w:sz w:val="20"/>
        <w:szCs w:val="20"/>
      </w:rPr>
      <w:fldChar w:fldCharType="end"/>
    </w:r>
  </w:p>
  <w:p w14:paraId="540758BF" w14:textId="77777777" w:rsidR="00647B95" w:rsidRDefault="00647B9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56B1E1" w14:textId="77777777" w:rsidR="009E7EC9" w:rsidRDefault="009E7EC9">
      <w:r>
        <w:separator/>
      </w:r>
    </w:p>
  </w:footnote>
  <w:footnote w:type="continuationSeparator" w:id="0">
    <w:p w14:paraId="76C7ABA4" w14:textId="77777777" w:rsidR="009E7EC9" w:rsidRDefault="009E7EC9">
      <w:r>
        <w:continuationSeparator/>
      </w:r>
    </w:p>
  </w:footnote>
  <w:footnote w:id="1">
    <w:p w14:paraId="422EB110" w14:textId="6B47F0A0" w:rsidR="00647B95" w:rsidRPr="009850EF" w:rsidRDefault="00647B95" w:rsidP="00BD7E11">
      <w:pPr>
        <w:pStyle w:val="FootnoteText"/>
        <w:jc w:val="both"/>
        <w:rPr>
          <w:lang w:val="hr-HR"/>
        </w:rPr>
      </w:pPr>
      <w:r>
        <w:rPr>
          <w:rStyle w:val="FootnoteReference"/>
        </w:rPr>
        <w:footnoteRef/>
      </w:r>
      <w:r>
        <w:t xml:space="preserve"> </w:t>
      </w:r>
      <w:r>
        <w:rPr>
          <w:lang w:val="hr-HR"/>
        </w:rPr>
        <w:t xml:space="preserve">For detailed description of the database see Online Appendix to the paper. </w:t>
      </w:r>
    </w:p>
  </w:footnote>
  <w:footnote w:id="2">
    <w:p w14:paraId="7D7C0E44" w14:textId="77777777" w:rsidR="00647B95" w:rsidRPr="00EC5F47" w:rsidRDefault="00647B95" w:rsidP="00722F92">
      <w:pPr>
        <w:pStyle w:val="FootnoteText"/>
        <w:jc w:val="both"/>
        <w:rPr>
          <w:lang w:val="hr-HR"/>
        </w:rPr>
      </w:pPr>
      <w:r>
        <w:rPr>
          <w:rStyle w:val="FootnoteReference"/>
        </w:rPr>
        <w:footnoteRef/>
      </w:r>
      <w:r>
        <w:t xml:space="preserve"> </w:t>
      </w:r>
      <w:r w:rsidRPr="00EC5F47">
        <w:t>This finding is particularly relevant since our baseline models yielded insignificant coefficient on impact of forward participation in EU13 value chains on entry share but inclusion of interaction term with technological intensity makes both variables highly statistically significant.</w:t>
      </w:r>
      <w:r>
        <w:t xml:space="preserve"> Printouts available on request.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952B29"/>
    <w:multiLevelType w:val="hybridMultilevel"/>
    <w:tmpl w:val="E5544A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14ED098C"/>
    <w:multiLevelType w:val="hybridMultilevel"/>
    <w:tmpl w:val="F1922938"/>
    <w:styleLink w:val="ImportedStyle1"/>
    <w:lvl w:ilvl="0" w:tplc="BF442F50">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D045818">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20CE66E">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E80BEBC">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2807CE8">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EA408EE">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CEA5998">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DE2E4BE">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076FC2A">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6271E16"/>
    <w:multiLevelType w:val="hybridMultilevel"/>
    <w:tmpl w:val="F1922938"/>
    <w:numStyleLink w:val="ImportedStyle1"/>
  </w:abstractNum>
  <w:abstractNum w:abstractNumId="3" w15:restartNumberingAfterBreak="0">
    <w:nsid w:val="1FC61A74"/>
    <w:multiLevelType w:val="multilevel"/>
    <w:tmpl w:val="B5F89B44"/>
    <w:lvl w:ilvl="0">
      <w:start w:val="1"/>
      <w:numFmt w:val="decimal"/>
      <w:lvlText w:val="%1."/>
      <w:lvlJc w:val="left"/>
      <w:pPr>
        <w:ind w:left="360" w:hanging="360"/>
      </w:pPr>
      <w:rPr>
        <w:rFonts w:eastAsia="Calibri"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34A67E99"/>
    <w:multiLevelType w:val="hybridMultilevel"/>
    <w:tmpl w:val="5380C9B4"/>
    <w:numStyleLink w:val="ImportedStyle2"/>
  </w:abstractNum>
  <w:abstractNum w:abstractNumId="5" w15:restartNumberingAfterBreak="0">
    <w:nsid w:val="4D95121E"/>
    <w:multiLevelType w:val="hybridMultilevel"/>
    <w:tmpl w:val="68F874F6"/>
    <w:lvl w:ilvl="0" w:tplc="892841D2">
      <w:numFmt w:val="bullet"/>
      <w:lvlText w:val="-"/>
      <w:lvlJc w:val="left"/>
      <w:pPr>
        <w:ind w:left="720" w:hanging="360"/>
      </w:pPr>
      <w:rPr>
        <w:rFonts w:ascii="Times New Roman" w:eastAsia="Arial Unicode MS"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62936AEC"/>
    <w:multiLevelType w:val="hybridMultilevel"/>
    <w:tmpl w:val="5380C9B4"/>
    <w:styleLink w:val="ImportedStyle2"/>
    <w:lvl w:ilvl="0" w:tplc="7D4E78B8">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9D2AF8A">
      <w:start w:val="1"/>
      <w:numFmt w:val="bullet"/>
      <w:lvlText w:val="o"/>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F06F5D8">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s>
        <w:ind w:left="1680" w:hanging="2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AAA138A">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4A62FF8">
      <w:start w:val="1"/>
      <w:numFmt w:val="bullet"/>
      <w:lvlText w:val="o"/>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0BE63BA">
      <w:start w:val="1"/>
      <w:numFmt w:val="bullet"/>
      <w:lvlText w:val="▪"/>
      <w:lvlJc w:val="left"/>
      <w:pPr>
        <w:tabs>
          <w:tab w:val="left" w:pos="560"/>
          <w:tab w:val="left" w:pos="1120"/>
          <w:tab w:val="left" w:pos="1680"/>
          <w:tab w:val="left" w:pos="2240"/>
          <w:tab w:val="left" w:pos="2800"/>
          <w:tab w:val="left" w:pos="3360"/>
          <w:tab w:val="left" w:pos="4480"/>
          <w:tab w:val="left" w:pos="5040"/>
          <w:tab w:val="left" w:pos="5600"/>
          <w:tab w:val="left" w:pos="6160"/>
          <w:tab w:val="left" w:pos="6720"/>
        </w:tabs>
        <w:ind w:left="3920" w:hanging="3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3C6303C">
      <w:start w:val="1"/>
      <w:numFmt w:val="bullet"/>
      <w:lvlText w:val="·"/>
      <w:lvlJc w:val="left"/>
      <w:pPr>
        <w:tabs>
          <w:tab w:val="left" w:pos="560"/>
          <w:tab w:val="left" w:pos="1120"/>
          <w:tab w:val="left" w:pos="1680"/>
          <w:tab w:val="left" w:pos="2240"/>
          <w:tab w:val="left" w:pos="2800"/>
          <w:tab w:val="left" w:pos="3360"/>
          <w:tab w:val="left" w:pos="3920"/>
          <w:tab w:val="left" w:pos="5040"/>
          <w:tab w:val="left" w:pos="5600"/>
          <w:tab w:val="left" w:pos="6160"/>
          <w:tab w:val="left" w:pos="6720"/>
        </w:tabs>
        <w:ind w:left="4480" w:hanging="1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FAEC5C4">
      <w:start w:val="1"/>
      <w:numFmt w:val="bullet"/>
      <w:lvlText w:val="o"/>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E524322">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69830899"/>
    <w:multiLevelType w:val="hybridMultilevel"/>
    <w:tmpl w:val="C02E32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6"/>
  </w:num>
  <w:num w:numId="4">
    <w:abstractNumId w:val="4"/>
  </w:num>
  <w:num w:numId="5">
    <w:abstractNumId w:val="3"/>
  </w:num>
  <w:num w:numId="6">
    <w:abstractNumId w:val="0"/>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activeWritingStyle w:appName="MSWord" w:lang="en-GB" w:vendorID="64" w:dllVersion="6" w:nlCheck="1" w:checkStyle="1"/>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de-DE" w:vendorID="64" w:dllVersion="4096" w:nlCheck="1" w:checkStyle="0"/>
  <w:activeWritingStyle w:appName="MSWord" w:lang="de-DE"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I1NbIwM7e0MDa0MDBX0lEKTi0uzszPAykwqgUARwmVbCwAAAA="/>
  </w:docVars>
  <w:rsids>
    <w:rsidRoot w:val="00486814"/>
    <w:rsid w:val="00000655"/>
    <w:rsid w:val="00000D1E"/>
    <w:rsid w:val="00001108"/>
    <w:rsid w:val="0000164A"/>
    <w:rsid w:val="00001E94"/>
    <w:rsid w:val="0000234F"/>
    <w:rsid w:val="0000265A"/>
    <w:rsid w:val="00002950"/>
    <w:rsid w:val="00002A24"/>
    <w:rsid w:val="00002C66"/>
    <w:rsid w:val="00002D33"/>
    <w:rsid w:val="00003229"/>
    <w:rsid w:val="0000330C"/>
    <w:rsid w:val="000048D2"/>
    <w:rsid w:val="00004A77"/>
    <w:rsid w:val="00004B38"/>
    <w:rsid w:val="00004D6F"/>
    <w:rsid w:val="0000513A"/>
    <w:rsid w:val="0000648D"/>
    <w:rsid w:val="00006EB8"/>
    <w:rsid w:val="000074AA"/>
    <w:rsid w:val="000075B7"/>
    <w:rsid w:val="00007FF5"/>
    <w:rsid w:val="00010591"/>
    <w:rsid w:val="00010BF7"/>
    <w:rsid w:val="00010E82"/>
    <w:rsid w:val="00011080"/>
    <w:rsid w:val="000118BA"/>
    <w:rsid w:val="0001195D"/>
    <w:rsid w:val="000121EF"/>
    <w:rsid w:val="00012323"/>
    <w:rsid w:val="00013242"/>
    <w:rsid w:val="00013D81"/>
    <w:rsid w:val="00013DDA"/>
    <w:rsid w:val="00013E32"/>
    <w:rsid w:val="00014C22"/>
    <w:rsid w:val="000154E9"/>
    <w:rsid w:val="00015542"/>
    <w:rsid w:val="00015722"/>
    <w:rsid w:val="00015D9B"/>
    <w:rsid w:val="00015DF4"/>
    <w:rsid w:val="000164B4"/>
    <w:rsid w:val="000165FD"/>
    <w:rsid w:val="000169B2"/>
    <w:rsid w:val="00016E62"/>
    <w:rsid w:val="000173D7"/>
    <w:rsid w:val="00017674"/>
    <w:rsid w:val="00017ED1"/>
    <w:rsid w:val="00020495"/>
    <w:rsid w:val="0002084E"/>
    <w:rsid w:val="00021478"/>
    <w:rsid w:val="00021AE0"/>
    <w:rsid w:val="00021C13"/>
    <w:rsid w:val="00023583"/>
    <w:rsid w:val="00024241"/>
    <w:rsid w:val="000264D8"/>
    <w:rsid w:val="000265DC"/>
    <w:rsid w:val="00026849"/>
    <w:rsid w:val="00026B0F"/>
    <w:rsid w:val="00026B83"/>
    <w:rsid w:val="00026C66"/>
    <w:rsid w:val="000274EF"/>
    <w:rsid w:val="00027FA7"/>
    <w:rsid w:val="00030347"/>
    <w:rsid w:val="00030BE5"/>
    <w:rsid w:val="00030D13"/>
    <w:rsid w:val="00031754"/>
    <w:rsid w:val="0003185D"/>
    <w:rsid w:val="00031871"/>
    <w:rsid w:val="00031A3B"/>
    <w:rsid w:val="00031A56"/>
    <w:rsid w:val="00031D90"/>
    <w:rsid w:val="0003211B"/>
    <w:rsid w:val="00032A5F"/>
    <w:rsid w:val="00032C8B"/>
    <w:rsid w:val="000330A3"/>
    <w:rsid w:val="0003329E"/>
    <w:rsid w:val="000336A5"/>
    <w:rsid w:val="00033DEA"/>
    <w:rsid w:val="000342AE"/>
    <w:rsid w:val="000343E9"/>
    <w:rsid w:val="00034CA6"/>
    <w:rsid w:val="00034E9E"/>
    <w:rsid w:val="00034FDB"/>
    <w:rsid w:val="000355B4"/>
    <w:rsid w:val="0003589D"/>
    <w:rsid w:val="00035E84"/>
    <w:rsid w:val="00036C4F"/>
    <w:rsid w:val="00036FF5"/>
    <w:rsid w:val="00037486"/>
    <w:rsid w:val="00037732"/>
    <w:rsid w:val="000378D3"/>
    <w:rsid w:val="00040822"/>
    <w:rsid w:val="00040A63"/>
    <w:rsid w:val="00041953"/>
    <w:rsid w:val="00041FFE"/>
    <w:rsid w:val="00042282"/>
    <w:rsid w:val="000423E0"/>
    <w:rsid w:val="00042616"/>
    <w:rsid w:val="000429B3"/>
    <w:rsid w:val="00042AFF"/>
    <w:rsid w:val="000434BB"/>
    <w:rsid w:val="000436E0"/>
    <w:rsid w:val="000437EA"/>
    <w:rsid w:val="00043BB3"/>
    <w:rsid w:val="00044663"/>
    <w:rsid w:val="00045009"/>
    <w:rsid w:val="000458DB"/>
    <w:rsid w:val="00045AA0"/>
    <w:rsid w:val="00046C07"/>
    <w:rsid w:val="00046DC2"/>
    <w:rsid w:val="00046F85"/>
    <w:rsid w:val="00050550"/>
    <w:rsid w:val="00050CFC"/>
    <w:rsid w:val="00050D64"/>
    <w:rsid w:val="00050FB4"/>
    <w:rsid w:val="00051F25"/>
    <w:rsid w:val="0005207D"/>
    <w:rsid w:val="0005254A"/>
    <w:rsid w:val="0005257A"/>
    <w:rsid w:val="000528B1"/>
    <w:rsid w:val="00052F2F"/>
    <w:rsid w:val="0005345F"/>
    <w:rsid w:val="00053576"/>
    <w:rsid w:val="00054327"/>
    <w:rsid w:val="000544FE"/>
    <w:rsid w:val="0005477A"/>
    <w:rsid w:val="00054D97"/>
    <w:rsid w:val="00055392"/>
    <w:rsid w:val="00055871"/>
    <w:rsid w:val="00055A26"/>
    <w:rsid w:val="00055C2E"/>
    <w:rsid w:val="000561FF"/>
    <w:rsid w:val="000563B5"/>
    <w:rsid w:val="00056C48"/>
    <w:rsid w:val="00056E6F"/>
    <w:rsid w:val="00056F37"/>
    <w:rsid w:val="0005777F"/>
    <w:rsid w:val="00057834"/>
    <w:rsid w:val="00057A33"/>
    <w:rsid w:val="00057A70"/>
    <w:rsid w:val="00057AD8"/>
    <w:rsid w:val="00057DAA"/>
    <w:rsid w:val="00057FD9"/>
    <w:rsid w:val="00060600"/>
    <w:rsid w:val="00060A21"/>
    <w:rsid w:val="00060F61"/>
    <w:rsid w:val="0006196D"/>
    <w:rsid w:val="00061E3B"/>
    <w:rsid w:val="00062374"/>
    <w:rsid w:val="0006256E"/>
    <w:rsid w:val="00062881"/>
    <w:rsid w:val="00062F0C"/>
    <w:rsid w:val="00063516"/>
    <w:rsid w:val="00063FD5"/>
    <w:rsid w:val="00064791"/>
    <w:rsid w:val="00064E1F"/>
    <w:rsid w:val="00064EE9"/>
    <w:rsid w:val="00064FF4"/>
    <w:rsid w:val="0006536B"/>
    <w:rsid w:val="000661BA"/>
    <w:rsid w:val="00066CF7"/>
    <w:rsid w:val="00066D52"/>
    <w:rsid w:val="00066E9F"/>
    <w:rsid w:val="000678E7"/>
    <w:rsid w:val="0007004A"/>
    <w:rsid w:val="0007033E"/>
    <w:rsid w:val="0007046F"/>
    <w:rsid w:val="00070735"/>
    <w:rsid w:val="00070AF7"/>
    <w:rsid w:val="00070D43"/>
    <w:rsid w:val="00070FDD"/>
    <w:rsid w:val="0007100D"/>
    <w:rsid w:val="00071139"/>
    <w:rsid w:val="0007136A"/>
    <w:rsid w:val="000714AA"/>
    <w:rsid w:val="00073069"/>
    <w:rsid w:val="000734A2"/>
    <w:rsid w:val="00073AAB"/>
    <w:rsid w:val="000740D2"/>
    <w:rsid w:val="00074466"/>
    <w:rsid w:val="00074DE3"/>
    <w:rsid w:val="00075281"/>
    <w:rsid w:val="00075A4C"/>
    <w:rsid w:val="00076280"/>
    <w:rsid w:val="00076636"/>
    <w:rsid w:val="00076949"/>
    <w:rsid w:val="000770CE"/>
    <w:rsid w:val="000774EC"/>
    <w:rsid w:val="00077D8C"/>
    <w:rsid w:val="00080167"/>
    <w:rsid w:val="00080874"/>
    <w:rsid w:val="0008088D"/>
    <w:rsid w:val="00080A84"/>
    <w:rsid w:val="00081395"/>
    <w:rsid w:val="00081C12"/>
    <w:rsid w:val="00082B16"/>
    <w:rsid w:val="00082DB7"/>
    <w:rsid w:val="00082E37"/>
    <w:rsid w:val="00082E6A"/>
    <w:rsid w:val="0008302F"/>
    <w:rsid w:val="0008310C"/>
    <w:rsid w:val="00083E81"/>
    <w:rsid w:val="000848C0"/>
    <w:rsid w:val="00084E52"/>
    <w:rsid w:val="00084F8C"/>
    <w:rsid w:val="00085453"/>
    <w:rsid w:val="000854B7"/>
    <w:rsid w:val="00085950"/>
    <w:rsid w:val="00085CDB"/>
    <w:rsid w:val="00085EB7"/>
    <w:rsid w:val="00086980"/>
    <w:rsid w:val="00086ED8"/>
    <w:rsid w:val="0008713B"/>
    <w:rsid w:val="0008720E"/>
    <w:rsid w:val="0009075A"/>
    <w:rsid w:val="000909FF"/>
    <w:rsid w:val="00090C6C"/>
    <w:rsid w:val="000926B2"/>
    <w:rsid w:val="00092704"/>
    <w:rsid w:val="00092B4A"/>
    <w:rsid w:val="00092D9F"/>
    <w:rsid w:val="000931BB"/>
    <w:rsid w:val="0009388D"/>
    <w:rsid w:val="000939C6"/>
    <w:rsid w:val="00093DCC"/>
    <w:rsid w:val="00093E17"/>
    <w:rsid w:val="00094A74"/>
    <w:rsid w:val="00094F51"/>
    <w:rsid w:val="00094F7A"/>
    <w:rsid w:val="0009540C"/>
    <w:rsid w:val="0009550D"/>
    <w:rsid w:val="000955B4"/>
    <w:rsid w:val="00095616"/>
    <w:rsid w:val="00095BAE"/>
    <w:rsid w:val="00095E27"/>
    <w:rsid w:val="00096596"/>
    <w:rsid w:val="00096FC5"/>
    <w:rsid w:val="0009709D"/>
    <w:rsid w:val="0009778A"/>
    <w:rsid w:val="00097925"/>
    <w:rsid w:val="00097C8A"/>
    <w:rsid w:val="00097FE1"/>
    <w:rsid w:val="000A023F"/>
    <w:rsid w:val="000A08D2"/>
    <w:rsid w:val="000A0C3E"/>
    <w:rsid w:val="000A0ECC"/>
    <w:rsid w:val="000A1910"/>
    <w:rsid w:val="000A1D56"/>
    <w:rsid w:val="000A2400"/>
    <w:rsid w:val="000A25C3"/>
    <w:rsid w:val="000A278B"/>
    <w:rsid w:val="000A2EC9"/>
    <w:rsid w:val="000A3084"/>
    <w:rsid w:val="000A34E3"/>
    <w:rsid w:val="000A36B3"/>
    <w:rsid w:val="000A3AA9"/>
    <w:rsid w:val="000A3AD9"/>
    <w:rsid w:val="000A40A5"/>
    <w:rsid w:val="000A4710"/>
    <w:rsid w:val="000A47CC"/>
    <w:rsid w:val="000A561A"/>
    <w:rsid w:val="000A5B20"/>
    <w:rsid w:val="000A5C4F"/>
    <w:rsid w:val="000A649C"/>
    <w:rsid w:val="000A6AC6"/>
    <w:rsid w:val="000A6F49"/>
    <w:rsid w:val="000A7031"/>
    <w:rsid w:val="000A7A14"/>
    <w:rsid w:val="000A7DCE"/>
    <w:rsid w:val="000B004D"/>
    <w:rsid w:val="000B0061"/>
    <w:rsid w:val="000B0311"/>
    <w:rsid w:val="000B07F5"/>
    <w:rsid w:val="000B08BC"/>
    <w:rsid w:val="000B0CD0"/>
    <w:rsid w:val="000B138B"/>
    <w:rsid w:val="000B24AD"/>
    <w:rsid w:val="000B2530"/>
    <w:rsid w:val="000B2538"/>
    <w:rsid w:val="000B31ED"/>
    <w:rsid w:val="000B39A4"/>
    <w:rsid w:val="000B4148"/>
    <w:rsid w:val="000B502F"/>
    <w:rsid w:val="000B5750"/>
    <w:rsid w:val="000B61B8"/>
    <w:rsid w:val="000B6407"/>
    <w:rsid w:val="000B69BD"/>
    <w:rsid w:val="000B6E23"/>
    <w:rsid w:val="000B77E9"/>
    <w:rsid w:val="000C0425"/>
    <w:rsid w:val="000C072F"/>
    <w:rsid w:val="000C1079"/>
    <w:rsid w:val="000C178A"/>
    <w:rsid w:val="000C17CD"/>
    <w:rsid w:val="000C23E2"/>
    <w:rsid w:val="000C275C"/>
    <w:rsid w:val="000C27DC"/>
    <w:rsid w:val="000C32E9"/>
    <w:rsid w:val="000C3373"/>
    <w:rsid w:val="000C377D"/>
    <w:rsid w:val="000C3C08"/>
    <w:rsid w:val="000C4173"/>
    <w:rsid w:val="000C489D"/>
    <w:rsid w:val="000C4BDF"/>
    <w:rsid w:val="000C4CFE"/>
    <w:rsid w:val="000C5F67"/>
    <w:rsid w:val="000C645B"/>
    <w:rsid w:val="000C69D5"/>
    <w:rsid w:val="000C6BFD"/>
    <w:rsid w:val="000C722D"/>
    <w:rsid w:val="000C7298"/>
    <w:rsid w:val="000C77E6"/>
    <w:rsid w:val="000D0073"/>
    <w:rsid w:val="000D069D"/>
    <w:rsid w:val="000D0D67"/>
    <w:rsid w:val="000D175B"/>
    <w:rsid w:val="000D1998"/>
    <w:rsid w:val="000D2936"/>
    <w:rsid w:val="000D2998"/>
    <w:rsid w:val="000D2F9E"/>
    <w:rsid w:val="000D3062"/>
    <w:rsid w:val="000D473A"/>
    <w:rsid w:val="000D47BD"/>
    <w:rsid w:val="000D4AF0"/>
    <w:rsid w:val="000D5E50"/>
    <w:rsid w:val="000D5E75"/>
    <w:rsid w:val="000D60AC"/>
    <w:rsid w:val="000D67AE"/>
    <w:rsid w:val="000D7B21"/>
    <w:rsid w:val="000E0378"/>
    <w:rsid w:val="000E0626"/>
    <w:rsid w:val="000E0F82"/>
    <w:rsid w:val="000E115D"/>
    <w:rsid w:val="000E12EB"/>
    <w:rsid w:val="000E143F"/>
    <w:rsid w:val="000E185C"/>
    <w:rsid w:val="000E1DDC"/>
    <w:rsid w:val="000E2636"/>
    <w:rsid w:val="000E2B52"/>
    <w:rsid w:val="000E2CD6"/>
    <w:rsid w:val="000E30F6"/>
    <w:rsid w:val="000E3C33"/>
    <w:rsid w:val="000E3C88"/>
    <w:rsid w:val="000E3F2A"/>
    <w:rsid w:val="000E4291"/>
    <w:rsid w:val="000E4954"/>
    <w:rsid w:val="000E5126"/>
    <w:rsid w:val="000E51CA"/>
    <w:rsid w:val="000E57C2"/>
    <w:rsid w:val="000E5EA5"/>
    <w:rsid w:val="000E66DC"/>
    <w:rsid w:val="000E6B40"/>
    <w:rsid w:val="000E6B53"/>
    <w:rsid w:val="000E6E66"/>
    <w:rsid w:val="000E7E52"/>
    <w:rsid w:val="000F0034"/>
    <w:rsid w:val="000F0419"/>
    <w:rsid w:val="000F083D"/>
    <w:rsid w:val="000F1B40"/>
    <w:rsid w:val="000F21FC"/>
    <w:rsid w:val="000F2292"/>
    <w:rsid w:val="000F2A42"/>
    <w:rsid w:val="000F34CE"/>
    <w:rsid w:val="000F3874"/>
    <w:rsid w:val="000F3ED2"/>
    <w:rsid w:val="000F3FFB"/>
    <w:rsid w:val="000F43C1"/>
    <w:rsid w:val="000F4436"/>
    <w:rsid w:val="000F51F6"/>
    <w:rsid w:val="000F5789"/>
    <w:rsid w:val="000F59DE"/>
    <w:rsid w:val="000F6E34"/>
    <w:rsid w:val="000F7AF5"/>
    <w:rsid w:val="0010013C"/>
    <w:rsid w:val="00100BDA"/>
    <w:rsid w:val="001017F7"/>
    <w:rsid w:val="001036F7"/>
    <w:rsid w:val="0010422F"/>
    <w:rsid w:val="001045E1"/>
    <w:rsid w:val="00104C4E"/>
    <w:rsid w:val="00104D5F"/>
    <w:rsid w:val="00105537"/>
    <w:rsid w:val="00105FA0"/>
    <w:rsid w:val="0010657A"/>
    <w:rsid w:val="00106E51"/>
    <w:rsid w:val="00107714"/>
    <w:rsid w:val="00111003"/>
    <w:rsid w:val="0011146F"/>
    <w:rsid w:val="00111AFA"/>
    <w:rsid w:val="00112945"/>
    <w:rsid w:val="00113BDB"/>
    <w:rsid w:val="00114169"/>
    <w:rsid w:val="001141BC"/>
    <w:rsid w:val="001146C0"/>
    <w:rsid w:val="00115ACC"/>
    <w:rsid w:val="00115D67"/>
    <w:rsid w:val="0011688B"/>
    <w:rsid w:val="00116B4B"/>
    <w:rsid w:val="00116C7B"/>
    <w:rsid w:val="00116D21"/>
    <w:rsid w:val="00117588"/>
    <w:rsid w:val="0012013C"/>
    <w:rsid w:val="001203BB"/>
    <w:rsid w:val="00120BBC"/>
    <w:rsid w:val="00121624"/>
    <w:rsid w:val="001216CB"/>
    <w:rsid w:val="001220F0"/>
    <w:rsid w:val="001220F4"/>
    <w:rsid w:val="001225EE"/>
    <w:rsid w:val="001226B2"/>
    <w:rsid w:val="001229AE"/>
    <w:rsid w:val="00123022"/>
    <w:rsid w:val="00123BF9"/>
    <w:rsid w:val="001245A9"/>
    <w:rsid w:val="00124C2C"/>
    <w:rsid w:val="00124D26"/>
    <w:rsid w:val="00124D94"/>
    <w:rsid w:val="00125EB9"/>
    <w:rsid w:val="00126043"/>
    <w:rsid w:val="00126205"/>
    <w:rsid w:val="0012630F"/>
    <w:rsid w:val="00126639"/>
    <w:rsid w:val="00126B94"/>
    <w:rsid w:val="0012709A"/>
    <w:rsid w:val="00127658"/>
    <w:rsid w:val="001277B3"/>
    <w:rsid w:val="001300F5"/>
    <w:rsid w:val="001301FE"/>
    <w:rsid w:val="00130ABC"/>
    <w:rsid w:val="00130BE0"/>
    <w:rsid w:val="00130DA7"/>
    <w:rsid w:val="00131139"/>
    <w:rsid w:val="0013161E"/>
    <w:rsid w:val="001339CE"/>
    <w:rsid w:val="00133B57"/>
    <w:rsid w:val="00133C7E"/>
    <w:rsid w:val="001340E4"/>
    <w:rsid w:val="0013413B"/>
    <w:rsid w:val="00134900"/>
    <w:rsid w:val="00134A98"/>
    <w:rsid w:val="001355A7"/>
    <w:rsid w:val="00135839"/>
    <w:rsid w:val="00135D5D"/>
    <w:rsid w:val="00136A70"/>
    <w:rsid w:val="00136B95"/>
    <w:rsid w:val="00136D8C"/>
    <w:rsid w:val="00137401"/>
    <w:rsid w:val="00137824"/>
    <w:rsid w:val="001405D6"/>
    <w:rsid w:val="00141194"/>
    <w:rsid w:val="00141BAE"/>
    <w:rsid w:val="00141C7D"/>
    <w:rsid w:val="0014272E"/>
    <w:rsid w:val="001429CC"/>
    <w:rsid w:val="00142FD8"/>
    <w:rsid w:val="00143D4B"/>
    <w:rsid w:val="0014420C"/>
    <w:rsid w:val="00144988"/>
    <w:rsid w:val="00144BAC"/>
    <w:rsid w:val="00144EC4"/>
    <w:rsid w:val="0014533E"/>
    <w:rsid w:val="00145652"/>
    <w:rsid w:val="001456F3"/>
    <w:rsid w:val="001457FC"/>
    <w:rsid w:val="00145C71"/>
    <w:rsid w:val="001465A3"/>
    <w:rsid w:val="00146C8F"/>
    <w:rsid w:val="00146EF9"/>
    <w:rsid w:val="001472F2"/>
    <w:rsid w:val="00147A90"/>
    <w:rsid w:val="00147D0D"/>
    <w:rsid w:val="0015107B"/>
    <w:rsid w:val="00151F4C"/>
    <w:rsid w:val="001527EF"/>
    <w:rsid w:val="00152A94"/>
    <w:rsid w:val="00152E33"/>
    <w:rsid w:val="001537BD"/>
    <w:rsid w:val="001538BA"/>
    <w:rsid w:val="00153AEC"/>
    <w:rsid w:val="00153E89"/>
    <w:rsid w:val="00154562"/>
    <w:rsid w:val="00155062"/>
    <w:rsid w:val="00155321"/>
    <w:rsid w:val="00156198"/>
    <w:rsid w:val="001563EA"/>
    <w:rsid w:val="00156690"/>
    <w:rsid w:val="00156842"/>
    <w:rsid w:val="00156981"/>
    <w:rsid w:val="00157922"/>
    <w:rsid w:val="00157C02"/>
    <w:rsid w:val="00157DD5"/>
    <w:rsid w:val="00160A87"/>
    <w:rsid w:val="00160E0A"/>
    <w:rsid w:val="001611D7"/>
    <w:rsid w:val="0016148B"/>
    <w:rsid w:val="00161737"/>
    <w:rsid w:val="00161AC4"/>
    <w:rsid w:val="00163046"/>
    <w:rsid w:val="0016324D"/>
    <w:rsid w:val="001638B0"/>
    <w:rsid w:val="00164568"/>
    <w:rsid w:val="001647AB"/>
    <w:rsid w:val="00164C1A"/>
    <w:rsid w:val="0016504A"/>
    <w:rsid w:val="00165193"/>
    <w:rsid w:val="00165566"/>
    <w:rsid w:val="00165820"/>
    <w:rsid w:val="00165C45"/>
    <w:rsid w:val="0016600A"/>
    <w:rsid w:val="001663E4"/>
    <w:rsid w:val="001664F4"/>
    <w:rsid w:val="00166CBE"/>
    <w:rsid w:val="00170F04"/>
    <w:rsid w:val="00171014"/>
    <w:rsid w:val="0017362E"/>
    <w:rsid w:val="00173878"/>
    <w:rsid w:val="00173E2F"/>
    <w:rsid w:val="0017449B"/>
    <w:rsid w:val="00174B45"/>
    <w:rsid w:val="00174C0D"/>
    <w:rsid w:val="00175CD0"/>
    <w:rsid w:val="0017641F"/>
    <w:rsid w:val="001768DF"/>
    <w:rsid w:val="001779FD"/>
    <w:rsid w:val="0018015D"/>
    <w:rsid w:val="00180F9D"/>
    <w:rsid w:val="00180FB6"/>
    <w:rsid w:val="00180FC0"/>
    <w:rsid w:val="001810B5"/>
    <w:rsid w:val="00181206"/>
    <w:rsid w:val="0018159F"/>
    <w:rsid w:val="00182FA0"/>
    <w:rsid w:val="001831CA"/>
    <w:rsid w:val="00183790"/>
    <w:rsid w:val="0018489A"/>
    <w:rsid w:val="00184D56"/>
    <w:rsid w:val="00184E13"/>
    <w:rsid w:val="00184F88"/>
    <w:rsid w:val="001851F1"/>
    <w:rsid w:val="001852D3"/>
    <w:rsid w:val="00185824"/>
    <w:rsid w:val="001861A3"/>
    <w:rsid w:val="00186240"/>
    <w:rsid w:val="001863C0"/>
    <w:rsid w:val="001863EB"/>
    <w:rsid w:val="00186B29"/>
    <w:rsid w:val="00187097"/>
    <w:rsid w:val="00187128"/>
    <w:rsid w:val="00187138"/>
    <w:rsid w:val="0018734B"/>
    <w:rsid w:val="00187421"/>
    <w:rsid w:val="00187508"/>
    <w:rsid w:val="0018781D"/>
    <w:rsid w:val="00190263"/>
    <w:rsid w:val="001903CE"/>
    <w:rsid w:val="00190726"/>
    <w:rsid w:val="00191468"/>
    <w:rsid w:val="001914FE"/>
    <w:rsid w:val="001921FE"/>
    <w:rsid w:val="001927F4"/>
    <w:rsid w:val="0019285A"/>
    <w:rsid w:val="00192CDD"/>
    <w:rsid w:val="00193797"/>
    <w:rsid w:val="001938F3"/>
    <w:rsid w:val="001939C1"/>
    <w:rsid w:val="00193CEF"/>
    <w:rsid w:val="00193FCC"/>
    <w:rsid w:val="00194036"/>
    <w:rsid w:val="001945B7"/>
    <w:rsid w:val="00194833"/>
    <w:rsid w:val="00195273"/>
    <w:rsid w:val="00195B31"/>
    <w:rsid w:val="00195F1C"/>
    <w:rsid w:val="001966C8"/>
    <w:rsid w:val="0019706D"/>
    <w:rsid w:val="00197CA1"/>
    <w:rsid w:val="001A043F"/>
    <w:rsid w:val="001A0E0B"/>
    <w:rsid w:val="001A116C"/>
    <w:rsid w:val="001A133B"/>
    <w:rsid w:val="001A1666"/>
    <w:rsid w:val="001A17E9"/>
    <w:rsid w:val="001A19CD"/>
    <w:rsid w:val="001A22BE"/>
    <w:rsid w:val="001A236D"/>
    <w:rsid w:val="001A2AA9"/>
    <w:rsid w:val="001A2CC3"/>
    <w:rsid w:val="001A35B7"/>
    <w:rsid w:val="001A3917"/>
    <w:rsid w:val="001A4047"/>
    <w:rsid w:val="001A4221"/>
    <w:rsid w:val="001A448F"/>
    <w:rsid w:val="001A47E1"/>
    <w:rsid w:val="001A55AA"/>
    <w:rsid w:val="001A5A4C"/>
    <w:rsid w:val="001A5E12"/>
    <w:rsid w:val="001A5E25"/>
    <w:rsid w:val="001A70F6"/>
    <w:rsid w:val="001A7882"/>
    <w:rsid w:val="001B075B"/>
    <w:rsid w:val="001B09FA"/>
    <w:rsid w:val="001B0A5F"/>
    <w:rsid w:val="001B1091"/>
    <w:rsid w:val="001B11AA"/>
    <w:rsid w:val="001B14C1"/>
    <w:rsid w:val="001B1789"/>
    <w:rsid w:val="001B20F2"/>
    <w:rsid w:val="001B23E9"/>
    <w:rsid w:val="001B277E"/>
    <w:rsid w:val="001B298A"/>
    <w:rsid w:val="001B2B34"/>
    <w:rsid w:val="001B2EE5"/>
    <w:rsid w:val="001B31F0"/>
    <w:rsid w:val="001B32FF"/>
    <w:rsid w:val="001B4406"/>
    <w:rsid w:val="001B469B"/>
    <w:rsid w:val="001B51C3"/>
    <w:rsid w:val="001B653E"/>
    <w:rsid w:val="001B68F8"/>
    <w:rsid w:val="001B6B92"/>
    <w:rsid w:val="001B7192"/>
    <w:rsid w:val="001B724B"/>
    <w:rsid w:val="001B7364"/>
    <w:rsid w:val="001B76CB"/>
    <w:rsid w:val="001B7C90"/>
    <w:rsid w:val="001B7D7D"/>
    <w:rsid w:val="001C0615"/>
    <w:rsid w:val="001C0C02"/>
    <w:rsid w:val="001C2455"/>
    <w:rsid w:val="001C2625"/>
    <w:rsid w:val="001C2EB6"/>
    <w:rsid w:val="001C3FAB"/>
    <w:rsid w:val="001C4224"/>
    <w:rsid w:val="001C4398"/>
    <w:rsid w:val="001C49EC"/>
    <w:rsid w:val="001C4BDF"/>
    <w:rsid w:val="001C4C6B"/>
    <w:rsid w:val="001C4D2B"/>
    <w:rsid w:val="001C4E69"/>
    <w:rsid w:val="001C51A7"/>
    <w:rsid w:val="001C51F6"/>
    <w:rsid w:val="001C54CD"/>
    <w:rsid w:val="001C554B"/>
    <w:rsid w:val="001C5AB8"/>
    <w:rsid w:val="001C60FD"/>
    <w:rsid w:val="001C6867"/>
    <w:rsid w:val="001C7FBF"/>
    <w:rsid w:val="001D01C3"/>
    <w:rsid w:val="001D1093"/>
    <w:rsid w:val="001D1172"/>
    <w:rsid w:val="001D1221"/>
    <w:rsid w:val="001D1480"/>
    <w:rsid w:val="001D37A4"/>
    <w:rsid w:val="001D392E"/>
    <w:rsid w:val="001D3C94"/>
    <w:rsid w:val="001D4678"/>
    <w:rsid w:val="001D49CC"/>
    <w:rsid w:val="001D4DB4"/>
    <w:rsid w:val="001D4EB6"/>
    <w:rsid w:val="001D4F73"/>
    <w:rsid w:val="001D54E6"/>
    <w:rsid w:val="001D5698"/>
    <w:rsid w:val="001D56F0"/>
    <w:rsid w:val="001D5FE2"/>
    <w:rsid w:val="001D66E1"/>
    <w:rsid w:val="001D6E67"/>
    <w:rsid w:val="001D6EC1"/>
    <w:rsid w:val="001D6F05"/>
    <w:rsid w:val="001D73EE"/>
    <w:rsid w:val="001E003D"/>
    <w:rsid w:val="001E0525"/>
    <w:rsid w:val="001E0D17"/>
    <w:rsid w:val="001E0D82"/>
    <w:rsid w:val="001E122F"/>
    <w:rsid w:val="001E2A5D"/>
    <w:rsid w:val="001E2D86"/>
    <w:rsid w:val="001E3060"/>
    <w:rsid w:val="001E38B4"/>
    <w:rsid w:val="001E3AB8"/>
    <w:rsid w:val="001E4773"/>
    <w:rsid w:val="001E5A7B"/>
    <w:rsid w:val="001E5B05"/>
    <w:rsid w:val="001E60E3"/>
    <w:rsid w:val="001E6AB9"/>
    <w:rsid w:val="001E6BDF"/>
    <w:rsid w:val="001E760B"/>
    <w:rsid w:val="001E77F2"/>
    <w:rsid w:val="001E7FB0"/>
    <w:rsid w:val="001F0631"/>
    <w:rsid w:val="001F077A"/>
    <w:rsid w:val="001F0E76"/>
    <w:rsid w:val="001F0E8A"/>
    <w:rsid w:val="001F11D3"/>
    <w:rsid w:val="001F1394"/>
    <w:rsid w:val="001F16F4"/>
    <w:rsid w:val="001F1737"/>
    <w:rsid w:val="001F1A01"/>
    <w:rsid w:val="001F1F13"/>
    <w:rsid w:val="001F320D"/>
    <w:rsid w:val="001F38CF"/>
    <w:rsid w:val="001F4535"/>
    <w:rsid w:val="001F45B3"/>
    <w:rsid w:val="001F4B6A"/>
    <w:rsid w:val="001F4D3C"/>
    <w:rsid w:val="001F5455"/>
    <w:rsid w:val="001F55DB"/>
    <w:rsid w:val="001F6445"/>
    <w:rsid w:val="001F6564"/>
    <w:rsid w:val="001F687C"/>
    <w:rsid w:val="001F783D"/>
    <w:rsid w:val="001F7A46"/>
    <w:rsid w:val="002001C5"/>
    <w:rsid w:val="00201F7E"/>
    <w:rsid w:val="0020215D"/>
    <w:rsid w:val="00202475"/>
    <w:rsid w:val="0020257B"/>
    <w:rsid w:val="00202C73"/>
    <w:rsid w:val="002031E1"/>
    <w:rsid w:val="00203759"/>
    <w:rsid w:val="00203766"/>
    <w:rsid w:val="00203A8E"/>
    <w:rsid w:val="00203B33"/>
    <w:rsid w:val="00203EEF"/>
    <w:rsid w:val="00203F5C"/>
    <w:rsid w:val="00204C2F"/>
    <w:rsid w:val="00205039"/>
    <w:rsid w:val="00205C74"/>
    <w:rsid w:val="00205E2D"/>
    <w:rsid w:val="00205E7A"/>
    <w:rsid w:val="00205F36"/>
    <w:rsid w:val="00206DD3"/>
    <w:rsid w:val="00206F89"/>
    <w:rsid w:val="002070F0"/>
    <w:rsid w:val="00207898"/>
    <w:rsid w:val="00207BB5"/>
    <w:rsid w:val="00207E50"/>
    <w:rsid w:val="00210194"/>
    <w:rsid w:val="00210433"/>
    <w:rsid w:val="00210BCA"/>
    <w:rsid w:val="00210FC9"/>
    <w:rsid w:val="0021124E"/>
    <w:rsid w:val="00211697"/>
    <w:rsid w:val="00212658"/>
    <w:rsid w:val="002127C4"/>
    <w:rsid w:val="00212A3E"/>
    <w:rsid w:val="00212A54"/>
    <w:rsid w:val="00213259"/>
    <w:rsid w:val="0021349E"/>
    <w:rsid w:val="0021358E"/>
    <w:rsid w:val="002135C7"/>
    <w:rsid w:val="00214D64"/>
    <w:rsid w:val="00214DAD"/>
    <w:rsid w:val="0021568F"/>
    <w:rsid w:val="00216197"/>
    <w:rsid w:val="002164F8"/>
    <w:rsid w:val="00216A6B"/>
    <w:rsid w:val="00216C07"/>
    <w:rsid w:val="002174AD"/>
    <w:rsid w:val="0022018F"/>
    <w:rsid w:val="00220453"/>
    <w:rsid w:val="002207F7"/>
    <w:rsid w:val="002211E1"/>
    <w:rsid w:val="002226D8"/>
    <w:rsid w:val="00223101"/>
    <w:rsid w:val="00223364"/>
    <w:rsid w:val="00223C10"/>
    <w:rsid w:val="0022418C"/>
    <w:rsid w:val="0022424A"/>
    <w:rsid w:val="002247CA"/>
    <w:rsid w:val="00224AB8"/>
    <w:rsid w:val="0022558E"/>
    <w:rsid w:val="00225910"/>
    <w:rsid w:val="00225E4E"/>
    <w:rsid w:val="002264DB"/>
    <w:rsid w:val="00226ECF"/>
    <w:rsid w:val="00227628"/>
    <w:rsid w:val="0022799E"/>
    <w:rsid w:val="00227C39"/>
    <w:rsid w:val="00230E37"/>
    <w:rsid w:val="00231145"/>
    <w:rsid w:val="00231A93"/>
    <w:rsid w:val="00231BD5"/>
    <w:rsid w:val="00232116"/>
    <w:rsid w:val="00233065"/>
    <w:rsid w:val="0023330D"/>
    <w:rsid w:val="00233C09"/>
    <w:rsid w:val="0023412B"/>
    <w:rsid w:val="00234402"/>
    <w:rsid w:val="00234CC4"/>
    <w:rsid w:val="00234EC5"/>
    <w:rsid w:val="0023580D"/>
    <w:rsid w:val="00235A93"/>
    <w:rsid w:val="00235B81"/>
    <w:rsid w:val="00235D60"/>
    <w:rsid w:val="00236490"/>
    <w:rsid w:val="00236A49"/>
    <w:rsid w:val="00236CCC"/>
    <w:rsid w:val="00240012"/>
    <w:rsid w:val="002401BE"/>
    <w:rsid w:val="0024032B"/>
    <w:rsid w:val="00240C6B"/>
    <w:rsid w:val="00240EB4"/>
    <w:rsid w:val="002410A2"/>
    <w:rsid w:val="00241233"/>
    <w:rsid w:val="0024128F"/>
    <w:rsid w:val="00241795"/>
    <w:rsid w:val="0024276D"/>
    <w:rsid w:val="002428A9"/>
    <w:rsid w:val="00242E90"/>
    <w:rsid w:val="00242EBA"/>
    <w:rsid w:val="00242ED9"/>
    <w:rsid w:val="00243005"/>
    <w:rsid w:val="00243346"/>
    <w:rsid w:val="00244416"/>
    <w:rsid w:val="0024457B"/>
    <w:rsid w:val="002445BF"/>
    <w:rsid w:val="0024490D"/>
    <w:rsid w:val="00244C19"/>
    <w:rsid w:val="002456C8"/>
    <w:rsid w:val="002457E3"/>
    <w:rsid w:val="00245826"/>
    <w:rsid w:val="0024611E"/>
    <w:rsid w:val="0024624F"/>
    <w:rsid w:val="00246A3D"/>
    <w:rsid w:val="00246D34"/>
    <w:rsid w:val="00246D7E"/>
    <w:rsid w:val="00246FAC"/>
    <w:rsid w:val="0024762C"/>
    <w:rsid w:val="00247BC1"/>
    <w:rsid w:val="00247F9C"/>
    <w:rsid w:val="00250118"/>
    <w:rsid w:val="002508A7"/>
    <w:rsid w:val="00250B91"/>
    <w:rsid w:val="00250F6F"/>
    <w:rsid w:val="002512C0"/>
    <w:rsid w:val="00251CA8"/>
    <w:rsid w:val="002527F3"/>
    <w:rsid w:val="00253265"/>
    <w:rsid w:val="00253462"/>
    <w:rsid w:val="00253DFE"/>
    <w:rsid w:val="002549D2"/>
    <w:rsid w:val="0025501E"/>
    <w:rsid w:val="002557C9"/>
    <w:rsid w:val="002560D9"/>
    <w:rsid w:val="00256D7B"/>
    <w:rsid w:val="00256F15"/>
    <w:rsid w:val="002575A2"/>
    <w:rsid w:val="00257873"/>
    <w:rsid w:val="00257DC7"/>
    <w:rsid w:val="0026005D"/>
    <w:rsid w:val="00260262"/>
    <w:rsid w:val="002605B7"/>
    <w:rsid w:val="00260606"/>
    <w:rsid w:val="00260C5E"/>
    <w:rsid w:val="00261348"/>
    <w:rsid w:val="00263539"/>
    <w:rsid w:val="00266272"/>
    <w:rsid w:val="0026660C"/>
    <w:rsid w:val="00266719"/>
    <w:rsid w:val="00266965"/>
    <w:rsid w:val="00266E73"/>
    <w:rsid w:val="00266F9E"/>
    <w:rsid w:val="0026732F"/>
    <w:rsid w:val="0026772D"/>
    <w:rsid w:val="0026798A"/>
    <w:rsid w:val="00267A5E"/>
    <w:rsid w:val="00267F01"/>
    <w:rsid w:val="0027073D"/>
    <w:rsid w:val="00270A48"/>
    <w:rsid w:val="002712D8"/>
    <w:rsid w:val="00271863"/>
    <w:rsid w:val="002718E9"/>
    <w:rsid w:val="00271D73"/>
    <w:rsid w:val="00271FB8"/>
    <w:rsid w:val="00272579"/>
    <w:rsid w:val="00272923"/>
    <w:rsid w:val="00273415"/>
    <w:rsid w:val="002746B2"/>
    <w:rsid w:val="00274A8E"/>
    <w:rsid w:val="00274DEC"/>
    <w:rsid w:val="0027503E"/>
    <w:rsid w:val="00275939"/>
    <w:rsid w:val="00275F8C"/>
    <w:rsid w:val="00276336"/>
    <w:rsid w:val="00276D78"/>
    <w:rsid w:val="00276E7A"/>
    <w:rsid w:val="0027733F"/>
    <w:rsid w:val="002774E9"/>
    <w:rsid w:val="00277BFF"/>
    <w:rsid w:val="00280073"/>
    <w:rsid w:val="002805C3"/>
    <w:rsid w:val="00280D86"/>
    <w:rsid w:val="00280FEF"/>
    <w:rsid w:val="00281884"/>
    <w:rsid w:val="00281B42"/>
    <w:rsid w:val="00282345"/>
    <w:rsid w:val="00282B9D"/>
    <w:rsid w:val="00282EB3"/>
    <w:rsid w:val="00283837"/>
    <w:rsid w:val="0028450E"/>
    <w:rsid w:val="002854C0"/>
    <w:rsid w:val="0028575F"/>
    <w:rsid w:val="00285B25"/>
    <w:rsid w:val="00285C29"/>
    <w:rsid w:val="00287DEA"/>
    <w:rsid w:val="00287E33"/>
    <w:rsid w:val="00287F6E"/>
    <w:rsid w:val="0029011F"/>
    <w:rsid w:val="002902F1"/>
    <w:rsid w:val="002904A9"/>
    <w:rsid w:val="00290F4F"/>
    <w:rsid w:val="002917B3"/>
    <w:rsid w:val="002917DC"/>
    <w:rsid w:val="00291AC5"/>
    <w:rsid w:val="00291DA4"/>
    <w:rsid w:val="00292070"/>
    <w:rsid w:val="002924B9"/>
    <w:rsid w:val="00292A5C"/>
    <w:rsid w:val="00292B81"/>
    <w:rsid w:val="00293164"/>
    <w:rsid w:val="00293F97"/>
    <w:rsid w:val="0029429E"/>
    <w:rsid w:val="0029446B"/>
    <w:rsid w:val="00294A55"/>
    <w:rsid w:val="002954ED"/>
    <w:rsid w:val="00295BCD"/>
    <w:rsid w:val="00295F6E"/>
    <w:rsid w:val="0029658B"/>
    <w:rsid w:val="00296CFD"/>
    <w:rsid w:val="00296D97"/>
    <w:rsid w:val="00297D3F"/>
    <w:rsid w:val="00297D40"/>
    <w:rsid w:val="002A03E5"/>
    <w:rsid w:val="002A19AB"/>
    <w:rsid w:val="002A22C6"/>
    <w:rsid w:val="002A25D8"/>
    <w:rsid w:val="002A29A1"/>
    <w:rsid w:val="002A2AF9"/>
    <w:rsid w:val="002A34A2"/>
    <w:rsid w:val="002A3F30"/>
    <w:rsid w:val="002A44EC"/>
    <w:rsid w:val="002A48A6"/>
    <w:rsid w:val="002A48FB"/>
    <w:rsid w:val="002A61EC"/>
    <w:rsid w:val="002A64DB"/>
    <w:rsid w:val="002A6BA2"/>
    <w:rsid w:val="002A6E6A"/>
    <w:rsid w:val="002A73B4"/>
    <w:rsid w:val="002A7A6F"/>
    <w:rsid w:val="002A7D70"/>
    <w:rsid w:val="002B0483"/>
    <w:rsid w:val="002B1788"/>
    <w:rsid w:val="002B189A"/>
    <w:rsid w:val="002B1BC2"/>
    <w:rsid w:val="002B22C6"/>
    <w:rsid w:val="002B314B"/>
    <w:rsid w:val="002B3190"/>
    <w:rsid w:val="002B3AFA"/>
    <w:rsid w:val="002B3E9C"/>
    <w:rsid w:val="002B4A7D"/>
    <w:rsid w:val="002B4D20"/>
    <w:rsid w:val="002B5D6E"/>
    <w:rsid w:val="002B5E0A"/>
    <w:rsid w:val="002B68F0"/>
    <w:rsid w:val="002B6A12"/>
    <w:rsid w:val="002B6E10"/>
    <w:rsid w:val="002B74C5"/>
    <w:rsid w:val="002B7C10"/>
    <w:rsid w:val="002C009B"/>
    <w:rsid w:val="002C0138"/>
    <w:rsid w:val="002C046B"/>
    <w:rsid w:val="002C1051"/>
    <w:rsid w:val="002C13C5"/>
    <w:rsid w:val="002C2837"/>
    <w:rsid w:val="002C2C54"/>
    <w:rsid w:val="002C2F9F"/>
    <w:rsid w:val="002C353B"/>
    <w:rsid w:val="002C35C1"/>
    <w:rsid w:val="002C3A26"/>
    <w:rsid w:val="002C404B"/>
    <w:rsid w:val="002C4A38"/>
    <w:rsid w:val="002C4D21"/>
    <w:rsid w:val="002C558F"/>
    <w:rsid w:val="002C56E1"/>
    <w:rsid w:val="002C62E1"/>
    <w:rsid w:val="002C7B04"/>
    <w:rsid w:val="002C7C12"/>
    <w:rsid w:val="002D05CC"/>
    <w:rsid w:val="002D1BEC"/>
    <w:rsid w:val="002D26F7"/>
    <w:rsid w:val="002D2D12"/>
    <w:rsid w:val="002D2FC5"/>
    <w:rsid w:val="002D3140"/>
    <w:rsid w:val="002D3187"/>
    <w:rsid w:val="002D3736"/>
    <w:rsid w:val="002D3AA2"/>
    <w:rsid w:val="002D5F2B"/>
    <w:rsid w:val="002D631E"/>
    <w:rsid w:val="002D6552"/>
    <w:rsid w:val="002D6910"/>
    <w:rsid w:val="002D6D8B"/>
    <w:rsid w:val="002D7C20"/>
    <w:rsid w:val="002D7C39"/>
    <w:rsid w:val="002D7D40"/>
    <w:rsid w:val="002E03D6"/>
    <w:rsid w:val="002E1603"/>
    <w:rsid w:val="002E1AAB"/>
    <w:rsid w:val="002E26EB"/>
    <w:rsid w:val="002E2EBB"/>
    <w:rsid w:val="002E45B3"/>
    <w:rsid w:val="002E4B1F"/>
    <w:rsid w:val="002E6304"/>
    <w:rsid w:val="002E750C"/>
    <w:rsid w:val="002E7991"/>
    <w:rsid w:val="002F11E1"/>
    <w:rsid w:val="002F15EF"/>
    <w:rsid w:val="002F1791"/>
    <w:rsid w:val="002F2336"/>
    <w:rsid w:val="002F25A4"/>
    <w:rsid w:val="002F289B"/>
    <w:rsid w:val="002F3223"/>
    <w:rsid w:val="002F381A"/>
    <w:rsid w:val="002F387F"/>
    <w:rsid w:val="002F472A"/>
    <w:rsid w:val="002F4D8F"/>
    <w:rsid w:val="002F4E92"/>
    <w:rsid w:val="002F55F8"/>
    <w:rsid w:val="002F6DF0"/>
    <w:rsid w:val="002F6E7E"/>
    <w:rsid w:val="002F7128"/>
    <w:rsid w:val="002F747A"/>
    <w:rsid w:val="002F782F"/>
    <w:rsid w:val="002F7F61"/>
    <w:rsid w:val="0030085A"/>
    <w:rsid w:val="00300CC2"/>
    <w:rsid w:val="00301B18"/>
    <w:rsid w:val="003020BE"/>
    <w:rsid w:val="0030247F"/>
    <w:rsid w:val="00302774"/>
    <w:rsid w:val="00302C61"/>
    <w:rsid w:val="00302E0E"/>
    <w:rsid w:val="00302EF5"/>
    <w:rsid w:val="00303A63"/>
    <w:rsid w:val="00303E45"/>
    <w:rsid w:val="00304962"/>
    <w:rsid w:val="00304A96"/>
    <w:rsid w:val="00304CCA"/>
    <w:rsid w:val="00304F7A"/>
    <w:rsid w:val="003051C5"/>
    <w:rsid w:val="00305228"/>
    <w:rsid w:val="003053A8"/>
    <w:rsid w:val="003054D5"/>
    <w:rsid w:val="00305F58"/>
    <w:rsid w:val="003064A2"/>
    <w:rsid w:val="0030712E"/>
    <w:rsid w:val="003079FC"/>
    <w:rsid w:val="00307F89"/>
    <w:rsid w:val="003100A9"/>
    <w:rsid w:val="003103B8"/>
    <w:rsid w:val="003107E0"/>
    <w:rsid w:val="00311080"/>
    <w:rsid w:val="00311258"/>
    <w:rsid w:val="00312556"/>
    <w:rsid w:val="003137FF"/>
    <w:rsid w:val="00313926"/>
    <w:rsid w:val="00313927"/>
    <w:rsid w:val="00313A40"/>
    <w:rsid w:val="00313F75"/>
    <w:rsid w:val="003141F3"/>
    <w:rsid w:val="00314819"/>
    <w:rsid w:val="00314A35"/>
    <w:rsid w:val="00314C8F"/>
    <w:rsid w:val="00315FC9"/>
    <w:rsid w:val="003167DB"/>
    <w:rsid w:val="00316B5B"/>
    <w:rsid w:val="00316C75"/>
    <w:rsid w:val="00316D9D"/>
    <w:rsid w:val="00316F61"/>
    <w:rsid w:val="00317610"/>
    <w:rsid w:val="003177F5"/>
    <w:rsid w:val="00317867"/>
    <w:rsid w:val="00317890"/>
    <w:rsid w:val="00317FB8"/>
    <w:rsid w:val="003204C8"/>
    <w:rsid w:val="0032081F"/>
    <w:rsid w:val="00320CF3"/>
    <w:rsid w:val="003211FE"/>
    <w:rsid w:val="00321273"/>
    <w:rsid w:val="00321399"/>
    <w:rsid w:val="00322477"/>
    <w:rsid w:val="00322704"/>
    <w:rsid w:val="003239DA"/>
    <w:rsid w:val="00323A55"/>
    <w:rsid w:val="00323B1A"/>
    <w:rsid w:val="00324286"/>
    <w:rsid w:val="0032439C"/>
    <w:rsid w:val="00325174"/>
    <w:rsid w:val="00325824"/>
    <w:rsid w:val="00325A64"/>
    <w:rsid w:val="00326069"/>
    <w:rsid w:val="003263AC"/>
    <w:rsid w:val="003277A7"/>
    <w:rsid w:val="0033028A"/>
    <w:rsid w:val="00330726"/>
    <w:rsid w:val="00330C16"/>
    <w:rsid w:val="00330FAB"/>
    <w:rsid w:val="00331430"/>
    <w:rsid w:val="00331C43"/>
    <w:rsid w:val="003330D9"/>
    <w:rsid w:val="00333160"/>
    <w:rsid w:val="003335DF"/>
    <w:rsid w:val="00333DE0"/>
    <w:rsid w:val="00334135"/>
    <w:rsid w:val="00334564"/>
    <w:rsid w:val="003352CA"/>
    <w:rsid w:val="0033597D"/>
    <w:rsid w:val="00335BC6"/>
    <w:rsid w:val="003365F2"/>
    <w:rsid w:val="00336677"/>
    <w:rsid w:val="00336CF2"/>
    <w:rsid w:val="003370C4"/>
    <w:rsid w:val="00337318"/>
    <w:rsid w:val="0033770A"/>
    <w:rsid w:val="00337D03"/>
    <w:rsid w:val="003403CB"/>
    <w:rsid w:val="00340A7C"/>
    <w:rsid w:val="00341DF6"/>
    <w:rsid w:val="0034222F"/>
    <w:rsid w:val="00342377"/>
    <w:rsid w:val="00342FA4"/>
    <w:rsid w:val="00343BFF"/>
    <w:rsid w:val="00343F3B"/>
    <w:rsid w:val="00344848"/>
    <w:rsid w:val="00344B8F"/>
    <w:rsid w:val="00344DB8"/>
    <w:rsid w:val="003459B7"/>
    <w:rsid w:val="00345C2A"/>
    <w:rsid w:val="003462EC"/>
    <w:rsid w:val="00346FFF"/>
    <w:rsid w:val="0034761A"/>
    <w:rsid w:val="003515E2"/>
    <w:rsid w:val="00351824"/>
    <w:rsid w:val="0035192C"/>
    <w:rsid w:val="00351CF6"/>
    <w:rsid w:val="003525EF"/>
    <w:rsid w:val="0035314A"/>
    <w:rsid w:val="003535E5"/>
    <w:rsid w:val="00353A40"/>
    <w:rsid w:val="003548D7"/>
    <w:rsid w:val="0035554C"/>
    <w:rsid w:val="003559A8"/>
    <w:rsid w:val="00356116"/>
    <w:rsid w:val="003565EB"/>
    <w:rsid w:val="00356A59"/>
    <w:rsid w:val="00356AE5"/>
    <w:rsid w:val="00356D49"/>
    <w:rsid w:val="00356E92"/>
    <w:rsid w:val="00356F52"/>
    <w:rsid w:val="00360058"/>
    <w:rsid w:val="00360EE3"/>
    <w:rsid w:val="00361FF4"/>
    <w:rsid w:val="003623D1"/>
    <w:rsid w:val="003624D9"/>
    <w:rsid w:val="0036479D"/>
    <w:rsid w:val="00364802"/>
    <w:rsid w:val="00364B4B"/>
    <w:rsid w:val="00364C70"/>
    <w:rsid w:val="00364D9C"/>
    <w:rsid w:val="00364F01"/>
    <w:rsid w:val="00365AAA"/>
    <w:rsid w:val="00365D3D"/>
    <w:rsid w:val="00365DBD"/>
    <w:rsid w:val="00365E46"/>
    <w:rsid w:val="00366069"/>
    <w:rsid w:val="00366E23"/>
    <w:rsid w:val="00367081"/>
    <w:rsid w:val="003671AA"/>
    <w:rsid w:val="003679D0"/>
    <w:rsid w:val="003706C9"/>
    <w:rsid w:val="0037143B"/>
    <w:rsid w:val="0037197A"/>
    <w:rsid w:val="00372350"/>
    <w:rsid w:val="00373898"/>
    <w:rsid w:val="00373903"/>
    <w:rsid w:val="00373A8B"/>
    <w:rsid w:val="003749AD"/>
    <w:rsid w:val="00374AFC"/>
    <w:rsid w:val="00374BEA"/>
    <w:rsid w:val="00374FB4"/>
    <w:rsid w:val="003752C4"/>
    <w:rsid w:val="00375851"/>
    <w:rsid w:val="003759CD"/>
    <w:rsid w:val="003760A9"/>
    <w:rsid w:val="003766C5"/>
    <w:rsid w:val="00377180"/>
    <w:rsid w:val="003774B1"/>
    <w:rsid w:val="00380401"/>
    <w:rsid w:val="00380A5F"/>
    <w:rsid w:val="00380AB4"/>
    <w:rsid w:val="00382410"/>
    <w:rsid w:val="003843E2"/>
    <w:rsid w:val="00384894"/>
    <w:rsid w:val="0038493C"/>
    <w:rsid w:val="00384C93"/>
    <w:rsid w:val="00384E00"/>
    <w:rsid w:val="003852D5"/>
    <w:rsid w:val="00385361"/>
    <w:rsid w:val="003853B3"/>
    <w:rsid w:val="00385913"/>
    <w:rsid w:val="00385EC0"/>
    <w:rsid w:val="003860D4"/>
    <w:rsid w:val="00386BC3"/>
    <w:rsid w:val="0038703F"/>
    <w:rsid w:val="003875CC"/>
    <w:rsid w:val="00387B67"/>
    <w:rsid w:val="00387D5E"/>
    <w:rsid w:val="00387E2F"/>
    <w:rsid w:val="00387F94"/>
    <w:rsid w:val="00390BCA"/>
    <w:rsid w:val="00390BF9"/>
    <w:rsid w:val="00390D57"/>
    <w:rsid w:val="0039106F"/>
    <w:rsid w:val="00391404"/>
    <w:rsid w:val="003915F8"/>
    <w:rsid w:val="003919A6"/>
    <w:rsid w:val="00391E94"/>
    <w:rsid w:val="003920AD"/>
    <w:rsid w:val="003924E8"/>
    <w:rsid w:val="00392586"/>
    <w:rsid w:val="003939DA"/>
    <w:rsid w:val="003943D0"/>
    <w:rsid w:val="003945C4"/>
    <w:rsid w:val="00394EA0"/>
    <w:rsid w:val="003961D1"/>
    <w:rsid w:val="00396989"/>
    <w:rsid w:val="00396B45"/>
    <w:rsid w:val="003973A9"/>
    <w:rsid w:val="00397541"/>
    <w:rsid w:val="0039758D"/>
    <w:rsid w:val="00397A8C"/>
    <w:rsid w:val="00397E74"/>
    <w:rsid w:val="003A0481"/>
    <w:rsid w:val="003A04D4"/>
    <w:rsid w:val="003A0757"/>
    <w:rsid w:val="003A0C44"/>
    <w:rsid w:val="003A0D8A"/>
    <w:rsid w:val="003A0F73"/>
    <w:rsid w:val="003A1B78"/>
    <w:rsid w:val="003A2220"/>
    <w:rsid w:val="003A2C7F"/>
    <w:rsid w:val="003A3907"/>
    <w:rsid w:val="003A3C60"/>
    <w:rsid w:val="003A423F"/>
    <w:rsid w:val="003A552B"/>
    <w:rsid w:val="003A5564"/>
    <w:rsid w:val="003A5DC3"/>
    <w:rsid w:val="003A6446"/>
    <w:rsid w:val="003A6616"/>
    <w:rsid w:val="003A735C"/>
    <w:rsid w:val="003A74A1"/>
    <w:rsid w:val="003A7E06"/>
    <w:rsid w:val="003A7EF3"/>
    <w:rsid w:val="003A7F37"/>
    <w:rsid w:val="003B0EDA"/>
    <w:rsid w:val="003B1A87"/>
    <w:rsid w:val="003B1E44"/>
    <w:rsid w:val="003B21A2"/>
    <w:rsid w:val="003B30DF"/>
    <w:rsid w:val="003B33C8"/>
    <w:rsid w:val="003B3D2A"/>
    <w:rsid w:val="003B3F99"/>
    <w:rsid w:val="003B56EF"/>
    <w:rsid w:val="003B572D"/>
    <w:rsid w:val="003B582F"/>
    <w:rsid w:val="003B5858"/>
    <w:rsid w:val="003B5CD7"/>
    <w:rsid w:val="003B5F90"/>
    <w:rsid w:val="003B688C"/>
    <w:rsid w:val="003B6A80"/>
    <w:rsid w:val="003B6E49"/>
    <w:rsid w:val="003B7796"/>
    <w:rsid w:val="003B7808"/>
    <w:rsid w:val="003C013D"/>
    <w:rsid w:val="003C04DA"/>
    <w:rsid w:val="003C0A46"/>
    <w:rsid w:val="003C0C52"/>
    <w:rsid w:val="003C0DE8"/>
    <w:rsid w:val="003C1729"/>
    <w:rsid w:val="003C1B13"/>
    <w:rsid w:val="003C1F41"/>
    <w:rsid w:val="003C2B18"/>
    <w:rsid w:val="003C3067"/>
    <w:rsid w:val="003C33AF"/>
    <w:rsid w:val="003C3884"/>
    <w:rsid w:val="003C392D"/>
    <w:rsid w:val="003C39DF"/>
    <w:rsid w:val="003C4ED8"/>
    <w:rsid w:val="003C554E"/>
    <w:rsid w:val="003C5F05"/>
    <w:rsid w:val="003C5F20"/>
    <w:rsid w:val="003C60DA"/>
    <w:rsid w:val="003C64D1"/>
    <w:rsid w:val="003C6562"/>
    <w:rsid w:val="003C6F7A"/>
    <w:rsid w:val="003C750B"/>
    <w:rsid w:val="003C78CD"/>
    <w:rsid w:val="003D010F"/>
    <w:rsid w:val="003D02E3"/>
    <w:rsid w:val="003D04BF"/>
    <w:rsid w:val="003D0A93"/>
    <w:rsid w:val="003D1001"/>
    <w:rsid w:val="003D1A42"/>
    <w:rsid w:val="003D1C6A"/>
    <w:rsid w:val="003D208C"/>
    <w:rsid w:val="003D2654"/>
    <w:rsid w:val="003D2C5B"/>
    <w:rsid w:val="003D3FD4"/>
    <w:rsid w:val="003D4B25"/>
    <w:rsid w:val="003D5332"/>
    <w:rsid w:val="003D53B3"/>
    <w:rsid w:val="003D588A"/>
    <w:rsid w:val="003D5C48"/>
    <w:rsid w:val="003D68BC"/>
    <w:rsid w:val="003D68CC"/>
    <w:rsid w:val="003D6B86"/>
    <w:rsid w:val="003D6C80"/>
    <w:rsid w:val="003D7679"/>
    <w:rsid w:val="003D78EF"/>
    <w:rsid w:val="003E0E21"/>
    <w:rsid w:val="003E17A4"/>
    <w:rsid w:val="003E1865"/>
    <w:rsid w:val="003E356C"/>
    <w:rsid w:val="003E37E6"/>
    <w:rsid w:val="003E43D4"/>
    <w:rsid w:val="003E5042"/>
    <w:rsid w:val="003E5137"/>
    <w:rsid w:val="003E6218"/>
    <w:rsid w:val="003E6430"/>
    <w:rsid w:val="003E744D"/>
    <w:rsid w:val="003E7662"/>
    <w:rsid w:val="003E7E8C"/>
    <w:rsid w:val="003F00BB"/>
    <w:rsid w:val="003F013B"/>
    <w:rsid w:val="003F0207"/>
    <w:rsid w:val="003F063D"/>
    <w:rsid w:val="003F0E36"/>
    <w:rsid w:val="003F17F3"/>
    <w:rsid w:val="003F18ED"/>
    <w:rsid w:val="003F193F"/>
    <w:rsid w:val="003F338B"/>
    <w:rsid w:val="003F3BF6"/>
    <w:rsid w:val="003F3DEC"/>
    <w:rsid w:val="003F476F"/>
    <w:rsid w:val="003F4939"/>
    <w:rsid w:val="003F4D67"/>
    <w:rsid w:val="003F4FD8"/>
    <w:rsid w:val="003F5582"/>
    <w:rsid w:val="003F57C7"/>
    <w:rsid w:val="003F6C7F"/>
    <w:rsid w:val="003F6D79"/>
    <w:rsid w:val="003F708B"/>
    <w:rsid w:val="003F71B8"/>
    <w:rsid w:val="003F7F37"/>
    <w:rsid w:val="0040011F"/>
    <w:rsid w:val="00400C17"/>
    <w:rsid w:val="00401B3B"/>
    <w:rsid w:val="004021A4"/>
    <w:rsid w:val="00402705"/>
    <w:rsid w:val="00402EEB"/>
    <w:rsid w:val="00403016"/>
    <w:rsid w:val="004035A1"/>
    <w:rsid w:val="00403D09"/>
    <w:rsid w:val="004041C5"/>
    <w:rsid w:val="0040459D"/>
    <w:rsid w:val="0040487F"/>
    <w:rsid w:val="004048A0"/>
    <w:rsid w:val="00404C85"/>
    <w:rsid w:val="00405200"/>
    <w:rsid w:val="004060C8"/>
    <w:rsid w:val="00406F9D"/>
    <w:rsid w:val="004072CF"/>
    <w:rsid w:val="00407814"/>
    <w:rsid w:val="00407AFF"/>
    <w:rsid w:val="00407B95"/>
    <w:rsid w:val="004109EB"/>
    <w:rsid w:val="00410B3D"/>
    <w:rsid w:val="00410CF1"/>
    <w:rsid w:val="00411420"/>
    <w:rsid w:val="00411D84"/>
    <w:rsid w:val="00411F78"/>
    <w:rsid w:val="004121B7"/>
    <w:rsid w:val="00412BBE"/>
    <w:rsid w:val="00413E04"/>
    <w:rsid w:val="004143DF"/>
    <w:rsid w:val="004149EF"/>
    <w:rsid w:val="00414BCD"/>
    <w:rsid w:val="004152D7"/>
    <w:rsid w:val="00415693"/>
    <w:rsid w:val="004159E8"/>
    <w:rsid w:val="00415AEE"/>
    <w:rsid w:val="004163F5"/>
    <w:rsid w:val="00416567"/>
    <w:rsid w:val="00416870"/>
    <w:rsid w:val="00416940"/>
    <w:rsid w:val="00416D1D"/>
    <w:rsid w:val="00416E6E"/>
    <w:rsid w:val="00417028"/>
    <w:rsid w:val="004176BC"/>
    <w:rsid w:val="004208AE"/>
    <w:rsid w:val="004216D7"/>
    <w:rsid w:val="00421B2A"/>
    <w:rsid w:val="00421DC1"/>
    <w:rsid w:val="0042262E"/>
    <w:rsid w:val="00423C5B"/>
    <w:rsid w:val="00424D7E"/>
    <w:rsid w:val="00424DAD"/>
    <w:rsid w:val="00424E06"/>
    <w:rsid w:val="0042518D"/>
    <w:rsid w:val="00425A7B"/>
    <w:rsid w:val="00425ECD"/>
    <w:rsid w:val="004260CC"/>
    <w:rsid w:val="004269F3"/>
    <w:rsid w:val="00427362"/>
    <w:rsid w:val="00427839"/>
    <w:rsid w:val="0042797F"/>
    <w:rsid w:val="00427B00"/>
    <w:rsid w:val="00430674"/>
    <w:rsid w:val="00430AC2"/>
    <w:rsid w:val="0043100B"/>
    <w:rsid w:val="00431441"/>
    <w:rsid w:val="00431443"/>
    <w:rsid w:val="00431D8C"/>
    <w:rsid w:val="00432A95"/>
    <w:rsid w:val="00434204"/>
    <w:rsid w:val="004348E3"/>
    <w:rsid w:val="00434919"/>
    <w:rsid w:val="00435D1D"/>
    <w:rsid w:val="00436159"/>
    <w:rsid w:val="004361F6"/>
    <w:rsid w:val="004364D0"/>
    <w:rsid w:val="00436503"/>
    <w:rsid w:val="00436974"/>
    <w:rsid w:val="00436AC3"/>
    <w:rsid w:val="00436C68"/>
    <w:rsid w:val="00436D19"/>
    <w:rsid w:val="004371E2"/>
    <w:rsid w:val="004401FA"/>
    <w:rsid w:val="004417D9"/>
    <w:rsid w:val="00442000"/>
    <w:rsid w:val="00442163"/>
    <w:rsid w:val="00442FBB"/>
    <w:rsid w:val="00444021"/>
    <w:rsid w:val="00444490"/>
    <w:rsid w:val="0044457A"/>
    <w:rsid w:val="004448F1"/>
    <w:rsid w:val="004449F5"/>
    <w:rsid w:val="00445B3C"/>
    <w:rsid w:val="00445C5A"/>
    <w:rsid w:val="0044657E"/>
    <w:rsid w:val="00446FBC"/>
    <w:rsid w:val="004472DF"/>
    <w:rsid w:val="00447DB1"/>
    <w:rsid w:val="00447E0F"/>
    <w:rsid w:val="004502E5"/>
    <w:rsid w:val="00450A20"/>
    <w:rsid w:val="00450E16"/>
    <w:rsid w:val="00450ED0"/>
    <w:rsid w:val="00451217"/>
    <w:rsid w:val="0045122F"/>
    <w:rsid w:val="00451674"/>
    <w:rsid w:val="00451F20"/>
    <w:rsid w:val="004520B6"/>
    <w:rsid w:val="0045241E"/>
    <w:rsid w:val="00452665"/>
    <w:rsid w:val="00452B2A"/>
    <w:rsid w:val="00452F2F"/>
    <w:rsid w:val="00453534"/>
    <w:rsid w:val="004543EF"/>
    <w:rsid w:val="004561E2"/>
    <w:rsid w:val="00456298"/>
    <w:rsid w:val="00460FB6"/>
    <w:rsid w:val="0046101A"/>
    <w:rsid w:val="0046149B"/>
    <w:rsid w:val="004617C8"/>
    <w:rsid w:val="00461B7E"/>
    <w:rsid w:val="0046264B"/>
    <w:rsid w:val="00462D3F"/>
    <w:rsid w:val="00462EBE"/>
    <w:rsid w:val="00462F0A"/>
    <w:rsid w:val="00463131"/>
    <w:rsid w:val="00463F49"/>
    <w:rsid w:val="00464403"/>
    <w:rsid w:val="00464668"/>
    <w:rsid w:val="00465605"/>
    <w:rsid w:val="0046658F"/>
    <w:rsid w:val="004679D6"/>
    <w:rsid w:val="00467ED6"/>
    <w:rsid w:val="004709BE"/>
    <w:rsid w:val="004714AD"/>
    <w:rsid w:val="004728B8"/>
    <w:rsid w:val="00472F7A"/>
    <w:rsid w:val="0047309F"/>
    <w:rsid w:val="004734C9"/>
    <w:rsid w:val="00473698"/>
    <w:rsid w:val="004736C5"/>
    <w:rsid w:val="00473832"/>
    <w:rsid w:val="00473991"/>
    <w:rsid w:val="00474484"/>
    <w:rsid w:val="00474669"/>
    <w:rsid w:val="0047484F"/>
    <w:rsid w:val="00475101"/>
    <w:rsid w:val="00476277"/>
    <w:rsid w:val="00476FED"/>
    <w:rsid w:val="00477691"/>
    <w:rsid w:val="004802BB"/>
    <w:rsid w:val="004803C0"/>
    <w:rsid w:val="00480D8D"/>
    <w:rsid w:val="0048115D"/>
    <w:rsid w:val="004814B0"/>
    <w:rsid w:val="004822AF"/>
    <w:rsid w:val="00482319"/>
    <w:rsid w:val="0048376D"/>
    <w:rsid w:val="00483988"/>
    <w:rsid w:val="00483B3F"/>
    <w:rsid w:val="00483ED3"/>
    <w:rsid w:val="0048475E"/>
    <w:rsid w:val="00485528"/>
    <w:rsid w:val="00485C08"/>
    <w:rsid w:val="0048615A"/>
    <w:rsid w:val="00486254"/>
    <w:rsid w:val="00486304"/>
    <w:rsid w:val="00486814"/>
    <w:rsid w:val="00487861"/>
    <w:rsid w:val="00487E18"/>
    <w:rsid w:val="00490EC0"/>
    <w:rsid w:val="00490FF9"/>
    <w:rsid w:val="00491221"/>
    <w:rsid w:val="0049155D"/>
    <w:rsid w:val="0049170A"/>
    <w:rsid w:val="0049183E"/>
    <w:rsid w:val="00491FB7"/>
    <w:rsid w:val="00491FF4"/>
    <w:rsid w:val="0049216F"/>
    <w:rsid w:val="00493557"/>
    <w:rsid w:val="00493A10"/>
    <w:rsid w:val="00493BF7"/>
    <w:rsid w:val="0049432F"/>
    <w:rsid w:val="004953C4"/>
    <w:rsid w:val="00496226"/>
    <w:rsid w:val="004967F5"/>
    <w:rsid w:val="00496DE5"/>
    <w:rsid w:val="004972E7"/>
    <w:rsid w:val="004973CE"/>
    <w:rsid w:val="0049787B"/>
    <w:rsid w:val="00497B0A"/>
    <w:rsid w:val="00497B25"/>
    <w:rsid w:val="004A1427"/>
    <w:rsid w:val="004A1505"/>
    <w:rsid w:val="004A166C"/>
    <w:rsid w:val="004A1D85"/>
    <w:rsid w:val="004A2204"/>
    <w:rsid w:val="004A24B8"/>
    <w:rsid w:val="004A2578"/>
    <w:rsid w:val="004A2D72"/>
    <w:rsid w:val="004A32B2"/>
    <w:rsid w:val="004A3AD3"/>
    <w:rsid w:val="004A462C"/>
    <w:rsid w:val="004A46ED"/>
    <w:rsid w:val="004A50C6"/>
    <w:rsid w:val="004A61B5"/>
    <w:rsid w:val="004A68F2"/>
    <w:rsid w:val="004A722B"/>
    <w:rsid w:val="004B06C9"/>
    <w:rsid w:val="004B0DE9"/>
    <w:rsid w:val="004B0E5A"/>
    <w:rsid w:val="004B141C"/>
    <w:rsid w:val="004B144F"/>
    <w:rsid w:val="004B1997"/>
    <w:rsid w:val="004B222D"/>
    <w:rsid w:val="004B22E2"/>
    <w:rsid w:val="004B253C"/>
    <w:rsid w:val="004B257D"/>
    <w:rsid w:val="004B351B"/>
    <w:rsid w:val="004B3AE1"/>
    <w:rsid w:val="004B45B7"/>
    <w:rsid w:val="004B46A0"/>
    <w:rsid w:val="004B4B5C"/>
    <w:rsid w:val="004B4B64"/>
    <w:rsid w:val="004B57CB"/>
    <w:rsid w:val="004B57DE"/>
    <w:rsid w:val="004B5980"/>
    <w:rsid w:val="004B5C55"/>
    <w:rsid w:val="004B6680"/>
    <w:rsid w:val="004B6C5D"/>
    <w:rsid w:val="004B71BD"/>
    <w:rsid w:val="004B7FB9"/>
    <w:rsid w:val="004C0099"/>
    <w:rsid w:val="004C10F1"/>
    <w:rsid w:val="004C228B"/>
    <w:rsid w:val="004C29CD"/>
    <w:rsid w:val="004C2E10"/>
    <w:rsid w:val="004C329B"/>
    <w:rsid w:val="004C33BA"/>
    <w:rsid w:val="004C37C8"/>
    <w:rsid w:val="004C3B99"/>
    <w:rsid w:val="004C4FC8"/>
    <w:rsid w:val="004C5A92"/>
    <w:rsid w:val="004C5B5B"/>
    <w:rsid w:val="004C5C32"/>
    <w:rsid w:val="004C6134"/>
    <w:rsid w:val="004C6293"/>
    <w:rsid w:val="004C6979"/>
    <w:rsid w:val="004C697A"/>
    <w:rsid w:val="004C7497"/>
    <w:rsid w:val="004C77DA"/>
    <w:rsid w:val="004C78F1"/>
    <w:rsid w:val="004C7B12"/>
    <w:rsid w:val="004D02B3"/>
    <w:rsid w:val="004D0836"/>
    <w:rsid w:val="004D1446"/>
    <w:rsid w:val="004D158B"/>
    <w:rsid w:val="004D2306"/>
    <w:rsid w:val="004D2511"/>
    <w:rsid w:val="004D25CA"/>
    <w:rsid w:val="004D2BB9"/>
    <w:rsid w:val="004D324F"/>
    <w:rsid w:val="004D3426"/>
    <w:rsid w:val="004D371F"/>
    <w:rsid w:val="004D3F10"/>
    <w:rsid w:val="004D3FC5"/>
    <w:rsid w:val="004D5536"/>
    <w:rsid w:val="004D58F5"/>
    <w:rsid w:val="004D63F9"/>
    <w:rsid w:val="004D658C"/>
    <w:rsid w:val="004D6713"/>
    <w:rsid w:val="004D6DFC"/>
    <w:rsid w:val="004D761F"/>
    <w:rsid w:val="004D7E44"/>
    <w:rsid w:val="004E0193"/>
    <w:rsid w:val="004E07A1"/>
    <w:rsid w:val="004E0861"/>
    <w:rsid w:val="004E118F"/>
    <w:rsid w:val="004E1393"/>
    <w:rsid w:val="004E2165"/>
    <w:rsid w:val="004E289B"/>
    <w:rsid w:val="004E2E63"/>
    <w:rsid w:val="004E3D53"/>
    <w:rsid w:val="004E40F7"/>
    <w:rsid w:val="004E48C8"/>
    <w:rsid w:val="004E4C7C"/>
    <w:rsid w:val="004E5197"/>
    <w:rsid w:val="004E5471"/>
    <w:rsid w:val="004E5540"/>
    <w:rsid w:val="004E5646"/>
    <w:rsid w:val="004E5785"/>
    <w:rsid w:val="004E6076"/>
    <w:rsid w:val="004E63FA"/>
    <w:rsid w:val="004E6DF0"/>
    <w:rsid w:val="004E7BDA"/>
    <w:rsid w:val="004F00B2"/>
    <w:rsid w:val="004F00D3"/>
    <w:rsid w:val="004F0344"/>
    <w:rsid w:val="004F0F3C"/>
    <w:rsid w:val="004F12A1"/>
    <w:rsid w:val="004F12C9"/>
    <w:rsid w:val="004F1F83"/>
    <w:rsid w:val="004F21BD"/>
    <w:rsid w:val="004F2543"/>
    <w:rsid w:val="004F3091"/>
    <w:rsid w:val="004F320E"/>
    <w:rsid w:val="004F33B6"/>
    <w:rsid w:val="004F3E6F"/>
    <w:rsid w:val="004F40FC"/>
    <w:rsid w:val="004F69AB"/>
    <w:rsid w:val="004F6B41"/>
    <w:rsid w:val="004F706A"/>
    <w:rsid w:val="004F70AF"/>
    <w:rsid w:val="004F7C5E"/>
    <w:rsid w:val="00501F40"/>
    <w:rsid w:val="005029C6"/>
    <w:rsid w:val="00503E46"/>
    <w:rsid w:val="00505003"/>
    <w:rsid w:val="005065A1"/>
    <w:rsid w:val="00507780"/>
    <w:rsid w:val="00507A10"/>
    <w:rsid w:val="00507F7C"/>
    <w:rsid w:val="00511062"/>
    <w:rsid w:val="00511241"/>
    <w:rsid w:val="005114AE"/>
    <w:rsid w:val="00511517"/>
    <w:rsid w:val="005118EE"/>
    <w:rsid w:val="0051205E"/>
    <w:rsid w:val="005125A9"/>
    <w:rsid w:val="00512DA9"/>
    <w:rsid w:val="00512E9C"/>
    <w:rsid w:val="00512F3C"/>
    <w:rsid w:val="00512F81"/>
    <w:rsid w:val="00513230"/>
    <w:rsid w:val="0051397B"/>
    <w:rsid w:val="00513BB8"/>
    <w:rsid w:val="00513F3F"/>
    <w:rsid w:val="005140D9"/>
    <w:rsid w:val="00514C0D"/>
    <w:rsid w:val="00515278"/>
    <w:rsid w:val="00515638"/>
    <w:rsid w:val="005160D9"/>
    <w:rsid w:val="005176F3"/>
    <w:rsid w:val="00517940"/>
    <w:rsid w:val="00517B7B"/>
    <w:rsid w:val="005200D7"/>
    <w:rsid w:val="005201CF"/>
    <w:rsid w:val="00520525"/>
    <w:rsid w:val="00520608"/>
    <w:rsid w:val="00520D80"/>
    <w:rsid w:val="0052107C"/>
    <w:rsid w:val="0052173F"/>
    <w:rsid w:val="0052195D"/>
    <w:rsid w:val="00521B0B"/>
    <w:rsid w:val="005244BD"/>
    <w:rsid w:val="00524734"/>
    <w:rsid w:val="00524EFF"/>
    <w:rsid w:val="00525539"/>
    <w:rsid w:val="005269BB"/>
    <w:rsid w:val="00526A8B"/>
    <w:rsid w:val="005311D7"/>
    <w:rsid w:val="00532BE9"/>
    <w:rsid w:val="005330CA"/>
    <w:rsid w:val="00533812"/>
    <w:rsid w:val="00533D62"/>
    <w:rsid w:val="00533F69"/>
    <w:rsid w:val="00534105"/>
    <w:rsid w:val="005343E6"/>
    <w:rsid w:val="00534FC1"/>
    <w:rsid w:val="00535A7E"/>
    <w:rsid w:val="00536256"/>
    <w:rsid w:val="00536F58"/>
    <w:rsid w:val="0053789F"/>
    <w:rsid w:val="00537E7A"/>
    <w:rsid w:val="0054022D"/>
    <w:rsid w:val="00540B09"/>
    <w:rsid w:val="00540CF7"/>
    <w:rsid w:val="00540FBE"/>
    <w:rsid w:val="00541167"/>
    <w:rsid w:val="0054134E"/>
    <w:rsid w:val="0054147A"/>
    <w:rsid w:val="005418AF"/>
    <w:rsid w:val="00541FC4"/>
    <w:rsid w:val="00542949"/>
    <w:rsid w:val="00543793"/>
    <w:rsid w:val="0054441F"/>
    <w:rsid w:val="005451C0"/>
    <w:rsid w:val="005451F4"/>
    <w:rsid w:val="005454B5"/>
    <w:rsid w:val="00546497"/>
    <w:rsid w:val="00546776"/>
    <w:rsid w:val="00546A2D"/>
    <w:rsid w:val="00547081"/>
    <w:rsid w:val="00547313"/>
    <w:rsid w:val="00550A47"/>
    <w:rsid w:val="00550BE8"/>
    <w:rsid w:val="00551468"/>
    <w:rsid w:val="00551746"/>
    <w:rsid w:val="005518D3"/>
    <w:rsid w:val="00552254"/>
    <w:rsid w:val="00553547"/>
    <w:rsid w:val="00553AFE"/>
    <w:rsid w:val="00553D7E"/>
    <w:rsid w:val="00553FC1"/>
    <w:rsid w:val="00554ABE"/>
    <w:rsid w:val="00556051"/>
    <w:rsid w:val="005574D4"/>
    <w:rsid w:val="005577DA"/>
    <w:rsid w:val="00557A0D"/>
    <w:rsid w:val="00557B44"/>
    <w:rsid w:val="00560807"/>
    <w:rsid w:val="00560B33"/>
    <w:rsid w:val="00560F7C"/>
    <w:rsid w:val="00561981"/>
    <w:rsid w:val="005626D3"/>
    <w:rsid w:val="00563B04"/>
    <w:rsid w:val="00563DF3"/>
    <w:rsid w:val="00563F01"/>
    <w:rsid w:val="005640D7"/>
    <w:rsid w:val="00564214"/>
    <w:rsid w:val="00564C8C"/>
    <w:rsid w:val="00564EEB"/>
    <w:rsid w:val="005653ED"/>
    <w:rsid w:val="00565CDA"/>
    <w:rsid w:val="0056608C"/>
    <w:rsid w:val="00566567"/>
    <w:rsid w:val="005666E5"/>
    <w:rsid w:val="00567C44"/>
    <w:rsid w:val="005703A8"/>
    <w:rsid w:val="00570519"/>
    <w:rsid w:val="0057075D"/>
    <w:rsid w:val="00570847"/>
    <w:rsid w:val="005708FD"/>
    <w:rsid w:val="0057153A"/>
    <w:rsid w:val="00571C28"/>
    <w:rsid w:val="00571E2B"/>
    <w:rsid w:val="005721A1"/>
    <w:rsid w:val="0057234E"/>
    <w:rsid w:val="0057316E"/>
    <w:rsid w:val="005733A1"/>
    <w:rsid w:val="00573A3E"/>
    <w:rsid w:val="00573C84"/>
    <w:rsid w:val="005743C6"/>
    <w:rsid w:val="00574702"/>
    <w:rsid w:val="005747FE"/>
    <w:rsid w:val="00574D87"/>
    <w:rsid w:val="00575060"/>
    <w:rsid w:val="00575234"/>
    <w:rsid w:val="005755AE"/>
    <w:rsid w:val="00575D1C"/>
    <w:rsid w:val="00575E88"/>
    <w:rsid w:val="005765E4"/>
    <w:rsid w:val="005774B6"/>
    <w:rsid w:val="00577982"/>
    <w:rsid w:val="005779F8"/>
    <w:rsid w:val="005805C5"/>
    <w:rsid w:val="00580654"/>
    <w:rsid w:val="00580F79"/>
    <w:rsid w:val="005815DB"/>
    <w:rsid w:val="005817E7"/>
    <w:rsid w:val="005822B1"/>
    <w:rsid w:val="0058338F"/>
    <w:rsid w:val="005840B0"/>
    <w:rsid w:val="0058456F"/>
    <w:rsid w:val="00584CC4"/>
    <w:rsid w:val="005852DD"/>
    <w:rsid w:val="005856AA"/>
    <w:rsid w:val="005859B3"/>
    <w:rsid w:val="00585A9A"/>
    <w:rsid w:val="00585DF5"/>
    <w:rsid w:val="00585F8C"/>
    <w:rsid w:val="00586031"/>
    <w:rsid w:val="00586E37"/>
    <w:rsid w:val="00586EC8"/>
    <w:rsid w:val="00587442"/>
    <w:rsid w:val="00587AD2"/>
    <w:rsid w:val="0059068D"/>
    <w:rsid w:val="00590723"/>
    <w:rsid w:val="00590C8B"/>
    <w:rsid w:val="00590CBA"/>
    <w:rsid w:val="00591051"/>
    <w:rsid w:val="0059134D"/>
    <w:rsid w:val="00591480"/>
    <w:rsid w:val="00591496"/>
    <w:rsid w:val="00592D13"/>
    <w:rsid w:val="0059390A"/>
    <w:rsid w:val="005940C9"/>
    <w:rsid w:val="005943C8"/>
    <w:rsid w:val="005948FD"/>
    <w:rsid w:val="005954A6"/>
    <w:rsid w:val="005955E1"/>
    <w:rsid w:val="00595B15"/>
    <w:rsid w:val="00595DC4"/>
    <w:rsid w:val="005965C3"/>
    <w:rsid w:val="00596A68"/>
    <w:rsid w:val="005971F2"/>
    <w:rsid w:val="00597685"/>
    <w:rsid w:val="00597A54"/>
    <w:rsid w:val="005A1F21"/>
    <w:rsid w:val="005A25A2"/>
    <w:rsid w:val="005A276C"/>
    <w:rsid w:val="005A39EE"/>
    <w:rsid w:val="005A4933"/>
    <w:rsid w:val="005A495F"/>
    <w:rsid w:val="005A4EF5"/>
    <w:rsid w:val="005A53BD"/>
    <w:rsid w:val="005A54DF"/>
    <w:rsid w:val="005A5D0B"/>
    <w:rsid w:val="005A5F82"/>
    <w:rsid w:val="005B01C8"/>
    <w:rsid w:val="005B08AE"/>
    <w:rsid w:val="005B0A63"/>
    <w:rsid w:val="005B0DA4"/>
    <w:rsid w:val="005B0F73"/>
    <w:rsid w:val="005B10E4"/>
    <w:rsid w:val="005B1530"/>
    <w:rsid w:val="005B1B55"/>
    <w:rsid w:val="005B1F71"/>
    <w:rsid w:val="005B3143"/>
    <w:rsid w:val="005B3467"/>
    <w:rsid w:val="005B34D5"/>
    <w:rsid w:val="005B38A4"/>
    <w:rsid w:val="005B4231"/>
    <w:rsid w:val="005B42A5"/>
    <w:rsid w:val="005B4754"/>
    <w:rsid w:val="005B5A28"/>
    <w:rsid w:val="005B5A64"/>
    <w:rsid w:val="005B5AB7"/>
    <w:rsid w:val="005B5DF7"/>
    <w:rsid w:val="005B5EFA"/>
    <w:rsid w:val="005B6145"/>
    <w:rsid w:val="005B693C"/>
    <w:rsid w:val="005B69F2"/>
    <w:rsid w:val="005B715A"/>
    <w:rsid w:val="005B7851"/>
    <w:rsid w:val="005B7BC4"/>
    <w:rsid w:val="005C014A"/>
    <w:rsid w:val="005C0459"/>
    <w:rsid w:val="005C0FDC"/>
    <w:rsid w:val="005C1F73"/>
    <w:rsid w:val="005C1FD9"/>
    <w:rsid w:val="005C20A4"/>
    <w:rsid w:val="005C22CE"/>
    <w:rsid w:val="005C36A5"/>
    <w:rsid w:val="005C3D85"/>
    <w:rsid w:val="005C3F2D"/>
    <w:rsid w:val="005C4005"/>
    <w:rsid w:val="005C437C"/>
    <w:rsid w:val="005C43EA"/>
    <w:rsid w:val="005C442A"/>
    <w:rsid w:val="005C566F"/>
    <w:rsid w:val="005C6EDF"/>
    <w:rsid w:val="005C74C1"/>
    <w:rsid w:val="005C7591"/>
    <w:rsid w:val="005C7A02"/>
    <w:rsid w:val="005C7B57"/>
    <w:rsid w:val="005D05E5"/>
    <w:rsid w:val="005D0813"/>
    <w:rsid w:val="005D0918"/>
    <w:rsid w:val="005D0B98"/>
    <w:rsid w:val="005D13ED"/>
    <w:rsid w:val="005D1462"/>
    <w:rsid w:val="005D1E33"/>
    <w:rsid w:val="005D3E06"/>
    <w:rsid w:val="005D45D8"/>
    <w:rsid w:val="005D4776"/>
    <w:rsid w:val="005D5EB4"/>
    <w:rsid w:val="005D64DB"/>
    <w:rsid w:val="005D660E"/>
    <w:rsid w:val="005D7405"/>
    <w:rsid w:val="005D7415"/>
    <w:rsid w:val="005D7A8B"/>
    <w:rsid w:val="005E0975"/>
    <w:rsid w:val="005E0B1E"/>
    <w:rsid w:val="005E0C99"/>
    <w:rsid w:val="005E1383"/>
    <w:rsid w:val="005E1BFD"/>
    <w:rsid w:val="005E23D9"/>
    <w:rsid w:val="005E2C64"/>
    <w:rsid w:val="005E306F"/>
    <w:rsid w:val="005E31F3"/>
    <w:rsid w:val="005E38D6"/>
    <w:rsid w:val="005E3ADB"/>
    <w:rsid w:val="005E3B4B"/>
    <w:rsid w:val="005E3DD4"/>
    <w:rsid w:val="005E4699"/>
    <w:rsid w:val="005E4E31"/>
    <w:rsid w:val="005E5474"/>
    <w:rsid w:val="005E5921"/>
    <w:rsid w:val="005E6704"/>
    <w:rsid w:val="005E6A23"/>
    <w:rsid w:val="005E6E8D"/>
    <w:rsid w:val="005E705D"/>
    <w:rsid w:val="005E733F"/>
    <w:rsid w:val="005E7574"/>
    <w:rsid w:val="005E75C8"/>
    <w:rsid w:val="005E7D27"/>
    <w:rsid w:val="005F0BDE"/>
    <w:rsid w:val="005F10F7"/>
    <w:rsid w:val="005F12A1"/>
    <w:rsid w:val="005F1582"/>
    <w:rsid w:val="005F170C"/>
    <w:rsid w:val="005F1DEE"/>
    <w:rsid w:val="005F2143"/>
    <w:rsid w:val="005F221D"/>
    <w:rsid w:val="005F228F"/>
    <w:rsid w:val="005F291C"/>
    <w:rsid w:val="005F2A34"/>
    <w:rsid w:val="005F378F"/>
    <w:rsid w:val="005F3B14"/>
    <w:rsid w:val="005F3ED8"/>
    <w:rsid w:val="005F3F69"/>
    <w:rsid w:val="005F3FFF"/>
    <w:rsid w:val="005F4C3D"/>
    <w:rsid w:val="005F652C"/>
    <w:rsid w:val="005F709A"/>
    <w:rsid w:val="005F70B8"/>
    <w:rsid w:val="005F781C"/>
    <w:rsid w:val="00600110"/>
    <w:rsid w:val="006008F9"/>
    <w:rsid w:val="00601004"/>
    <w:rsid w:val="006010B6"/>
    <w:rsid w:val="0060115F"/>
    <w:rsid w:val="006011E7"/>
    <w:rsid w:val="0060149C"/>
    <w:rsid w:val="00601500"/>
    <w:rsid w:val="00602276"/>
    <w:rsid w:val="0060278E"/>
    <w:rsid w:val="006031D9"/>
    <w:rsid w:val="00603A41"/>
    <w:rsid w:val="0060443B"/>
    <w:rsid w:val="006048C1"/>
    <w:rsid w:val="00604BEC"/>
    <w:rsid w:val="00604EDF"/>
    <w:rsid w:val="00604FA7"/>
    <w:rsid w:val="006068BD"/>
    <w:rsid w:val="0060698A"/>
    <w:rsid w:val="00606AAB"/>
    <w:rsid w:val="00606DB4"/>
    <w:rsid w:val="006071CF"/>
    <w:rsid w:val="00607446"/>
    <w:rsid w:val="00607D31"/>
    <w:rsid w:val="00607E08"/>
    <w:rsid w:val="00610B2D"/>
    <w:rsid w:val="00611639"/>
    <w:rsid w:val="006118BD"/>
    <w:rsid w:val="00611FC8"/>
    <w:rsid w:val="0061272D"/>
    <w:rsid w:val="00612AD3"/>
    <w:rsid w:val="00612C13"/>
    <w:rsid w:val="006149F7"/>
    <w:rsid w:val="00614CA2"/>
    <w:rsid w:val="00615A40"/>
    <w:rsid w:val="0061653D"/>
    <w:rsid w:val="006168E4"/>
    <w:rsid w:val="00616A0F"/>
    <w:rsid w:val="00616E07"/>
    <w:rsid w:val="00616E2A"/>
    <w:rsid w:val="00617BCF"/>
    <w:rsid w:val="00620ECB"/>
    <w:rsid w:val="0062119C"/>
    <w:rsid w:val="00622AAD"/>
    <w:rsid w:val="00622ED0"/>
    <w:rsid w:val="006247A8"/>
    <w:rsid w:val="0062544D"/>
    <w:rsid w:val="00625E0F"/>
    <w:rsid w:val="00626E6E"/>
    <w:rsid w:val="00626F6E"/>
    <w:rsid w:val="006278ED"/>
    <w:rsid w:val="00627B81"/>
    <w:rsid w:val="00627D2C"/>
    <w:rsid w:val="00627F49"/>
    <w:rsid w:val="006308F7"/>
    <w:rsid w:val="00631C60"/>
    <w:rsid w:val="00631E94"/>
    <w:rsid w:val="0063217A"/>
    <w:rsid w:val="00633A21"/>
    <w:rsid w:val="00633C45"/>
    <w:rsid w:val="00633C8A"/>
    <w:rsid w:val="0063467E"/>
    <w:rsid w:val="006348A2"/>
    <w:rsid w:val="00634A74"/>
    <w:rsid w:val="00634DEE"/>
    <w:rsid w:val="006353A3"/>
    <w:rsid w:val="00635834"/>
    <w:rsid w:val="00635AA2"/>
    <w:rsid w:val="00635DE8"/>
    <w:rsid w:val="00636B4F"/>
    <w:rsid w:val="00637B0C"/>
    <w:rsid w:val="00637E12"/>
    <w:rsid w:val="0064022F"/>
    <w:rsid w:val="006404BB"/>
    <w:rsid w:val="006406A0"/>
    <w:rsid w:val="00640898"/>
    <w:rsid w:val="00640D0D"/>
    <w:rsid w:val="00640DEF"/>
    <w:rsid w:val="0064108B"/>
    <w:rsid w:val="00641637"/>
    <w:rsid w:val="00641897"/>
    <w:rsid w:val="00642046"/>
    <w:rsid w:val="006424CA"/>
    <w:rsid w:val="00642CF2"/>
    <w:rsid w:val="006432F2"/>
    <w:rsid w:val="00643767"/>
    <w:rsid w:val="00643BCE"/>
    <w:rsid w:val="00645486"/>
    <w:rsid w:val="00645691"/>
    <w:rsid w:val="0064580B"/>
    <w:rsid w:val="0064638A"/>
    <w:rsid w:val="00646B3A"/>
    <w:rsid w:val="00646FC1"/>
    <w:rsid w:val="0064714F"/>
    <w:rsid w:val="00647206"/>
    <w:rsid w:val="006472FE"/>
    <w:rsid w:val="00647B95"/>
    <w:rsid w:val="00647EB6"/>
    <w:rsid w:val="006501A9"/>
    <w:rsid w:val="006505DE"/>
    <w:rsid w:val="00650CDC"/>
    <w:rsid w:val="006513ED"/>
    <w:rsid w:val="006518B0"/>
    <w:rsid w:val="00651F3A"/>
    <w:rsid w:val="006520D1"/>
    <w:rsid w:val="006525EE"/>
    <w:rsid w:val="00652D7E"/>
    <w:rsid w:val="00652F02"/>
    <w:rsid w:val="006537CB"/>
    <w:rsid w:val="00653C53"/>
    <w:rsid w:val="00653D28"/>
    <w:rsid w:val="00653EE9"/>
    <w:rsid w:val="006540CD"/>
    <w:rsid w:val="0065487F"/>
    <w:rsid w:val="00655C0B"/>
    <w:rsid w:val="00655F90"/>
    <w:rsid w:val="006563A7"/>
    <w:rsid w:val="00657038"/>
    <w:rsid w:val="00657ADC"/>
    <w:rsid w:val="00657DD3"/>
    <w:rsid w:val="00660309"/>
    <w:rsid w:val="0066054C"/>
    <w:rsid w:val="00660D73"/>
    <w:rsid w:val="00660E13"/>
    <w:rsid w:val="00661C0C"/>
    <w:rsid w:val="006621E3"/>
    <w:rsid w:val="00662352"/>
    <w:rsid w:val="006624BE"/>
    <w:rsid w:val="00663088"/>
    <w:rsid w:val="00663789"/>
    <w:rsid w:val="006637F6"/>
    <w:rsid w:val="00663843"/>
    <w:rsid w:val="00663AF8"/>
    <w:rsid w:val="00663B18"/>
    <w:rsid w:val="006642E4"/>
    <w:rsid w:val="00664A91"/>
    <w:rsid w:val="00664C90"/>
    <w:rsid w:val="006658E4"/>
    <w:rsid w:val="00665DA8"/>
    <w:rsid w:val="00665FFD"/>
    <w:rsid w:val="0066640E"/>
    <w:rsid w:val="006666A3"/>
    <w:rsid w:val="00666840"/>
    <w:rsid w:val="006669AF"/>
    <w:rsid w:val="00666D18"/>
    <w:rsid w:val="00670F97"/>
    <w:rsid w:val="00671830"/>
    <w:rsid w:val="006720CC"/>
    <w:rsid w:val="00672808"/>
    <w:rsid w:val="00673A0D"/>
    <w:rsid w:val="00673E40"/>
    <w:rsid w:val="006745B5"/>
    <w:rsid w:val="00674891"/>
    <w:rsid w:val="00675397"/>
    <w:rsid w:val="0067597A"/>
    <w:rsid w:val="00675B54"/>
    <w:rsid w:val="00675EF3"/>
    <w:rsid w:val="00675F0F"/>
    <w:rsid w:val="0067628A"/>
    <w:rsid w:val="00676596"/>
    <w:rsid w:val="006766CD"/>
    <w:rsid w:val="00676B5D"/>
    <w:rsid w:val="00676B7B"/>
    <w:rsid w:val="006774A5"/>
    <w:rsid w:val="00677715"/>
    <w:rsid w:val="006778DE"/>
    <w:rsid w:val="00677B32"/>
    <w:rsid w:val="00677C96"/>
    <w:rsid w:val="00677DE9"/>
    <w:rsid w:val="00680698"/>
    <w:rsid w:val="006809DE"/>
    <w:rsid w:val="00681FE7"/>
    <w:rsid w:val="006821ED"/>
    <w:rsid w:val="00682244"/>
    <w:rsid w:val="006823EF"/>
    <w:rsid w:val="0068257D"/>
    <w:rsid w:val="006825AB"/>
    <w:rsid w:val="0068268E"/>
    <w:rsid w:val="006833FF"/>
    <w:rsid w:val="00683A9E"/>
    <w:rsid w:val="00684110"/>
    <w:rsid w:val="00684964"/>
    <w:rsid w:val="00684A1C"/>
    <w:rsid w:val="00684C5B"/>
    <w:rsid w:val="006852F1"/>
    <w:rsid w:val="0068740A"/>
    <w:rsid w:val="00687948"/>
    <w:rsid w:val="00687ADF"/>
    <w:rsid w:val="00687B99"/>
    <w:rsid w:val="00687C56"/>
    <w:rsid w:val="00687C62"/>
    <w:rsid w:val="00687EE9"/>
    <w:rsid w:val="0069014B"/>
    <w:rsid w:val="00690D22"/>
    <w:rsid w:val="0069138D"/>
    <w:rsid w:val="0069149E"/>
    <w:rsid w:val="00692138"/>
    <w:rsid w:val="00692139"/>
    <w:rsid w:val="00692735"/>
    <w:rsid w:val="006929E8"/>
    <w:rsid w:val="00693359"/>
    <w:rsid w:val="00693C2C"/>
    <w:rsid w:val="006940FF"/>
    <w:rsid w:val="006943F2"/>
    <w:rsid w:val="00694ACC"/>
    <w:rsid w:val="006957E4"/>
    <w:rsid w:val="00696895"/>
    <w:rsid w:val="00697191"/>
    <w:rsid w:val="006971BF"/>
    <w:rsid w:val="00697BD9"/>
    <w:rsid w:val="00697DBE"/>
    <w:rsid w:val="006A00B3"/>
    <w:rsid w:val="006A0C8E"/>
    <w:rsid w:val="006A1243"/>
    <w:rsid w:val="006A2813"/>
    <w:rsid w:val="006A2E60"/>
    <w:rsid w:val="006A4571"/>
    <w:rsid w:val="006A4778"/>
    <w:rsid w:val="006A4792"/>
    <w:rsid w:val="006A4986"/>
    <w:rsid w:val="006A4FE0"/>
    <w:rsid w:val="006A52DA"/>
    <w:rsid w:val="006A5730"/>
    <w:rsid w:val="006A5733"/>
    <w:rsid w:val="006A5D47"/>
    <w:rsid w:val="006A616A"/>
    <w:rsid w:val="006A6905"/>
    <w:rsid w:val="006A6BDA"/>
    <w:rsid w:val="006A7322"/>
    <w:rsid w:val="006A7D76"/>
    <w:rsid w:val="006A7E0B"/>
    <w:rsid w:val="006A7ECC"/>
    <w:rsid w:val="006B0B50"/>
    <w:rsid w:val="006B0F9A"/>
    <w:rsid w:val="006B14ED"/>
    <w:rsid w:val="006B1714"/>
    <w:rsid w:val="006B1A1E"/>
    <w:rsid w:val="006B218A"/>
    <w:rsid w:val="006B27EF"/>
    <w:rsid w:val="006B2CBB"/>
    <w:rsid w:val="006B3095"/>
    <w:rsid w:val="006B3186"/>
    <w:rsid w:val="006B40FE"/>
    <w:rsid w:val="006B4126"/>
    <w:rsid w:val="006B4E99"/>
    <w:rsid w:val="006B5A9A"/>
    <w:rsid w:val="006B63C6"/>
    <w:rsid w:val="006B6526"/>
    <w:rsid w:val="006B69DF"/>
    <w:rsid w:val="006B6B62"/>
    <w:rsid w:val="006B6D40"/>
    <w:rsid w:val="006B6F77"/>
    <w:rsid w:val="006B77CF"/>
    <w:rsid w:val="006B7A9C"/>
    <w:rsid w:val="006C0521"/>
    <w:rsid w:val="006C141B"/>
    <w:rsid w:val="006C1489"/>
    <w:rsid w:val="006C15DE"/>
    <w:rsid w:val="006C2934"/>
    <w:rsid w:val="006C348C"/>
    <w:rsid w:val="006C39AE"/>
    <w:rsid w:val="006C3C41"/>
    <w:rsid w:val="006C3F5C"/>
    <w:rsid w:val="006C4124"/>
    <w:rsid w:val="006C438A"/>
    <w:rsid w:val="006C48B1"/>
    <w:rsid w:val="006C48F1"/>
    <w:rsid w:val="006C4955"/>
    <w:rsid w:val="006C4BC5"/>
    <w:rsid w:val="006C5351"/>
    <w:rsid w:val="006C554E"/>
    <w:rsid w:val="006C5724"/>
    <w:rsid w:val="006C5B0E"/>
    <w:rsid w:val="006C64B8"/>
    <w:rsid w:val="006C6646"/>
    <w:rsid w:val="006C7198"/>
    <w:rsid w:val="006C78D8"/>
    <w:rsid w:val="006C78FB"/>
    <w:rsid w:val="006D0AB3"/>
    <w:rsid w:val="006D0D7E"/>
    <w:rsid w:val="006D12E7"/>
    <w:rsid w:val="006D1B9E"/>
    <w:rsid w:val="006D2FB8"/>
    <w:rsid w:val="006D32A6"/>
    <w:rsid w:val="006D3483"/>
    <w:rsid w:val="006D3C4D"/>
    <w:rsid w:val="006D3DAB"/>
    <w:rsid w:val="006D46CA"/>
    <w:rsid w:val="006D5EAA"/>
    <w:rsid w:val="006D6833"/>
    <w:rsid w:val="006D6921"/>
    <w:rsid w:val="006D6CCC"/>
    <w:rsid w:val="006D73C6"/>
    <w:rsid w:val="006D780A"/>
    <w:rsid w:val="006D7B87"/>
    <w:rsid w:val="006E0AA3"/>
    <w:rsid w:val="006E0D8F"/>
    <w:rsid w:val="006E181F"/>
    <w:rsid w:val="006E2117"/>
    <w:rsid w:val="006E23D4"/>
    <w:rsid w:val="006E24B1"/>
    <w:rsid w:val="006E268E"/>
    <w:rsid w:val="006E284B"/>
    <w:rsid w:val="006E2F27"/>
    <w:rsid w:val="006E3400"/>
    <w:rsid w:val="006E34FC"/>
    <w:rsid w:val="006E3AA9"/>
    <w:rsid w:val="006E3BE9"/>
    <w:rsid w:val="006E3E8D"/>
    <w:rsid w:val="006E3F55"/>
    <w:rsid w:val="006E4656"/>
    <w:rsid w:val="006E46E4"/>
    <w:rsid w:val="006E470F"/>
    <w:rsid w:val="006E4B55"/>
    <w:rsid w:val="006E4D2D"/>
    <w:rsid w:val="006E4F59"/>
    <w:rsid w:val="006E53B0"/>
    <w:rsid w:val="006E5FE6"/>
    <w:rsid w:val="006E6267"/>
    <w:rsid w:val="006E692B"/>
    <w:rsid w:val="006E704C"/>
    <w:rsid w:val="006E7293"/>
    <w:rsid w:val="006E7FAE"/>
    <w:rsid w:val="006F04C1"/>
    <w:rsid w:val="006F10B5"/>
    <w:rsid w:val="006F12E8"/>
    <w:rsid w:val="006F18D3"/>
    <w:rsid w:val="006F1C5B"/>
    <w:rsid w:val="006F1E54"/>
    <w:rsid w:val="006F1F22"/>
    <w:rsid w:val="006F244D"/>
    <w:rsid w:val="006F2481"/>
    <w:rsid w:val="006F2522"/>
    <w:rsid w:val="006F282B"/>
    <w:rsid w:val="006F2ACE"/>
    <w:rsid w:val="006F35A7"/>
    <w:rsid w:val="006F3EFB"/>
    <w:rsid w:val="006F46C9"/>
    <w:rsid w:val="006F4836"/>
    <w:rsid w:val="006F503B"/>
    <w:rsid w:val="006F5147"/>
    <w:rsid w:val="006F6011"/>
    <w:rsid w:val="006F68E4"/>
    <w:rsid w:val="006F745F"/>
    <w:rsid w:val="006F7DC3"/>
    <w:rsid w:val="007003F8"/>
    <w:rsid w:val="0070046C"/>
    <w:rsid w:val="00700CFD"/>
    <w:rsid w:val="00701C03"/>
    <w:rsid w:val="0070203F"/>
    <w:rsid w:val="00703272"/>
    <w:rsid w:val="0070369F"/>
    <w:rsid w:val="00703852"/>
    <w:rsid w:val="00704D18"/>
    <w:rsid w:val="0070515F"/>
    <w:rsid w:val="00705622"/>
    <w:rsid w:val="00705B96"/>
    <w:rsid w:val="00705D54"/>
    <w:rsid w:val="00705D5F"/>
    <w:rsid w:val="00706515"/>
    <w:rsid w:val="00706A95"/>
    <w:rsid w:val="00707B62"/>
    <w:rsid w:val="00707F49"/>
    <w:rsid w:val="00710576"/>
    <w:rsid w:val="00710C80"/>
    <w:rsid w:val="00710E69"/>
    <w:rsid w:val="00711082"/>
    <w:rsid w:val="007115EF"/>
    <w:rsid w:val="00712672"/>
    <w:rsid w:val="00712F03"/>
    <w:rsid w:val="00714B53"/>
    <w:rsid w:val="00714F00"/>
    <w:rsid w:val="00715EFF"/>
    <w:rsid w:val="007167F7"/>
    <w:rsid w:val="00717222"/>
    <w:rsid w:val="007177A3"/>
    <w:rsid w:val="00717E0A"/>
    <w:rsid w:val="00717EE0"/>
    <w:rsid w:val="007206E8"/>
    <w:rsid w:val="007208D5"/>
    <w:rsid w:val="00721061"/>
    <w:rsid w:val="0072161F"/>
    <w:rsid w:val="00722547"/>
    <w:rsid w:val="00722596"/>
    <w:rsid w:val="00722F92"/>
    <w:rsid w:val="007233D7"/>
    <w:rsid w:val="00723D29"/>
    <w:rsid w:val="00724404"/>
    <w:rsid w:val="00724F13"/>
    <w:rsid w:val="00725358"/>
    <w:rsid w:val="00725397"/>
    <w:rsid w:val="00725D67"/>
    <w:rsid w:val="00725E00"/>
    <w:rsid w:val="007262C9"/>
    <w:rsid w:val="0072749D"/>
    <w:rsid w:val="00727E0D"/>
    <w:rsid w:val="007301AC"/>
    <w:rsid w:val="00730D71"/>
    <w:rsid w:val="00730F50"/>
    <w:rsid w:val="007312C3"/>
    <w:rsid w:val="00731E2A"/>
    <w:rsid w:val="007325C7"/>
    <w:rsid w:val="007327B8"/>
    <w:rsid w:val="007328EF"/>
    <w:rsid w:val="00732E72"/>
    <w:rsid w:val="007339E9"/>
    <w:rsid w:val="00733B94"/>
    <w:rsid w:val="007345A6"/>
    <w:rsid w:val="00734B16"/>
    <w:rsid w:val="007354A0"/>
    <w:rsid w:val="00735903"/>
    <w:rsid w:val="0073596A"/>
    <w:rsid w:val="00735A25"/>
    <w:rsid w:val="00736358"/>
    <w:rsid w:val="007363D4"/>
    <w:rsid w:val="00736688"/>
    <w:rsid w:val="007366FE"/>
    <w:rsid w:val="00736741"/>
    <w:rsid w:val="00736912"/>
    <w:rsid w:val="0073693C"/>
    <w:rsid w:val="00740094"/>
    <w:rsid w:val="007405A5"/>
    <w:rsid w:val="00740977"/>
    <w:rsid w:val="00740F00"/>
    <w:rsid w:val="0074102D"/>
    <w:rsid w:val="007412C7"/>
    <w:rsid w:val="00741580"/>
    <w:rsid w:val="0074203F"/>
    <w:rsid w:val="00742B0B"/>
    <w:rsid w:val="00742BFB"/>
    <w:rsid w:val="00743F41"/>
    <w:rsid w:val="00744936"/>
    <w:rsid w:val="00745316"/>
    <w:rsid w:val="007458E3"/>
    <w:rsid w:val="00746877"/>
    <w:rsid w:val="00746E32"/>
    <w:rsid w:val="00746EFA"/>
    <w:rsid w:val="0074709D"/>
    <w:rsid w:val="00747780"/>
    <w:rsid w:val="00747C41"/>
    <w:rsid w:val="00747DE2"/>
    <w:rsid w:val="00750A6D"/>
    <w:rsid w:val="00750EE1"/>
    <w:rsid w:val="00750FA2"/>
    <w:rsid w:val="0075147D"/>
    <w:rsid w:val="0075177D"/>
    <w:rsid w:val="00751C88"/>
    <w:rsid w:val="00751CD6"/>
    <w:rsid w:val="00752D93"/>
    <w:rsid w:val="00753747"/>
    <w:rsid w:val="00753986"/>
    <w:rsid w:val="007545A2"/>
    <w:rsid w:val="00754AEC"/>
    <w:rsid w:val="0075558B"/>
    <w:rsid w:val="007561D1"/>
    <w:rsid w:val="00757200"/>
    <w:rsid w:val="00757AD5"/>
    <w:rsid w:val="0076012C"/>
    <w:rsid w:val="007601E3"/>
    <w:rsid w:val="00760601"/>
    <w:rsid w:val="00761095"/>
    <w:rsid w:val="0076164A"/>
    <w:rsid w:val="0076202B"/>
    <w:rsid w:val="007625E8"/>
    <w:rsid w:val="007628DB"/>
    <w:rsid w:val="00762B79"/>
    <w:rsid w:val="007630C5"/>
    <w:rsid w:val="00763926"/>
    <w:rsid w:val="0076392F"/>
    <w:rsid w:val="00763A4F"/>
    <w:rsid w:val="00763CC7"/>
    <w:rsid w:val="00763D72"/>
    <w:rsid w:val="00764189"/>
    <w:rsid w:val="007645CB"/>
    <w:rsid w:val="00764806"/>
    <w:rsid w:val="00765116"/>
    <w:rsid w:val="00765145"/>
    <w:rsid w:val="0076537E"/>
    <w:rsid w:val="0076579D"/>
    <w:rsid w:val="00765FF9"/>
    <w:rsid w:val="00766EBA"/>
    <w:rsid w:val="00767395"/>
    <w:rsid w:val="007677AF"/>
    <w:rsid w:val="00767C41"/>
    <w:rsid w:val="007702FB"/>
    <w:rsid w:val="00770D7A"/>
    <w:rsid w:val="00771983"/>
    <w:rsid w:val="00771AD8"/>
    <w:rsid w:val="00772801"/>
    <w:rsid w:val="0077338A"/>
    <w:rsid w:val="007733BE"/>
    <w:rsid w:val="007739A7"/>
    <w:rsid w:val="00773F1A"/>
    <w:rsid w:val="00774145"/>
    <w:rsid w:val="0077425A"/>
    <w:rsid w:val="00775155"/>
    <w:rsid w:val="00775531"/>
    <w:rsid w:val="0077564F"/>
    <w:rsid w:val="00775956"/>
    <w:rsid w:val="00775C5D"/>
    <w:rsid w:val="00775D69"/>
    <w:rsid w:val="0077631E"/>
    <w:rsid w:val="00776EEB"/>
    <w:rsid w:val="00777A87"/>
    <w:rsid w:val="00777C11"/>
    <w:rsid w:val="00777E9C"/>
    <w:rsid w:val="00780BCB"/>
    <w:rsid w:val="00780CE4"/>
    <w:rsid w:val="00781322"/>
    <w:rsid w:val="0078134E"/>
    <w:rsid w:val="00781368"/>
    <w:rsid w:val="00781A25"/>
    <w:rsid w:val="00781EB9"/>
    <w:rsid w:val="00782045"/>
    <w:rsid w:val="00782188"/>
    <w:rsid w:val="00782A95"/>
    <w:rsid w:val="00782B7F"/>
    <w:rsid w:val="00783462"/>
    <w:rsid w:val="0078357F"/>
    <w:rsid w:val="00783B27"/>
    <w:rsid w:val="00783C57"/>
    <w:rsid w:val="007848F1"/>
    <w:rsid w:val="00785378"/>
    <w:rsid w:val="0078560E"/>
    <w:rsid w:val="00785A25"/>
    <w:rsid w:val="00786044"/>
    <w:rsid w:val="0078650C"/>
    <w:rsid w:val="00786E24"/>
    <w:rsid w:val="00787BBC"/>
    <w:rsid w:val="00790180"/>
    <w:rsid w:val="007902ED"/>
    <w:rsid w:val="007903F3"/>
    <w:rsid w:val="00791057"/>
    <w:rsid w:val="007910F1"/>
    <w:rsid w:val="00791D30"/>
    <w:rsid w:val="00792AA2"/>
    <w:rsid w:val="00792BBC"/>
    <w:rsid w:val="00792D29"/>
    <w:rsid w:val="00793A40"/>
    <w:rsid w:val="00793FB6"/>
    <w:rsid w:val="007943FB"/>
    <w:rsid w:val="007944DD"/>
    <w:rsid w:val="007945B7"/>
    <w:rsid w:val="00794AFB"/>
    <w:rsid w:val="00795663"/>
    <w:rsid w:val="007961A1"/>
    <w:rsid w:val="0079667F"/>
    <w:rsid w:val="00797B4C"/>
    <w:rsid w:val="007A0214"/>
    <w:rsid w:val="007A052B"/>
    <w:rsid w:val="007A062F"/>
    <w:rsid w:val="007A0C32"/>
    <w:rsid w:val="007A1687"/>
    <w:rsid w:val="007A1D4A"/>
    <w:rsid w:val="007A260C"/>
    <w:rsid w:val="007A360B"/>
    <w:rsid w:val="007A4D42"/>
    <w:rsid w:val="007A6050"/>
    <w:rsid w:val="007A6A99"/>
    <w:rsid w:val="007A6AB9"/>
    <w:rsid w:val="007A6C2E"/>
    <w:rsid w:val="007A6E03"/>
    <w:rsid w:val="007A724B"/>
    <w:rsid w:val="007A744E"/>
    <w:rsid w:val="007A74FC"/>
    <w:rsid w:val="007A7737"/>
    <w:rsid w:val="007B0B13"/>
    <w:rsid w:val="007B0D1D"/>
    <w:rsid w:val="007B0EE6"/>
    <w:rsid w:val="007B1159"/>
    <w:rsid w:val="007B14E1"/>
    <w:rsid w:val="007B17E1"/>
    <w:rsid w:val="007B23A6"/>
    <w:rsid w:val="007B2681"/>
    <w:rsid w:val="007B2946"/>
    <w:rsid w:val="007B3BCD"/>
    <w:rsid w:val="007B4B8E"/>
    <w:rsid w:val="007B4D91"/>
    <w:rsid w:val="007B4F9F"/>
    <w:rsid w:val="007B525A"/>
    <w:rsid w:val="007B546D"/>
    <w:rsid w:val="007B557E"/>
    <w:rsid w:val="007B5839"/>
    <w:rsid w:val="007B620E"/>
    <w:rsid w:val="007B6853"/>
    <w:rsid w:val="007B7150"/>
    <w:rsid w:val="007B78CE"/>
    <w:rsid w:val="007C0483"/>
    <w:rsid w:val="007C05CD"/>
    <w:rsid w:val="007C100C"/>
    <w:rsid w:val="007C1483"/>
    <w:rsid w:val="007C15E5"/>
    <w:rsid w:val="007C1933"/>
    <w:rsid w:val="007C26FB"/>
    <w:rsid w:val="007C28D6"/>
    <w:rsid w:val="007C3074"/>
    <w:rsid w:val="007C34DD"/>
    <w:rsid w:val="007C3718"/>
    <w:rsid w:val="007C3A78"/>
    <w:rsid w:val="007C3F61"/>
    <w:rsid w:val="007C4FC2"/>
    <w:rsid w:val="007C5AF6"/>
    <w:rsid w:val="007C6033"/>
    <w:rsid w:val="007C64EC"/>
    <w:rsid w:val="007C6E67"/>
    <w:rsid w:val="007C6EEC"/>
    <w:rsid w:val="007C7B68"/>
    <w:rsid w:val="007C7B76"/>
    <w:rsid w:val="007C7DF2"/>
    <w:rsid w:val="007D0231"/>
    <w:rsid w:val="007D09EA"/>
    <w:rsid w:val="007D0BE3"/>
    <w:rsid w:val="007D111A"/>
    <w:rsid w:val="007D14DA"/>
    <w:rsid w:val="007D18FA"/>
    <w:rsid w:val="007D19B7"/>
    <w:rsid w:val="007D36A2"/>
    <w:rsid w:val="007D374D"/>
    <w:rsid w:val="007D4214"/>
    <w:rsid w:val="007D47BF"/>
    <w:rsid w:val="007D4EB2"/>
    <w:rsid w:val="007D4F75"/>
    <w:rsid w:val="007D5373"/>
    <w:rsid w:val="007D5421"/>
    <w:rsid w:val="007D5ABF"/>
    <w:rsid w:val="007D5D3D"/>
    <w:rsid w:val="007D5D9A"/>
    <w:rsid w:val="007D5F74"/>
    <w:rsid w:val="007D671A"/>
    <w:rsid w:val="007D68D3"/>
    <w:rsid w:val="007D6AE3"/>
    <w:rsid w:val="007D7134"/>
    <w:rsid w:val="007D721D"/>
    <w:rsid w:val="007D78EF"/>
    <w:rsid w:val="007D7BFB"/>
    <w:rsid w:val="007D7E24"/>
    <w:rsid w:val="007E0094"/>
    <w:rsid w:val="007E04F9"/>
    <w:rsid w:val="007E0780"/>
    <w:rsid w:val="007E088B"/>
    <w:rsid w:val="007E0C04"/>
    <w:rsid w:val="007E0F0F"/>
    <w:rsid w:val="007E1064"/>
    <w:rsid w:val="007E1653"/>
    <w:rsid w:val="007E1CAF"/>
    <w:rsid w:val="007E2120"/>
    <w:rsid w:val="007E2BA8"/>
    <w:rsid w:val="007E2CF7"/>
    <w:rsid w:val="007E2E5E"/>
    <w:rsid w:val="007E2EDC"/>
    <w:rsid w:val="007E31C1"/>
    <w:rsid w:val="007E35F5"/>
    <w:rsid w:val="007E386F"/>
    <w:rsid w:val="007E3C69"/>
    <w:rsid w:val="007E3FB8"/>
    <w:rsid w:val="007E412A"/>
    <w:rsid w:val="007E46FF"/>
    <w:rsid w:val="007E4C28"/>
    <w:rsid w:val="007E50B9"/>
    <w:rsid w:val="007E55B3"/>
    <w:rsid w:val="007E58CC"/>
    <w:rsid w:val="007E6063"/>
    <w:rsid w:val="007E60C6"/>
    <w:rsid w:val="007E615D"/>
    <w:rsid w:val="007E66ED"/>
    <w:rsid w:val="007E6988"/>
    <w:rsid w:val="007E6D95"/>
    <w:rsid w:val="007E6F77"/>
    <w:rsid w:val="007E7648"/>
    <w:rsid w:val="007F09D9"/>
    <w:rsid w:val="007F0B07"/>
    <w:rsid w:val="007F102D"/>
    <w:rsid w:val="007F131F"/>
    <w:rsid w:val="007F1B9E"/>
    <w:rsid w:val="007F259F"/>
    <w:rsid w:val="007F2C5D"/>
    <w:rsid w:val="007F31F6"/>
    <w:rsid w:val="007F33A7"/>
    <w:rsid w:val="007F3731"/>
    <w:rsid w:val="007F49A1"/>
    <w:rsid w:val="007F4AB2"/>
    <w:rsid w:val="007F4B82"/>
    <w:rsid w:val="007F4DCE"/>
    <w:rsid w:val="007F4E6F"/>
    <w:rsid w:val="007F51BA"/>
    <w:rsid w:val="007F5548"/>
    <w:rsid w:val="007F57AD"/>
    <w:rsid w:val="007F5AB4"/>
    <w:rsid w:val="007F6AFE"/>
    <w:rsid w:val="007F7492"/>
    <w:rsid w:val="007F7929"/>
    <w:rsid w:val="007F7CD5"/>
    <w:rsid w:val="007F7E9D"/>
    <w:rsid w:val="008016F1"/>
    <w:rsid w:val="00801DE8"/>
    <w:rsid w:val="00802459"/>
    <w:rsid w:val="00803987"/>
    <w:rsid w:val="00803CD3"/>
    <w:rsid w:val="00803E3F"/>
    <w:rsid w:val="0080489F"/>
    <w:rsid w:val="00804A4A"/>
    <w:rsid w:val="00804C12"/>
    <w:rsid w:val="00804F90"/>
    <w:rsid w:val="00804FD1"/>
    <w:rsid w:val="00804FEE"/>
    <w:rsid w:val="0080591A"/>
    <w:rsid w:val="008060C9"/>
    <w:rsid w:val="00806202"/>
    <w:rsid w:val="00806330"/>
    <w:rsid w:val="008063D6"/>
    <w:rsid w:val="00806CE0"/>
    <w:rsid w:val="00806E34"/>
    <w:rsid w:val="00807687"/>
    <w:rsid w:val="00807D91"/>
    <w:rsid w:val="008102B2"/>
    <w:rsid w:val="008111E6"/>
    <w:rsid w:val="00811282"/>
    <w:rsid w:val="008113AA"/>
    <w:rsid w:val="00811D46"/>
    <w:rsid w:val="00812AFA"/>
    <w:rsid w:val="00812C70"/>
    <w:rsid w:val="00812EFC"/>
    <w:rsid w:val="00812F52"/>
    <w:rsid w:val="00812FAF"/>
    <w:rsid w:val="00813213"/>
    <w:rsid w:val="008135DF"/>
    <w:rsid w:val="008139AC"/>
    <w:rsid w:val="00813B50"/>
    <w:rsid w:val="00813CE6"/>
    <w:rsid w:val="00813D26"/>
    <w:rsid w:val="00813E4C"/>
    <w:rsid w:val="008141B9"/>
    <w:rsid w:val="0081463F"/>
    <w:rsid w:val="008152C2"/>
    <w:rsid w:val="008155FB"/>
    <w:rsid w:val="0081711B"/>
    <w:rsid w:val="00817217"/>
    <w:rsid w:val="008172A8"/>
    <w:rsid w:val="00817330"/>
    <w:rsid w:val="00817761"/>
    <w:rsid w:val="00817768"/>
    <w:rsid w:val="008178A3"/>
    <w:rsid w:val="0082008F"/>
    <w:rsid w:val="00820145"/>
    <w:rsid w:val="008207F4"/>
    <w:rsid w:val="0082087D"/>
    <w:rsid w:val="00820972"/>
    <w:rsid w:val="00820BCB"/>
    <w:rsid w:val="00820E29"/>
    <w:rsid w:val="00821615"/>
    <w:rsid w:val="00821AC6"/>
    <w:rsid w:val="00822329"/>
    <w:rsid w:val="008224F9"/>
    <w:rsid w:val="008228C5"/>
    <w:rsid w:val="00823048"/>
    <w:rsid w:val="00823129"/>
    <w:rsid w:val="008232D0"/>
    <w:rsid w:val="00823A9E"/>
    <w:rsid w:val="00823D0F"/>
    <w:rsid w:val="00824014"/>
    <w:rsid w:val="0082415F"/>
    <w:rsid w:val="00824AD7"/>
    <w:rsid w:val="00824C52"/>
    <w:rsid w:val="00825516"/>
    <w:rsid w:val="00825BE5"/>
    <w:rsid w:val="00826A5E"/>
    <w:rsid w:val="00826EBE"/>
    <w:rsid w:val="00826ED5"/>
    <w:rsid w:val="00827184"/>
    <w:rsid w:val="008276C7"/>
    <w:rsid w:val="00827A48"/>
    <w:rsid w:val="00827BA8"/>
    <w:rsid w:val="00827F20"/>
    <w:rsid w:val="00827FEE"/>
    <w:rsid w:val="0083045F"/>
    <w:rsid w:val="00830EFF"/>
    <w:rsid w:val="008313BE"/>
    <w:rsid w:val="00831ECD"/>
    <w:rsid w:val="008329F9"/>
    <w:rsid w:val="00832FA9"/>
    <w:rsid w:val="008330E3"/>
    <w:rsid w:val="00833279"/>
    <w:rsid w:val="00833517"/>
    <w:rsid w:val="00833546"/>
    <w:rsid w:val="00833630"/>
    <w:rsid w:val="00833889"/>
    <w:rsid w:val="00833D23"/>
    <w:rsid w:val="0083406B"/>
    <w:rsid w:val="008344EE"/>
    <w:rsid w:val="00834518"/>
    <w:rsid w:val="008348E2"/>
    <w:rsid w:val="008350BE"/>
    <w:rsid w:val="008370A1"/>
    <w:rsid w:val="00837B08"/>
    <w:rsid w:val="00837DF4"/>
    <w:rsid w:val="00837ECB"/>
    <w:rsid w:val="00840564"/>
    <w:rsid w:val="008405E4"/>
    <w:rsid w:val="00840AC6"/>
    <w:rsid w:val="00842CF4"/>
    <w:rsid w:val="00842D58"/>
    <w:rsid w:val="00843BBA"/>
    <w:rsid w:val="00843D75"/>
    <w:rsid w:val="00844762"/>
    <w:rsid w:val="00844879"/>
    <w:rsid w:val="00844B1C"/>
    <w:rsid w:val="00845F4D"/>
    <w:rsid w:val="00846A79"/>
    <w:rsid w:val="00846BBC"/>
    <w:rsid w:val="008471E9"/>
    <w:rsid w:val="00847BEE"/>
    <w:rsid w:val="008509F4"/>
    <w:rsid w:val="00850D0C"/>
    <w:rsid w:val="0085126F"/>
    <w:rsid w:val="0085162E"/>
    <w:rsid w:val="00852B90"/>
    <w:rsid w:val="00853A6D"/>
    <w:rsid w:val="00853F5E"/>
    <w:rsid w:val="00854A00"/>
    <w:rsid w:val="00854A10"/>
    <w:rsid w:val="0085516F"/>
    <w:rsid w:val="00855673"/>
    <w:rsid w:val="0085589E"/>
    <w:rsid w:val="00856367"/>
    <w:rsid w:val="00857384"/>
    <w:rsid w:val="0085748E"/>
    <w:rsid w:val="00857584"/>
    <w:rsid w:val="00860894"/>
    <w:rsid w:val="00860E47"/>
    <w:rsid w:val="0086100E"/>
    <w:rsid w:val="0086141B"/>
    <w:rsid w:val="00861889"/>
    <w:rsid w:val="008619B2"/>
    <w:rsid w:val="008619C0"/>
    <w:rsid w:val="00861BA7"/>
    <w:rsid w:val="0086204D"/>
    <w:rsid w:val="008628A4"/>
    <w:rsid w:val="008629C0"/>
    <w:rsid w:val="008631D9"/>
    <w:rsid w:val="008632D9"/>
    <w:rsid w:val="00863A8A"/>
    <w:rsid w:val="00864129"/>
    <w:rsid w:val="00864147"/>
    <w:rsid w:val="0086453F"/>
    <w:rsid w:val="00864947"/>
    <w:rsid w:val="00864A2B"/>
    <w:rsid w:val="00864B4E"/>
    <w:rsid w:val="00865202"/>
    <w:rsid w:val="00865354"/>
    <w:rsid w:val="00866416"/>
    <w:rsid w:val="00866C34"/>
    <w:rsid w:val="00866DA3"/>
    <w:rsid w:val="00866EA1"/>
    <w:rsid w:val="00870445"/>
    <w:rsid w:val="008716DC"/>
    <w:rsid w:val="00871EC5"/>
    <w:rsid w:val="00872E2B"/>
    <w:rsid w:val="008730E6"/>
    <w:rsid w:val="0087316A"/>
    <w:rsid w:val="008732A8"/>
    <w:rsid w:val="00873DAA"/>
    <w:rsid w:val="00874053"/>
    <w:rsid w:val="0087415C"/>
    <w:rsid w:val="00874200"/>
    <w:rsid w:val="008742D8"/>
    <w:rsid w:val="0087495F"/>
    <w:rsid w:val="00875031"/>
    <w:rsid w:val="008757EF"/>
    <w:rsid w:val="00875879"/>
    <w:rsid w:val="00876050"/>
    <w:rsid w:val="00876867"/>
    <w:rsid w:val="00876E2D"/>
    <w:rsid w:val="00877116"/>
    <w:rsid w:val="008775B8"/>
    <w:rsid w:val="00877B37"/>
    <w:rsid w:val="00877F02"/>
    <w:rsid w:val="008800B4"/>
    <w:rsid w:val="00880504"/>
    <w:rsid w:val="00880ADB"/>
    <w:rsid w:val="00881179"/>
    <w:rsid w:val="00881AF1"/>
    <w:rsid w:val="0088272F"/>
    <w:rsid w:val="00882FF3"/>
    <w:rsid w:val="0088327C"/>
    <w:rsid w:val="00883773"/>
    <w:rsid w:val="008838FA"/>
    <w:rsid w:val="00883C09"/>
    <w:rsid w:val="00884DEA"/>
    <w:rsid w:val="00885519"/>
    <w:rsid w:val="00885BAA"/>
    <w:rsid w:val="00885D51"/>
    <w:rsid w:val="00886981"/>
    <w:rsid w:val="00886E72"/>
    <w:rsid w:val="0088721D"/>
    <w:rsid w:val="00887331"/>
    <w:rsid w:val="00887D3D"/>
    <w:rsid w:val="008902D6"/>
    <w:rsid w:val="0089039D"/>
    <w:rsid w:val="0089058C"/>
    <w:rsid w:val="00890B27"/>
    <w:rsid w:val="00890C97"/>
    <w:rsid w:val="00890F7B"/>
    <w:rsid w:val="0089115B"/>
    <w:rsid w:val="00891273"/>
    <w:rsid w:val="00891318"/>
    <w:rsid w:val="008913A5"/>
    <w:rsid w:val="00891ABC"/>
    <w:rsid w:val="00891B20"/>
    <w:rsid w:val="0089340F"/>
    <w:rsid w:val="00894D84"/>
    <w:rsid w:val="00894F31"/>
    <w:rsid w:val="00895859"/>
    <w:rsid w:val="00895DBD"/>
    <w:rsid w:val="00896049"/>
    <w:rsid w:val="00896833"/>
    <w:rsid w:val="00896ECE"/>
    <w:rsid w:val="0089742B"/>
    <w:rsid w:val="00897756"/>
    <w:rsid w:val="008977F5"/>
    <w:rsid w:val="008979C0"/>
    <w:rsid w:val="00897C35"/>
    <w:rsid w:val="008A0257"/>
    <w:rsid w:val="008A0611"/>
    <w:rsid w:val="008A0A0A"/>
    <w:rsid w:val="008A1B33"/>
    <w:rsid w:val="008A2624"/>
    <w:rsid w:val="008A29A2"/>
    <w:rsid w:val="008A3223"/>
    <w:rsid w:val="008A3F9E"/>
    <w:rsid w:val="008A4A08"/>
    <w:rsid w:val="008A4EFC"/>
    <w:rsid w:val="008A52E3"/>
    <w:rsid w:val="008A5A40"/>
    <w:rsid w:val="008A5FA3"/>
    <w:rsid w:val="008A62C6"/>
    <w:rsid w:val="008A64F1"/>
    <w:rsid w:val="008A6D6E"/>
    <w:rsid w:val="008A7398"/>
    <w:rsid w:val="008A7D7E"/>
    <w:rsid w:val="008B060C"/>
    <w:rsid w:val="008B113A"/>
    <w:rsid w:val="008B139C"/>
    <w:rsid w:val="008B171B"/>
    <w:rsid w:val="008B1CAF"/>
    <w:rsid w:val="008B1DFA"/>
    <w:rsid w:val="008B1F55"/>
    <w:rsid w:val="008B2244"/>
    <w:rsid w:val="008B2369"/>
    <w:rsid w:val="008B26CD"/>
    <w:rsid w:val="008B27D5"/>
    <w:rsid w:val="008B281B"/>
    <w:rsid w:val="008B2A10"/>
    <w:rsid w:val="008B2B05"/>
    <w:rsid w:val="008B2B4A"/>
    <w:rsid w:val="008B2BB3"/>
    <w:rsid w:val="008B3AF4"/>
    <w:rsid w:val="008B3BEA"/>
    <w:rsid w:val="008B4ABA"/>
    <w:rsid w:val="008B6C0E"/>
    <w:rsid w:val="008B6D6D"/>
    <w:rsid w:val="008B6F51"/>
    <w:rsid w:val="008B70F2"/>
    <w:rsid w:val="008B7982"/>
    <w:rsid w:val="008B7E50"/>
    <w:rsid w:val="008B7EE1"/>
    <w:rsid w:val="008C0029"/>
    <w:rsid w:val="008C08F3"/>
    <w:rsid w:val="008C0AD7"/>
    <w:rsid w:val="008C0C56"/>
    <w:rsid w:val="008C18B6"/>
    <w:rsid w:val="008C200C"/>
    <w:rsid w:val="008C2B71"/>
    <w:rsid w:val="008C2F90"/>
    <w:rsid w:val="008C368E"/>
    <w:rsid w:val="008C4092"/>
    <w:rsid w:val="008C4162"/>
    <w:rsid w:val="008C4EF4"/>
    <w:rsid w:val="008C521B"/>
    <w:rsid w:val="008C53F2"/>
    <w:rsid w:val="008C5CF0"/>
    <w:rsid w:val="008C5F41"/>
    <w:rsid w:val="008C60C8"/>
    <w:rsid w:val="008C6222"/>
    <w:rsid w:val="008C655D"/>
    <w:rsid w:val="008C7675"/>
    <w:rsid w:val="008C780F"/>
    <w:rsid w:val="008C782F"/>
    <w:rsid w:val="008C7DED"/>
    <w:rsid w:val="008D0606"/>
    <w:rsid w:val="008D07F5"/>
    <w:rsid w:val="008D0B51"/>
    <w:rsid w:val="008D11EF"/>
    <w:rsid w:val="008D1389"/>
    <w:rsid w:val="008D1C1C"/>
    <w:rsid w:val="008D247F"/>
    <w:rsid w:val="008D2560"/>
    <w:rsid w:val="008D2A81"/>
    <w:rsid w:val="008D2AB9"/>
    <w:rsid w:val="008D2D74"/>
    <w:rsid w:val="008D34E9"/>
    <w:rsid w:val="008D3E67"/>
    <w:rsid w:val="008D3EA4"/>
    <w:rsid w:val="008D495A"/>
    <w:rsid w:val="008D4C27"/>
    <w:rsid w:val="008D4C52"/>
    <w:rsid w:val="008D4EA9"/>
    <w:rsid w:val="008D50EF"/>
    <w:rsid w:val="008D67B5"/>
    <w:rsid w:val="008D7CBE"/>
    <w:rsid w:val="008D7D61"/>
    <w:rsid w:val="008E12BE"/>
    <w:rsid w:val="008E159F"/>
    <w:rsid w:val="008E281B"/>
    <w:rsid w:val="008E29C0"/>
    <w:rsid w:val="008E2A9A"/>
    <w:rsid w:val="008E2C26"/>
    <w:rsid w:val="008E37C1"/>
    <w:rsid w:val="008E3A53"/>
    <w:rsid w:val="008E3EC8"/>
    <w:rsid w:val="008E4286"/>
    <w:rsid w:val="008E4864"/>
    <w:rsid w:val="008E5143"/>
    <w:rsid w:val="008E5555"/>
    <w:rsid w:val="008E6064"/>
    <w:rsid w:val="008E6254"/>
    <w:rsid w:val="008E76D5"/>
    <w:rsid w:val="008E7EEF"/>
    <w:rsid w:val="008E7F2D"/>
    <w:rsid w:val="008F0022"/>
    <w:rsid w:val="008F035F"/>
    <w:rsid w:val="008F0423"/>
    <w:rsid w:val="008F04AA"/>
    <w:rsid w:val="008F0EA2"/>
    <w:rsid w:val="008F127A"/>
    <w:rsid w:val="008F145E"/>
    <w:rsid w:val="008F1607"/>
    <w:rsid w:val="008F277E"/>
    <w:rsid w:val="008F2B61"/>
    <w:rsid w:val="008F2EE1"/>
    <w:rsid w:val="008F304C"/>
    <w:rsid w:val="008F312C"/>
    <w:rsid w:val="008F317B"/>
    <w:rsid w:val="008F3912"/>
    <w:rsid w:val="008F3ABA"/>
    <w:rsid w:val="008F3BDB"/>
    <w:rsid w:val="008F45C9"/>
    <w:rsid w:val="008F51FB"/>
    <w:rsid w:val="008F554B"/>
    <w:rsid w:val="008F57A9"/>
    <w:rsid w:val="008F5CE7"/>
    <w:rsid w:val="008F5DF4"/>
    <w:rsid w:val="008F64E5"/>
    <w:rsid w:val="008F6609"/>
    <w:rsid w:val="008F6ADF"/>
    <w:rsid w:val="008F6B28"/>
    <w:rsid w:val="008F6B53"/>
    <w:rsid w:val="008F7093"/>
    <w:rsid w:val="008F7302"/>
    <w:rsid w:val="008F791B"/>
    <w:rsid w:val="00900304"/>
    <w:rsid w:val="00900986"/>
    <w:rsid w:val="00901556"/>
    <w:rsid w:val="0090177C"/>
    <w:rsid w:val="00901AC8"/>
    <w:rsid w:val="00901B24"/>
    <w:rsid w:val="00901B5B"/>
    <w:rsid w:val="00901D98"/>
    <w:rsid w:val="009020A6"/>
    <w:rsid w:val="009023CA"/>
    <w:rsid w:val="00902AB6"/>
    <w:rsid w:val="00903FF8"/>
    <w:rsid w:val="00904146"/>
    <w:rsid w:val="00904CA6"/>
    <w:rsid w:val="00904E76"/>
    <w:rsid w:val="00904F33"/>
    <w:rsid w:val="00906AA2"/>
    <w:rsid w:val="009071F2"/>
    <w:rsid w:val="00907D82"/>
    <w:rsid w:val="00907DC0"/>
    <w:rsid w:val="009104E8"/>
    <w:rsid w:val="00910A3A"/>
    <w:rsid w:val="00910B48"/>
    <w:rsid w:val="00910D73"/>
    <w:rsid w:val="009119E2"/>
    <w:rsid w:val="00911D92"/>
    <w:rsid w:val="00912D2C"/>
    <w:rsid w:val="00912D95"/>
    <w:rsid w:val="00912FC0"/>
    <w:rsid w:val="00912FCA"/>
    <w:rsid w:val="00913091"/>
    <w:rsid w:val="009130BF"/>
    <w:rsid w:val="00913D40"/>
    <w:rsid w:val="00913F80"/>
    <w:rsid w:val="00914864"/>
    <w:rsid w:val="00914DAE"/>
    <w:rsid w:val="009151B2"/>
    <w:rsid w:val="00915219"/>
    <w:rsid w:val="00915369"/>
    <w:rsid w:val="009156A4"/>
    <w:rsid w:val="00915D4B"/>
    <w:rsid w:val="00916A5A"/>
    <w:rsid w:val="00916C3D"/>
    <w:rsid w:val="0091704D"/>
    <w:rsid w:val="00917571"/>
    <w:rsid w:val="009176FB"/>
    <w:rsid w:val="00920429"/>
    <w:rsid w:val="009206B5"/>
    <w:rsid w:val="009208F7"/>
    <w:rsid w:val="0092154A"/>
    <w:rsid w:val="00921A0D"/>
    <w:rsid w:val="00921D90"/>
    <w:rsid w:val="0092208C"/>
    <w:rsid w:val="00922975"/>
    <w:rsid w:val="00922B95"/>
    <w:rsid w:val="00923071"/>
    <w:rsid w:val="009248F8"/>
    <w:rsid w:val="00924987"/>
    <w:rsid w:val="00924DC1"/>
    <w:rsid w:val="009256E3"/>
    <w:rsid w:val="00925B30"/>
    <w:rsid w:val="00926A53"/>
    <w:rsid w:val="00926A79"/>
    <w:rsid w:val="00926AA0"/>
    <w:rsid w:val="00926BD4"/>
    <w:rsid w:val="00927B66"/>
    <w:rsid w:val="00927E2D"/>
    <w:rsid w:val="00930089"/>
    <w:rsid w:val="00930181"/>
    <w:rsid w:val="009316FD"/>
    <w:rsid w:val="009317F8"/>
    <w:rsid w:val="00931936"/>
    <w:rsid w:val="00931C6B"/>
    <w:rsid w:val="00931D56"/>
    <w:rsid w:val="00931E01"/>
    <w:rsid w:val="00931EBC"/>
    <w:rsid w:val="00932EA4"/>
    <w:rsid w:val="00934204"/>
    <w:rsid w:val="00934977"/>
    <w:rsid w:val="0093497F"/>
    <w:rsid w:val="009349F2"/>
    <w:rsid w:val="00934CE4"/>
    <w:rsid w:val="009357A7"/>
    <w:rsid w:val="00935E16"/>
    <w:rsid w:val="0093607A"/>
    <w:rsid w:val="00936081"/>
    <w:rsid w:val="00936170"/>
    <w:rsid w:val="009362DB"/>
    <w:rsid w:val="009374FF"/>
    <w:rsid w:val="009375F0"/>
    <w:rsid w:val="00937749"/>
    <w:rsid w:val="009377FA"/>
    <w:rsid w:val="009401D6"/>
    <w:rsid w:val="00940881"/>
    <w:rsid w:val="00940946"/>
    <w:rsid w:val="00940FA0"/>
    <w:rsid w:val="009414C4"/>
    <w:rsid w:val="00941F2B"/>
    <w:rsid w:val="00942AB9"/>
    <w:rsid w:val="009431FE"/>
    <w:rsid w:val="009435EA"/>
    <w:rsid w:val="0094361D"/>
    <w:rsid w:val="00943BCF"/>
    <w:rsid w:val="00946506"/>
    <w:rsid w:val="00947BB2"/>
    <w:rsid w:val="00947CBD"/>
    <w:rsid w:val="009500CE"/>
    <w:rsid w:val="00950EA7"/>
    <w:rsid w:val="0095137E"/>
    <w:rsid w:val="00951B48"/>
    <w:rsid w:val="00952192"/>
    <w:rsid w:val="00952292"/>
    <w:rsid w:val="00952389"/>
    <w:rsid w:val="009525CD"/>
    <w:rsid w:val="00952641"/>
    <w:rsid w:val="0095291E"/>
    <w:rsid w:val="00952AC4"/>
    <w:rsid w:val="0095358D"/>
    <w:rsid w:val="00953A81"/>
    <w:rsid w:val="00953B9A"/>
    <w:rsid w:val="0095422F"/>
    <w:rsid w:val="00954556"/>
    <w:rsid w:val="00954AAE"/>
    <w:rsid w:val="00954CE1"/>
    <w:rsid w:val="00955165"/>
    <w:rsid w:val="009559A7"/>
    <w:rsid w:val="00955A36"/>
    <w:rsid w:val="00955B3B"/>
    <w:rsid w:val="00955B6B"/>
    <w:rsid w:val="00955BDE"/>
    <w:rsid w:val="00956399"/>
    <w:rsid w:val="00956963"/>
    <w:rsid w:val="00956A7A"/>
    <w:rsid w:val="009570C4"/>
    <w:rsid w:val="00957441"/>
    <w:rsid w:val="0096001B"/>
    <w:rsid w:val="00960050"/>
    <w:rsid w:val="00960EE0"/>
    <w:rsid w:val="00961041"/>
    <w:rsid w:val="00961653"/>
    <w:rsid w:val="00962161"/>
    <w:rsid w:val="00962558"/>
    <w:rsid w:val="00962835"/>
    <w:rsid w:val="00962B56"/>
    <w:rsid w:val="009630FB"/>
    <w:rsid w:val="009631EF"/>
    <w:rsid w:val="0096425E"/>
    <w:rsid w:val="00964A76"/>
    <w:rsid w:val="00964ACE"/>
    <w:rsid w:val="00964E73"/>
    <w:rsid w:val="009651CF"/>
    <w:rsid w:val="0096591F"/>
    <w:rsid w:val="00966620"/>
    <w:rsid w:val="009675B6"/>
    <w:rsid w:val="009675B8"/>
    <w:rsid w:val="009679D2"/>
    <w:rsid w:val="0097001B"/>
    <w:rsid w:val="00970716"/>
    <w:rsid w:val="0097091B"/>
    <w:rsid w:val="00971090"/>
    <w:rsid w:val="00971C68"/>
    <w:rsid w:val="00972121"/>
    <w:rsid w:val="00972733"/>
    <w:rsid w:val="00972DD9"/>
    <w:rsid w:val="00972E23"/>
    <w:rsid w:val="009731CC"/>
    <w:rsid w:val="00974D80"/>
    <w:rsid w:val="00974FD6"/>
    <w:rsid w:val="0097595C"/>
    <w:rsid w:val="009759BF"/>
    <w:rsid w:val="00976862"/>
    <w:rsid w:val="00976BE2"/>
    <w:rsid w:val="009773CC"/>
    <w:rsid w:val="0097759E"/>
    <w:rsid w:val="00977806"/>
    <w:rsid w:val="00977CF8"/>
    <w:rsid w:val="00977E97"/>
    <w:rsid w:val="00980AF1"/>
    <w:rsid w:val="00980EBC"/>
    <w:rsid w:val="00981129"/>
    <w:rsid w:val="00981C93"/>
    <w:rsid w:val="00981DEF"/>
    <w:rsid w:val="00981F85"/>
    <w:rsid w:val="0098206A"/>
    <w:rsid w:val="00982445"/>
    <w:rsid w:val="00982BBB"/>
    <w:rsid w:val="00982DE8"/>
    <w:rsid w:val="0098374A"/>
    <w:rsid w:val="00983F42"/>
    <w:rsid w:val="00984972"/>
    <w:rsid w:val="00984C62"/>
    <w:rsid w:val="00984E2D"/>
    <w:rsid w:val="009850EF"/>
    <w:rsid w:val="0098548A"/>
    <w:rsid w:val="00985509"/>
    <w:rsid w:val="00986AB4"/>
    <w:rsid w:val="00986EC1"/>
    <w:rsid w:val="00987181"/>
    <w:rsid w:val="00987B3A"/>
    <w:rsid w:val="00987CC1"/>
    <w:rsid w:val="00990E34"/>
    <w:rsid w:val="0099155F"/>
    <w:rsid w:val="00991995"/>
    <w:rsid w:val="00991DDC"/>
    <w:rsid w:val="00992BB7"/>
    <w:rsid w:val="0099301B"/>
    <w:rsid w:val="00993290"/>
    <w:rsid w:val="00993550"/>
    <w:rsid w:val="00993820"/>
    <w:rsid w:val="00994389"/>
    <w:rsid w:val="00994C98"/>
    <w:rsid w:val="00994E30"/>
    <w:rsid w:val="00994EC4"/>
    <w:rsid w:val="009958B2"/>
    <w:rsid w:val="0099631E"/>
    <w:rsid w:val="00996933"/>
    <w:rsid w:val="00996CAC"/>
    <w:rsid w:val="00997194"/>
    <w:rsid w:val="009A0011"/>
    <w:rsid w:val="009A0118"/>
    <w:rsid w:val="009A01FD"/>
    <w:rsid w:val="009A0681"/>
    <w:rsid w:val="009A0C64"/>
    <w:rsid w:val="009A0CE4"/>
    <w:rsid w:val="009A181E"/>
    <w:rsid w:val="009A1A95"/>
    <w:rsid w:val="009A214B"/>
    <w:rsid w:val="009A2955"/>
    <w:rsid w:val="009A4375"/>
    <w:rsid w:val="009A5D71"/>
    <w:rsid w:val="009A67E5"/>
    <w:rsid w:val="009A6F2B"/>
    <w:rsid w:val="009B027F"/>
    <w:rsid w:val="009B048C"/>
    <w:rsid w:val="009B06BC"/>
    <w:rsid w:val="009B0820"/>
    <w:rsid w:val="009B0D4E"/>
    <w:rsid w:val="009B1267"/>
    <w:rsid w:val="009B1598"/>
    <w:rsid w:val="009B1610"/>
    <w:rsid w:val="009B225B"/>
    <w:rsid w:val="009B2B83"/>
    <w:rsid w:val="009B2C34"/>
    <w:rsid w:val="009B2FD4"/>
    <w:rsid w:val="009B39CF"/>
    <w:rsid w:val="009B3BE9"/>
    <w:rsid w:val="009B3C26"/>
    <w:rsid w:val="009B49BF"/>
    <w:rsid w:val="009B4F42"/>
    <w:rsid w:val="009B5510"/>
    <w:rsid w:val="009B5564"/>
    <w:rsid w:val="009B55F5"/>
    <w:rsid w:val="009B5E17"/>
    <w:rsid w:val="009B6214"/>
    <w:rsid w:val="009B6762"/>
    <w:rsid w:val="009B681F"/>
    <w:rsid w:val="009B6A14"/>
    <w:rsid w:val="009B6CDC"/>
    <w:rsid w:val="009B6FDE"/>
    <w:rsid w:val="009B7879"/>
    <w:rsid w:val="009C0479"/>
    <w:rsid w:val="009C0BE0"/>
    <w:rsid w:val="009C1993"/>
    <w:rsid w:val="009C1F5D"/>
    <w:rsid w:val="009C24F2"/>
    <w:rsid w:val="009C256D"/>
    <w:rsid w:val="009C2C3C"/>
    <w:rsid w:val="009C34F9"/>
    <w:rsid w:val="009C3731"/>
    <w:rsid w:val="009C39E5"/>
    <w:rsid w:val="009C407A"/>
    <w:rsid w:val="009C4C12"/>
    <w:rsid w:val="009C54A0"/>
    <w:rsid w:val="009C54AE"/>
    <w:rsid w:val="009C556B"/>
    <w:rsid w:val="009C573F"/>
    <w:rsid w:val="009C5BD1"/>
    <w:rsid w:val="009C5D05"/>
    <w:rsid w:val="009C64D0"/>
    <w:rsid w:val="009C68EA"/>
    <w:rsid w:val="009C6B0D"/>
    <w:rsid w:val="009C6B93"/>
    <w:rsid w:val="009C754C"/>
    <w:rsid w:val="009C7685"/>
    <w:rsid w:val="009C77AC"/>
    <w:rsid w:val="009C7922"/>
    <w:rsid w:val="009D0346"/>
    <w:rsid w:val="009D0B26"/>
    <w:rsid w:val="009D0EAC"/>
    <w:rsid w:val="009D135C"/>
    <w:rsid w:val="009D157A"/>
    <w:rsid w:val="009D162E"/>
    <w:rsid w:val="009D209D"/>
    <w:rsid w:val="009D2488"/>
    <w:rsid w:val="009D285A"/>
    <w:rsid w:val="009D2DD6"/>
    <w:rsid w:val="009D3A5B"/>
    <w:rsid w:val="009D3CEB"/>
    <w:rsid w:val="009D459A"/>
    <w:rsid w:val="009D4708"/>
    <w:rsid w:val="009D4C17"/>
    <w:rsid w:val="009D4DE7"/>
    <w:rsid w:val="009D4E07"/>
    <w:rsid w:val="009D5342"/>
    <w:rsid w:val="009D541F"/>
    <w:rsid w:val="009D6090"/>
    <w:rsid w:val="009D631C"/>
    <w:rsid w:val="009D6BE1"/>
    <w:rsid w:val="009D725A"/>
    <w:rsid w:val="009E1B58"/>
    <w:rsid w:val="009E1CE2"/>
    <w:rsid w:val="009E1D72"/>
    <w:rsid w:val="009E1E11"/>
    <w:rsid w:val="009E1F69"/>
    <w:rsid w:val="009E2A57"/>
    <w:rsid w:val="009E3518"/>
    <w:rsid w:val="009E37AE"/>
    <w:rsid w:val="009E3F7C"/>
    <w:rsid w:val="009E3FC8"/>
    <w:rsid w:val="009E4859"/>
    <w:rsid w:val="009E4A68"/>
    <w:rsid w:val="009E4B89"/>
    <w:rsid w:val="009E4C36"/>
    <w:rsid w:val="009E52C2"/>
    <w:rsid w:val="009E5B3B"/>
    <w:rsid w:val="009E5DA4"/>
    <w:rsid w:val="009E6193"/>
    <w:rsid w:val="009E6338"/>
    <w:rsid w:val="009E66E2"/>
    <w:rsid w:val="009E720A"/>
    <w:rsid w:val="009E7362"/>
    <w:rsid w:val="009E73E2"/>
    <w:rsid w:val="009E7EC9"/>
    <w:rsid w:val="009F0280"/>
    <w:rsid w:val="009F086C"/>
    <w:rsid w:val="009F0B85"/>
    <w:rsid w:val="009F14D1"/>
    <w:rsid w:val="009F17F0"/>
    <w:rsid w:val="009F18CE"/>
    <w:rsid w:val="009F31DA"/>
    <w:rsid w:val="009F3219"/>
    <w:rsid w:val="009F37E8"/>
    <w:rsid w:val="009F37F1"/>
    <w:rsid w:val="009F3BAA"/>
    <w:rsid w:val="009F3ED2"/>
    <w:rsid w:val="009F4774"/>
    <w:rsid w:val="009F4F0A"/>
    <w:rsid w:val="009F4F1E"/>
    <w:rsid w:val="009F4FAA"/>
    <w:rsid w:val="009F546F"/>
    <w:rsid w:val="009F5AF7"/>
    <w:rsid w:val="009F5E78"/>
    <w:rsid w:val="009F6655"/>
    <w:rsid w:val="009F6FE0"/>
    <w:rsid w:val="009F7A8D"/>
    <w:rsid w:val="009F7FD5"/>
    <w:rsid w:val="00A00CCB"/>
    <w:rsid w:val="00A00D93"/>
    <w:rsid w:val="00A00E7D"/>
    <w:rsid w:val="00A01CE9"/>
    <w:rsid w:val="00A01ED5"/>
    <w:rsid w:val="00A02E35"/>
    <w:rsid w:val="00A03898"/>
    <w:rsid w:val="00A03B8D"/>
    <w:rsid w:val="00A03BD8"/>
    <w:rsid w:val="00A03EA5"/>
    <w:rsid w:val="00A044AD"/>
    <w:rsid w:val="00A0499C"/>
    <w:rsid w:val="00A04A62"/>
    <w:rsid w:val="00A05356"/>
    <w:rsid w:val="00A05678"/>
    <w:rsid w:val="00A05781"/>
    <w:rsid w:val="00A057B5"/>
    <w:rsid w:val="00A05AA8"/>
    <w:rsid w:val="00A06499"/>
    <w:rsid w:val="00A06B9A"/>
    <w:rsid w:val="00A06FED"/>
    <w:rsid w:val="00A07495"/>
    <w:rsid w:val="00A1090F"/>
    <w:rsid w:val="00A113CF"/>
    <w:rsid w:val="00A12286"/>
    <w:rsid w:val="00A125FA"/>
    <w:rsid w:val="00A12754"/>
    <w:rsid w:val="00A13932"/>
    <w:rsid w:val="00A139B2"/>
    <w:rsid w:val="00A13D14"/>
    <w:rsid w:val="00A14467"/>
    <w:rsid w:val="00A14953"/>
    <w:rsid w:val="00A14A8F"/>
    <w:rsid w:val="00A14AE8"/>
    <w:rsid w:val="00A14F6B"/>
    <w:rsid w:val="00A15109"/>
    <w:rsid w:val="00A1514F"/>
    <w:rsid w:val="00A169B7"/>
    <w:rsid w:val="00A16AC8"/>
    <w:rsid w:val="00A16B01"/>
    <w:rsid w:val="00A173E4"/>
    <w:rsid w:val="00A1788E"/>
    <w:rsid w:val="00A17B5A"/>
    <w:rsid w:val="00A17F00"/>
    <w:rsid w:val="00A17FFA"/>
    <w:rsid w:val="00A200E6"/>
    <w:rsid w:val="00A2084A"/>
    <w:rsid w:val="00A21522"/>
    <w:rsid w:val="00A21D53"/>
    <w:rsid w:val="00A2200C"/>
    <w:rsid w:val="00A22235"/>
    <w:rsid w:val="00A222B3"/>
    <w:rsid w:val="00A227E3"/>
    <w:rsid w:val="00A227F6"/>
    <w:rsid w:val="00A22DBA"/>
    <w:rsid w:val="00A22F32"/>
    <w:rsid w:val="00A23208"/>
    <w:rsid w:val="00A23974"/>
    <w:rsid w:val="00A244E1"/>
    <w:rsid w:val="00A247AA"/>
    <w:rsid w:val="00A24CE0"/>
    <w:rsid w:val="00A24DED"/>
    <w:rsid w:val="00A257AB"/>
    <w:rsid w:val="00A2638A"/>
    <w:rsid w:val="00A26C75"/>
    <w:rsid w:val="00A26EC0"/>
    <w:rsid w:val="00A271A7"/>
    <w:rsid w:val="00A27876"/>
    <w:rsid w:val="00A302CD"/>
    <w:rsid w:val="00A3071A"/>
    <w:rsid w:val="00A30BD0"/>
    <w:rsid w:val="00A314C6"/>
    <w:rsid w:val="00A31564"/>
    <w:rsid w:val="00A31D6E"/>
    <w:rsid w:val="00A31FE9"/>
    <w:rsid w:val="00A3234E"/>
    <w:rsid w:val="00A341B4"/>
    <w:rsid w:val="00A3429F"/>
    <w:rsid w:val="00A344D9"/>
    <w:rsid w:val="00A345B2"/>
    <w:rsid w:val="00A34E25"/>
    <w:rsid w:val="00A351BB"/>
    <w:rsid w:val="00A35B1F"/>
    <w:rsid w:val="00A35CBB"/>
    <w:rsid w:val="00A35E85"/>
    <w:rsid w:val="00A35FE9"/>
    <w:rsid w:val="00A36D5D"/>
    <w:rsid w:val="00A375D3"/>
    <w:rsid w:val="00A375F0"/>
    <w:rsid w:val="00A37C1D"/>
    <w:rsid w:val="00A40082"/>
    <w:rsid w:val="00A40546"/>
    <w:rsid w:val="00A405B0"/>
    <w:rsid w:val="00A40BDD"/>
    <w:rsid w:val="00A4117B"/>
    <w:rsid w:val="00A415BD"/>
    <w:rsid w:val="00A41C1A"/>
    <w:rsid w:val="00A42369"/>
    <w:rsid w:val="00A42635"/>
    <w:rsid w:val="00A42700"/>
    <w:rsid w:val="00A42D96"/>
    <w:rsid w:val="00A43514"/>
    <w:rsid w:val="00A435CD"/>
    <w:rsid w:val="00A43695"/>
    <w:rsid w:val="00A43A34"/>
    <w:rsid w:val="00A44032"/>
    <w:rsid w:val="00A443ED"/>
    <w:rsid w:val="00A45168"/>
    <w:rsid w:val="00A4576D"/>
    <w:rsid w:val="00A45976"/>
    <w:rsid w:val="00A45C96"/>
    <w:rsid w:val="00A462F9"/>
    <w:rsid w:val="00A46583"/>
    <w:rsid w:val="00A46A2F"/>
    <w:rsid w:val="00A46EC2"/>
    <w:rsid w:val="00A47105"/>
    <w:rsid w:val="00A47AFE"/>
    <w:rsid w:val="00A47C7C"/>
    <w:rsid w:val="00A47CE7"/>
    <w:rsid w:val="00A50CE5"/>
    <w:rsid w:val="00A518DB"/>
    <w:rsid w:val="00A51DE6"/>
    <w:rsid w:val="00A51FE7"/>
    <w:rsid w:val="00A52177"/>
    <w:rsid w:val="00A52AC5"/>
    <w:rsid w:val="00A5328E"/>
    <w:rsid w:val="00A5351C"/>
    <w:rsid w:val="00A535D6"/>
    <w:rsid w:val="00A5394F"/>
    <w:rsid w:val="00A54253"/>
    <w:rsid w:val="00A543FE"/>
    <w:rsid w:val="00A5463A"/>
    <w:rsid w:val="00A547FA"/>
    <w:rsid w:val="00A54AE2"/>
    <w:rsid w:val="00A5510E"/>
    <w:rsid w:val="00A55A11"/>
    <w:rsid w:val="00A56068"/>
    <w:rsid w:val="00A5614D"/>
    <w:rsid w:val="00A56559"/>
    <w:rsid w:val="00A569F9"/>
    <w:rsid w:val="00A56D89"/>
    <w:rsid w:val="00A56EE9"/>
    <w:rsid w:val="00A57271"/>
    <w:rsid w:val="00A57630"/>
    <w:rsid w:val="00A5771D"/>
    <w:rsid w:val="00A57AF3"/>
    <w:rsid w:val="00A604F2"/>
    <w:rsid w:val="00A609AC"/>
    <w:rsid w:val="00A60CA7"/>
    <w:rsid w:val="00A60FCE"/>
    <w:rsid w:val="00A614E6"/>
    <w:rsid w:val="00A61505"/>
    <w:rsid w:val="00A615E5"/>
    <w:rsid w:val="00A61B74"/>
    <w:rsid w:val="00A63246"/>
    <w:rsid w:val="00A635C4"/>
    <w:rsid w:val="00A6373D"/>
    <w:rsid w:val="00A639F5"/>
    <w:rsid w:val="00A65364"/>
    <w:rsid w:val="00A654CD"/>
    <w:rsid w:val="00A655BC"/>
    <w:rsid w:val="00A6583F"/>
    <w:rsid w:val="00A6593F"/>
    <w:rsid w:val="00A66260"/>
    <w:rsid w:val="00A6628F"/>
    <w:rsid w:val="00A663E5"/>
    <w:rsid w:val="00A670FA"/>
    <w:rsid w:val="00A671C2"/>
    <w:rsid w:val="00A676FA"/>
    <w:rsid w:val="00A67C3E"/>
    <w:rsid w:val="00A67DBF"/>
    <w:rsid w:val="00A70CC6"/>
    <w:rsid w:val="00A70E17"/>
    <w:rsid w:val="00A70EB3"/>
    <w:rsid w:val="00A70FF4"/>
    <w:rsid w:val="00A7118D"/>
    <w:rsid w:val="00A721D1"/>
    <w:rsid w:val="00A722BA"/>
    <w:rsid w:val="00A72321"/>
    <w:rsid w:val="00A72CB6"/>
    <w:rsid w:val="00A72D09"/>
    <w:rsid w:val="00A73159"/>
    <w:rsid w:val="00A737C8"/>
    <w:rsid w:val="00A73C68"/>
    <w:rsid w:val="00A747C5"/>
    <w:rsid w:val="00A752DE"/>
    <w:rsid w:val="00A754F6"/>
    <w:rsid w:val="00A7573B"/>
    <w:rsid w:val="00A75C27"/>
    <w:rsid w:val="00A76D27"/>
    <w:rsid w:val="00A76F49"/>
    <w:rsid w:val="00A80444"/>
    <w:rsid w:val="00A80458"/>
    <w:rsid w:val="00A80BDC"/>
    <w:rsid w:val="00A8123D"/>
    <w:rsid w:val="00A81401"/>
    <w:rsid w:val="00A81517"/>
    <w:rsid w:val="00A81B93"/>
    <w:rsid w:val="00A81BF7"/>
    <w:rsid w:val="00A81D01"/>
    <w:rsid w:val="00A81E33"/>
    <w:rsid w:val="00A82212"/>
    <w:rsid w:val="00A82627"/>
    <w:rsid w:val="00A82665"/>
    <w:rsid w:val="00A82D5C"/>
    <w:rsid w:val="00A8343D"/>
    <w:rsid w:val="00A835C8"/>
    <w:rsid w:val="00A836C5"/>
    <w:rsid w:val="00A83D75"/>
    <w:rsid w:val="00A83F38"/>
    <w:rsid w:val="00A858D6"/>
    <w:rsid w:val="00A868B7"/>
    <w:rsid w:val="00A86DA0"/>
    <w:rsid w:val="00A87875"/>
    <w:rsid w:val="00A8793E"/>
    <w:rsid w:val="00A87B63"/>
    <w:rsid w:val="00A87BAD"/>
    <w:rsid w:val="00A87FAF"/>
    <w:rsid w:val="00A9001A"/>
    <w:rsid w:val="00A9017B"/>
    <w:rsid w:val="00A9044B"/>
    <w:rsid w:val="00A90D14"/>
    <w:rsid w:val="00A90E1A"/>
    <w:rsid w:val="00A91841"/>
    <w:rsid w:val="00A92003"/>
    <w:rsid w:val="00A9235D"/>
    <w:rsid w:val="00A926F5"/>
    <w:rsid w:val="00A92AB3"/>
    <w:rsid w:val="00A92C2A"/>
    <w:rsid w:val="00A93426"/>
    <w:rsid w:val="00A938B6"/>
    <w:rsid w:val="00A93A01"/>
    <w:rsid w:val="00A942A7"/>
    <w:rsid w:val="00A956B8"/>
    <w:rsid w:val="00A9670C"/>
    <w:rsid w:val="00A969B3"/>
    <w:rsid w:val="00A97794"/>
    <w:rsid w:val="00A97B53"/>
    <w:rsid w:val="00AA096D"/>
    <w:rsid w:val="00AA09EC"/>
    <w:rsid w:val="00AA100E"/>
    <w:rsid w:val="00AA1506"/>
    <w:rsid w:val="00AA1E20"/>
    <w:rsid w:val="00AA28B0"/>
    <w:rsid w:val="00AA2C48"/>
    <w:rsid w:val="00AA39DA"/>
    <w:rsid w:val="00AA49DF"/>
    <w:rsid w:val="00AA4C6B"/>
    <w:rsid w:val="00AA51FC"/>
    <w:rsid w:val="00AA535C"/>
    <w:rsid w:val="00AA55A2"/>
    <w:rsid w:val="00AA586B"/>
    <w:rsid w:val="00AA744D"/>
    <w:rsid w:val="00AB014E"/>
    <w:rsid w:val="00AB0AE3"/>
    <w:rsid w:val="00AB0C03"/>
    <w:rsid w:val="00AB0C9E"/>
    <w:rsid w:val="00AB12FC"/>
    <w:rsid w:val="00AB1616"/>
    <w:rsid w:val="00AB2B47"/>
    <w:rsid w:val="00AB321D"/>
    <w:rsid w:val="00AB3787"/>
    <w:rsid w:val="00AB3A27"/>
    <w:rsid w:val="00AB408E"/>
    <w:rsid w:val="00AB418A"/>
    <w:rsid w:val="00AB4486"/>
    <w:rsid w:val="00AB5C75"/>
    <w:rsid w:val="00AB5D61"/>
    <w:rsid w:val="00AB5E07"/>
    <w:rsid w:val="00AB6D4B"/>
    <w:rsid w:val="00AB7B16"/>
    <w:rsid w:val="00AC1714"/>
    <w:rsid w:val="00AC17DA"/>
    <w:rsid w:val="00AC20D2"/>
    <w:rsid w:val="00AC2B41"/>
    <w:rsid w:val="00AC3116"/>
    <w:rsid w:val="00AC3246"/>
    <w:rsid w:val="00AC397C"/>
    <w:rsid w:val="00AC4197"/>
    <w:rsid w:val="00AC45E2"/>
    <w:rsid w:val="00AC491A"/>
    <w:rsid w:val="00AC4BBC"/>
    <w:rsid w:val="00AC4F97"/>
    <w:rsid w:val="00AC511F"/>
    <w:rsid w:val="00AC523D"/>
    <w:rsid w:val="00AC5BFE"/>
    <w:rsid w:val="00AC5DC0"/>
    <w:rsid w:val="00AC60AA"/>
    <w:rsid w:val="00AC60E5"/>
    <w:rsid w:val="00AC6278"/>
    <w:rsid w:val="00AC6E50"/>
    <w:rsid w:val="00AC6F30"/>
    <w:rsid w:val="00AC7051"/>
    <w:rsid w:val="00AC78B0"/>
    <w:rsid w:val="00AC7D6D"/>
    <w:rsid w:val="00AC7DAB"/>
    <w:rsid w:val="00AD1553"/>
    <w:rsid w:val="00AD19D5"/>
    <w:rsid w:val="00AD1ED0"/>
    <w:rsid w:val="00AD280C"/>
    <w:rsid w:val="00AD2867"/>
    <w:rsid w:val="00AD2CA2"/>
    <w:rsid w:val="00AD3286"/>
    <w:rsid w:val="00AD3860"/>
    <w:rsid w:val="00AD3C47"/>
    <w:rsid w:val="00AD3CD3"/>
    <w:rsid w:val="00AD4BE8"/>
    <w:rsid w:val="00AD5443"/>
    <w:rsid w:val="00AD5522"/>
    <w:rsid w:val="00AD58F2"/>
    <w:rsid w:val="00AD64A3"/>
    <w:rsid w:val="00AD67C5"/>
    <w:rsid w:val="00AD6853"/>
    <w:rsid w:val="00AD6C3F"/>
    <w:rsid w:val="00AD6DDA"/>
    <w:rsid w:val="00AD71CD"/>
    <w:rsid w:val="00AD772B"/>
    <w:rsid w:val="00AE0306"/>
    <w:rsid w:val="00AE0CBE"/>
    <w:rsid w:val="00AE156A"/>
    <w:rsid w:val="00AE301B"/>
    <w:rsid w:val="00AE3027"/>
    <w:rsid w:val="00AE3237"/>
    <w:rsid w:val="00AE36DF"/>
    <w:rsid w:val="00AE3BBE"/>
    <w:rsid w:val="00AE4860"/>
    <w:rsid w:val="00AE4D6B"/>
    <w:rsid w:val="00AE550F"/>
    <w:rsid w:val="00AE5627"/>
    <w:rsid w:val="00AE6C7E"/>
    <w:rsid w:val="00AE6FD7"/>
    <w:rsid w:val="00AF0B35"/>
    <w:rsid w:val="00AF12A1"/>
    <w:rsid w:val="00AF1943"/>
    <w:rsid w:val="00AF3F4B"/>
    <w:rsid w:val="00AF4010"/>
    <w:rsid w:val="00AF41C4"/>
    <w:rsid w:val="00AF4869"/>
    <w:rsid w:val="00AF4AE6"/>
    <w:rsid w:val="00AF51AB"/>
    <w:rsid w:val="00AF5254"/>
    <w:rsid w:val="00AF5477"/>
    <w:rsid w:val="00AF6554"/>
    <w:rsid w:val="00AF67C4"/>
    <w:rsid w:val="00AF6D09"/>
    <w:rsid w:val="00AF707A"/>
    <w:rsid w:val="00AF720C"/>
    <w:rsid w:val="00B008F1"/>
    <w:rsid w:val="00B0096B"/>
    <w:rsid w:val="00B00D23"/>
    <w:rsid w:val="00B00DE2"/>
    <w:rsid w:val="00B01035"/>
    <w:rsid w:val="00B01406"/>
    <w:rsid w:val="00B0156F"/>
    <w:rsid w:val="00B01940"/>
    <w:rsid w:val="00B01F97"/>
    <w:rsid w:val="00B0275A"/>
    <w:rsid w:val="00B027AB"/>
    <w:rsid w:val="00B0295E"/>
    <w:rsid w:val="00B03204"/>
    <w:rsid w:val="00B032E0"/>
    <w:rsid w:val="00B03869"/>
    <w:rsid w:val="00B03B4D"/>
    <w:rsid w:val="00B03FA9"/>
    <w:rsid w:val="00B03FED"/>
    <w:rsid w:val="00B04475"/>
    <w:rsid w:val="00B0457E"/>
    <w:rsid w:val="00B046D1"/>
    <w:rsid w:val="00B057B2"/>
    <w:rsid w:val="00B05952"/>
    <w:rsid w:val="00B0617A"/>
    <w:rsid w:val="00B06A2F"/>
    <w:rsid w:val="00B06A6C"/>
    <w:rsid w:val="00B06CB4"/>
    <w:rsid w:val="00B06FE2"/>
    <w:rsid w:val="00B07349"/>
    <w:rsid w:val="00B074A3"/>
    <w:rsid w:val="00B07C28"/>
    <w:rsid w:val="00B07D2D"/>
    <w:rsid w:val="00B10406"/>
    <w:rsid w:val="00B10AB0"/>
    <w:rsid w:val="00B10C55"/>
    <w:rsid w:val="00B115BA"/>
    <w:rsid w:val="00B11648"/>
    <w:rsid w:val="00B1191A"/>
    <w:rsid w:val="00B11AFA"/>
    <w:rsid w:val="00B12270"/>
    <w:rsid w:val="00B12382"/>
    <w:rsid w:val="00B12D14"/>
    <w:rsid w:val="00B13A91"/>
    <w:rsid w:val="00B14167"/>
    <w:rsid w:val="00B142B0"/>
    <w:rsid w:val="00B142C8"/>
    <w:rsid w:val="00B1497D"/>
    <w:rsid w:val="00B14C5F"/>
    <w:rsid w:val="00B1580D"/>
    <w:rsid w:val="00B15A51"/>
    <w:rsid w:val="00B15E96"/>
    <w:rsid w:val="00B1627A"/>
    <w:rsid w:val="00B1670B"/>
    <w:rsid w:val="00B16A0D"/>
    <w:rsid w:val="00B16A2E"/>
    <w:rsid w:val="00B16BEE"/>
    <w:rsid w:val="00B16D17"/>
    <w:rsid w:val="00B17F4E"/>
    <w:rsid w:val="00B201D6"/>
    <w:rsid w:val="00B20C05"/>
    <w:rsid w:val="00B21105"/>
    <w:rsid w:val="00B2120A"/>
    <w:rsid w:val="00B21B82"/>
    <w:rsid w:val="00B23095"/>
    <w:rsid w:val="00B233A3"/>
    <w:rsid w:val="00B2367C"/>
    <w:rsid w:val="00B24733"/>
    <w:rsid w:val="00B24900"/>
    <w:rsid w:val="00B24BC6"/>
    <w:rsid w:val="00B24E08"/>
    <w:rsid w:val="00B24E78"/>
    <w:rsid w:val="00B25DA4"/>
    <w:rsid w:val="00B266B2"/>
    <w:rsid w:val="00B269CD"/>
    <w:rsid w:val="00B26B75"/>
    <w:rsid w:val="00B2747D"/>
    <w:rsid w:val="00B277D6"/>
    <w:rsid w:val="00B27B4C"/>
    <w:rsid w:val="00B27CAA"/>
    <w:rsid w:val="00B30049"/>
    <w:rsid w:val="00B3046F"/>
    <w:rsid w:val="00B3082B"/>
    <w:rsid w:val="00B30945"/>
    <w:rsid w:val="00B30B56"/>
    <w:rsid w:val="00B30B89"/>
    <w:rsid w:val="00B31533"/>
    <w:rsid w:val="00B31C4B"/>
    <w:rsid w:val="00B336BA"/>
    <w:rsid w:val="00B3381E"/>
    <w:rsid w:val="00B33BC5"/>
    <w:rsid w:val="00B33C9A"/>
    <w:rsid w:val="00B33EB7"/>
    <w:rsid w:val="00B342C0"/>
    <w:rsid w:val="00B354C5"/>
    <w:rsid w:val="00B3576C"/>
    <w:rsid w:val="00B35A6D"/>
    <w:rsid w:val="00B35DD0"/>
    <w:rsid w:val="00B362D1"/>
    <w:rsid w:val="00B36DB6"/>
    <w:rsid w:val="00B36ED4"/>
    <w:rsid w:val="00B37085"/>
    <w:rsid w:val="00B37C2E"/>
    <w:rsid w:val="00B40C12"/>
    <w:rsid w:val="00B41480"/>
    <w:rsid w:val="00B4294D"/>
    <w:rsid w:val="00B431C9"/>
    <w:rsid w:val="00B434C2"/>
    <w:rsid w:val="00B43636"/>
    <w:rsid w:val="00B43B86"/>
    <w:rsid w:val="00B44F67"/>
    <w:rsid w:val="00B44FA9"/>
    <w:rsid w:val="00B4533F"/>
    <w:rsid w:val="00B45D3A"/>
    <w:rsid w:val="00B464D8"/>
    <w:rsid w:val="00B467F8"/>
    <w:rsid w:val="00B470A7"/>
    <w:rsid w:val="00B4711B"/>
    <w:rsid w:val="00B506DA"/>
    <w:rsid w:val="00B508D8"/>
    <w:rsid w:val="00B508E8"/>
    <w:rsid w:val="00B511F5"/>
    <w:rsid w:val="00B51B9B"/>
    <w:rsid w:val="00B51EDB"/>
    <w:rsid w:val="00B51F14"/>
    <w:rsid w:val="00B525C3"/>
    <w:rsid w:val="00B528D8"/>
    <w:rsid w:val="00B52B9A"/>
    <w:rsid w:val="00B533E4"/>
    <w:rsid w:val="00B5366C"/>
    <w:rsid w:val="00B53B11"/>
    <w:rsid w:val="00B54810"/>
    <w:rsid w:val="00B54B6F"/>
    <w:rsid w:val="00B55226"/>
    <w:rsid w:val="00B56A45"/>
    <w:rsid w:val="00B57D45"/>
    <w:rsid w:val="00B609BF"/>
    <w:rsid w:val="00B613C5"/>
    <w:rsid w:val="00B622B5"/>
    <w:rsid w:val="00B631F7"/>
    <w:rsid w:val="00B63A07"/>
    <w:rsid w:val="00B63D86"/>
    <w:rsid w:val="00B640E2"/>
    <w:rsid w:val="00B641A9"/>
    <w:rsid w:val="00B641E4"/>
    <w:rsid w:val="00B642FE"/>
    <w:rsid w:val="00B643A2"/>
    <w:rsid w:val="00B646A8"/>
    <w:rsid w:val="00B64A4B"/>
    <w:rsid w:val="00B652FB"/>
    <w:rsid w:val="00B6561E"/>
    <w:rsid w:val="00B65823"/>
    <w:rsid w:val="00B65C86"/>
    <w:rsid w:val="00B66522"/>
    <w:rsid w:val="00B666C1"/>
    <w:rsid w:val="00B66B5A"/>
    <w:rsid w:val="00B673B9"/>
    <w:rsid w:val="00B67469"/>
    <w:rsid w:val="00B678D4"/>
    <w:rsid w:val="00B67A82"/>
    <w:rsid w:val="00B705B4"/>
    <w:rsid w:val="00B71068"/>
    <w:rsid w:val="00B71775"/>
    <w:rsid w:val="00B719BF"/>
    <w:rsid w:val="00B71B8E"/>
    <w:rsid w:val="00B71F7E"/>
    <w:rsid w:val="00B721A5"/>
    <w:rsid w:val="00B7476A"/>
    <w:rsid w:val="00B74975"/>
    <w:rsid w:val="00B74E9F"/>
    <w:rsid w:val="00B75166"/>
    <w:rsid w:val="00B75914"/>
    <w:rsid w:val="00B75A5E"/>
    <w:rsid w:val="00B77048"/>
    <w:rsid w:val="00B7715E"/>
    <w:rsid w:val="00B775CA"/>
    <w:rsid w:val="00B7794C"/>
    <w:rsid w:val="00B77A61"/>
    <w:rsid w:val="00B8161D"/>
    <w:rsid w:val="00B819CA"/>
    <w:rsid w:val="00B8236D"/>
    <w:rsid w:val="00B826B4"/>
    <w:rsid w:val="00B827AD"/>
    <w:rsid w:val="00B82814"/>
    <w:rsid w:val="00B834D0"/>
    <w:rsid w:val="00B83886"/>
    <w:rsid w:val="00B839A0"/>
    <w:rsid w:val="00B83F68"/>
    <w:rsid w:val="00B8413D"/>
    <w:rsid w:val="00B841F6"/>
    <w:rsid w:val="00B84561"/>
    <w:rsid w:val="00B84632"/>
    <w:rsid w:val="00B84927"/>
    <w:rsid w:val="00B85666"/>
    <w:rsid w:val="00B857D5"/>
    <w:rsid w:val="00B86180"/>
    <w:rsid w:val="00B864A5"/>
    <w:rsid w:val="00B86F21"/>
    <w:rsid w:val="00B86FAC"/>
    <w:rsid w:val="00B8738C"/>
    <w:rsid w:val="00B87693"/>
    <w:rsid w:val="00B87B3C"/>
    <w:rsid w:val="00B87B69"/>
    <w:rsid w:val="00B87DD9"/>
    <w:rsid w:val="00B87F0E"/>
    <w:rsid w:val="00B90B30"/>
    <w:rsid w:val="00B90D9D"/>
    <w:rsid w:val="00B9196E"/>
    <w:rsid w:val="00B91C0A"/>
    <w:rsid w:val="00B92080"/>
    <w:rsid w:val="00B920DD"/>
    <w:rsid w:val="00B92378"/>
    <w:rsid w:val="00B9290A"/>
    <w:rsid w:val="00B92F3E"/>
    <w:rsid w:val="00B93036"/>
    <w:rsid w:val="00B93234"/>
    <w:rsid w:val="00B938A7"/>
    <w:rsid w:val="00B93D92"/>
    <w:rsid w:val="00B94124"/>
    <w:rsid w:val="00B944B7"/>
    <w:rsid w:val="00B955BE"/>
    <w:rsid w:val="00B95919"/>
    <w:rsid w:val="00B95EE2"/>
    <w:rsid w:val="00B960A6"/>
    <w:rsid w:val="00B96598"/>
    <w:rsid w:val="00B96924"/>
    <w:rsid w:val="00B97386"/>
    <w:rsid w:val="00B97409"/>
    <w:rsid w:val="00B97E1B"/>
    <w:rsid w:val="00BA0212"/>
    <w:rsid w:val="00BA036D"/>
    <w:rsid w:val="00BA0532"/>
    <w:rsid w:val="00BA09F4"/>
    <w:rsid w:val="00BA0D8C"/>
    <w:rsid w:val="00BA0DBF"/>
    <w:rsid w:val="00BA11CB"/>
    <w:rsid w:val="00BA11DD"/>
    <w:rsid w:val="00BA1C77"/>
    <w:rsid w:val="00BA21AF"/>
    <w:rsid w:val="00BA25BE"/>
    <w:rsid w:val="00BA2CE4"/>
    <w:rsid w:val="00BA3E47"/>
    <w:rsid w:val="00BA3F19"/>
    <w:rsid w:val="00BA4376"/>
    <w:rsid w:val="00BA466A"/>
    <w:rsid w:val="00BA484A"/>
    <w:rsid w:val="00BA4DEB"/>
    <w:rsid w:val="00BA5725"/>
    <w:rsid w:val="00BA5A8B"/>
    <w:rsid w:val="00BA5E32"/>
    <w:rsid w:val="00BA7242"/>
    <w:rsid w:val="00BA732F"/>
    <w:rsid w:val="00BA768F"/>
    <w:rsid w:val="00BA771E"/>
    <w:rsid w:val="00BB0280"/>
    <w:rsid w:val="00BB04D1"/>
    <w:rsid w:val="00BB12A8"/>
    <w:rsid w:val="00BB12B4"/>
    <w:rsid w:val="00BB1621"/>
    <w:rsid w:val="00BB20EC"/>
    <w:rsid w:val="00BB25C2"/>
    <w:rsid w:val="00BB310B"/>
    <w:rsid w:val="00BB3116"/>
    <w:rsid w:val="00BB3DBF"/>
    <w:rsid w:val="00BB3EAB"/>
    <w:rsid w:val="00BB4404"/>
    <w:rsid w:val="00BB4612"/>
    <w:rsid w:val="00BB5180"/>
    <w:rsid w:val="00BB58E3"/>
    <w:rsid w:val="00BB5A18"/>
    <w:rsid w:val="00BB60E9"/>
    <w:rsid w:val="00BB796F"/>
    <w:rsid w:val="00BC01FD"/>
    <w:rsid w:val="00BC0298"/>
    <w:rsid w:val="00BC162D"/>
    <w:rsid w:val="00BC17F9"/>
    <w:rsid w:val="00BC3540"/>
    <w:rsid w:val="00BC3788"/>
    <w:rsid w:val="00BC388D"/>
    <w:rsid w:val="00BC3D31"/>
    <w:rsid w:val="00BC3EE8"/>
    <w:rsid w:val="00BC46B6"/>
    <w:rsid w:val="00BC46F9"/>
    <w:rsid w:val="00BC5699"/>
    <w:rsid w:val="00BC58FC"/>
    <w:rsid w:val="00BC61AA"/>
    <w:rsid w:val="00BC6910"/>
    <w:rsid w:val="00BC6AF8"/>
    <w:rsid w:val="00BC7A99"/>
    <w:rsid w:val="00BD0B19"/>
    <w:rsid w:val="00BD24AF"/>
    <w:rsid w:val="00BD270C"/>
    <w:rsid w:val="00BD2A38"/>
    <w:rsid w:val="00BD2BE9"/>
    <w:rsid w:val="00BD2F6E"/>
    <w:rsid w:val="00BD3C89"/>
    <w:rsid w:val="00BD3E5A"/>
    <w:rsid w:val="00BD49D4"/>
    <w:rsid w:val="00BD49EE"/>
    <w:rsid w:val="00BD570C"/>
    <w:rsid w:val="00BD6A9E"/>
    <w:rsid w:val="00BD6DC9"/>
    <w:rsid w:val="00BD6EA9"/>
    <w:rsid w:val="00BD7716"/>
    <w:rsid w:val="00BD7D30"/>
    <w:rsid w:val="00BD7E11"/>
    <w:rsid w:val="00BE0C4F"/>
    <w:rsid w:val="00BE0C5A"/>
    <w:rsid w:val="00BE10B2"/>
    <w:rsid w:val="00BE1645"/>
    <w:rsid w:val="00BE1FF6"/>
    <w:rsid w:val="00BE2B41"/>
    <w:rsid w:val="00BE2F77"/>
    <w:rsid w:val="00BE3568"/>
    <w:rsid w:val="00BE3937"/>
    <w:rsid w:val="00BE3E07"/>
    <w:rsid w:val="00BE4076"/>
    <w:rsid w:val="00BE46C3"/>
    <w:rsid w:val="00BE46DF"/>
    <w:rsid w:val="00BE4B63"/>
    <w:rsid w:val="00BE51C6"/>
    <w:rsid w:val="00BE53AD"/>
    <w:rsid w:val="00BE573C"/>
    <w:rsid w:val="00BE6599"/>
    <w:rsid w:val="00BE6816"/>
    <w:rsid w:val="00BE699B"/>
    <w:rsid w:val="00BE6F29"/>
    <w:rsid w:val="00BE7E61"/>
    <w:rsid w:val="00BF098E"/>
    <w:rsid w:val="00BF0E12"/>
    <w:rsid w:val="00BF108D"/>
    <w:rsid w:val="00BF1640"/>
    <w:rsid w:val="00BF183E"/>
    <w:rsid w:val="00BF1FA0"/>
    <w:rsid w:val="00BF225C"/>
    <w:rsid w:val="00BF2587"/>
    <w:rsid w:val="00BF25FA"/>
    <w:rsid w:val="00BF2BF4"/>
    <w:rsid w:val="00BF2F30"/>
    <w:rsid w:val="00BF3096"/>
    <w:rsid w:val="00BF3187"/>
    <w:rsid w:val="00BF35C4"/>
    <w:rsid w:val="00BF420D"/>
    <w:rsid w:val="00BF4717"/>
    <w:rsid w:val="00BF47A8"/>
    <w:rsid w:val="00BF4CB9"/>
    <w:rsid w:val="00BF5048"/>
    <w:rsid w:val="00BF5115"/>
    <w:rsid w:val="00BF5289"/>
    <w:rsid w:val="00BF60F2"/>
    <w:rsid w:val="00BF6705"/>
    <w:rsid w:val="00BF6B7C"/>
    <w:rsid w:val="00BF7347"/>
    <w:rsid w:val="00BF735C"/>
    <w:rsid w:val="00BF76A6"/>
    <w:rsid w:val="00C005F3"/>
    <w:rsid w:val="00C008B8"/>
    <w:rsid w:val="00C0099B"/>
    <w:rsid w:val="00C010BB"/>
    <w:rsid w:val="00C01443"/>
    <w:rsid w:val="00C01745"/>
    <w:rsid w:val="00C01A94"/>
    <w:rsid w:val="00C01B3B"/>
    <w:rsid w:val="00C01BA1"/>
    <w:rsid w:val="00C01CED"/>
    <w:rsid w:val="00C02640"/>
    <w:rsid w:val="00C02D04"/>
    <w:rsid w:val="00C03981"/>
    <w:rsid w:val="00C04C92"/>
    <w:rsid w:val="00C060DB"/>
    <w:rsid w:val="00C062A5"/>
    <w:rsid w:val="00C06668"/>
    <w:rsid w:val="00C068BD"/>
    <w:rsid w:val="00C06B7D"/>
    <w:rsid w:val="00C0714B"/>
    <w:rsid w:val="00C0719E"/>
    <w:rsid w:val="00C072CC"/>
    <w:rsid w:val="00C0749F"/>
    <w:rsid w:val="00C079F2"/>
    <w:rsid w:val="00C07AFD"/>
    <w:rsid w:val="00C07D6D"/>
    <w:rsid w:val="00C07F92"/>
    <w:rsid w:val="00C1015C"/>
    <w:rsid w:val="00C1041B"/>
    <w:rsid w:val="00C10D6C"/>
    <w:rsid w:val="00C115B6"/>
    <w:rsid w:val="00C11AB9"/>
    <w:rsid w:val="00C11C64"/>
    <w:rsid w:val="00C12080"/>
    <w:rsid w:val="00C13304"/>
    <w:rsid w:val="00C138A5"/>
    <w:rsid w:val="00C13D4D"/>
    <w:rsid w:val="00C1457A"/>
    <w:rsid w:val="00C15234"/>
    <w:rsid w:val="00C160DC"/>
    <w:rsid w:val="00C16519"/>
    <w:rsid w:val="00C16A0F"/>
    <w:rsid w:val="00C16AC6"/>
    <w:rsid w:val="00C17994"/>
    <w:rsid w:val="00C179B1"/>
    <w:rsid w:val="00C17C1E"/>
    <w:rsid w:val="00C17EC3"/>
    <w:rsid w:val="00C2037B"/>
    <w:rsid w:val="00C20E7F"/>
    <w:rsid w:val="00C2130F"/>
    <w:rsid w:val="00C2146E"/>
    <w:rsid w:val="00C21B5E"/>
    <w:rsid w:val="00C21EE4"/>
    <w:rsid w:val="00C220CE"/>
    <w:rsid w:val="00C2257E"/>
    <w:rsid w:val="00C22B98"/>
    <w:rsid w:val="00C22C61"/>
    <w:rsid w:val="00C22D83"/>
    <w:rsid w:val="00C248D7"/>
    <w:rsid w:val="00C24DCD"/>
    <w:rsid w:val="00C25534"/>
    <w:rsid w:val="00C2591A"/>
    <w:rsid w:val="00C25B6A"/>
    <w:rsid w:val="00C26590"/>
    <w:rsid w:val="00C265EE"/>
    <w:rsid w:val="00C2664F"/>
    <w:rsid w:val="00C267CD"/>
    <w:rsid w:val="00C26841"/>
    <w:rsid w:val="00C268AD"/>
    <w:rsid w:val="00C279FC"/>
    <w:rsid w:val="00C27EE1"/>
    <w:rsid w:val="00C300F3"/>
    <w:rsid w:val="00C3011D"/>
    <w:rsid w:val="00C306DB"/>
    <w:rsid w:val="00C30B0C"/>
    <w:rsid w:val="00C31963"/>
    <w:rsid w:val="00C326D3"/>
    <w:rsid w:val="00C332E3"/>
    <w:rsid w:val="00C33346"/>
    <w:rsid w:val="00C336E2"/>
    <w:rsid w:val="00C3390E"/>
    <w:rsid w:val="00C33968"/>
    <w:rsid w:val="00C3416B"/>
    <w:rsid w:val="00C34AEB"/>
    <w:rsid w:val="00C34F29"/>
    <w:rsid w:val="00C350A0"/>
    <w:rsid w:val="00C353EA"/>
    <w:rsid w:val="00C35AC3"/>
    <w:rsid w:val="00C35F81"/>
    <w:rsid w:val="00C35F8E"/>
    <w:rsid w:val="00C35FD7"/>
    <w:rsid w:val="00C35FF2"/>
    <w:rsid w:val="00C36498"/>
    <w:rsid w:val="00C36D13"/>
    <w:rsid w:val="00C3789C"/>
    <w:rsid w:val="00C37A21"/>
    <w:rsid w:val="00C37D2D"/>
    <w:rsid w:val="00C4093E"/>
    <w:rsid w:val="00C409A4"/>
    <w:rsid w:val="00C40BF1"/>
    <w:rsid w:val="00C40FBA"/>
    <w:rsid w:val="00C41AE8"/>
    <w:rsid w:val="00C41DF4"/>
    <w:rsid w:val="00C42250"/>
    <w:rsid w:val="00C4229C"/>
    <w:rsid w:val="00C427F8"/>
    <w:rsid w:val="00C43643"/>
    <w:rsid w:val="00C4364D"/>
    <w:rsid w:val="00C4414A"/>
    <w:rsid w:val="00C44436"/>
    <w:rsid w:val="00C4469B"/>
    <w:rsid w:val="00C44834"/>
    <w:rsid w:val="00C46025"/>
    <w:rsid w:val="00C46105"/>
    <w:rsid w:val="00C4620D"/>
    <w:rsid w:val="00C4662F"/>
    <w:rsid w:val="00C4669C"/>
    <w:rsid w:val="00C5061E"/>
    <w:rsid w:val="00C50B44"/>
    <w:rsid w:val="00C5126E"/>
    <w:rsid w:val="00C514F8"/>
    <w:rsid w:val="00C51A05"/>
    <w:rsid w:val="00C51EB5"/>
    <w:rsid w:val="00C5299B"/>
    <w:rsid w:val="00C532ED"/>
    <w:rsid w:val="00C536BE"/>
    <w:rsid w:val="00C53A1E"/>
    <w:rsid w:val="00C53D46"/>
    <w:rsid w:val="00C53FD2"/>
    <w:rsid w:val="00C54516"/>
    <w:rsid w:val="00C546B0"/>
    <w:rsid w:val="00C54AB3"/>
    <w:rsid w:val="00C55B5A"/>
    <w:rsid w:val="00C55CCD"/>
    <w:rsid w:val="00C55FDF"/>
    <w:rsid w:val="00C564D2"/>
    <w:rsid w:val="00C576C0"/>
    <w:rsid w:val="00C57E59"/>
    <w:rsid w:val="00C601D0"/>
    <w:rsid w:val="00C601D4"/>
    <w:rsid w:val="00C604EB"/>
    <w:rsid w:val="00C60911"/>
    <w:rsid w:val="00C61042"/>
    <w:rsid w:val="00C610E4"/>
    <w:rsid w:val="00C61DC1"/>
    <w:rsid w:val="00C61FB6"/>
    <w:rsid w:val="00C628E8"/>
    <w:rsid w:val="00C62D08"/>
    <w:rsid w:val="00C63846"/>
    <w:rsid w:val="00C63B1D"/>
    <w:rsid w:val="00C649AC"/>
    <w:rsid w:val="00C64BC3"/>
    <w:rsid w:val="00C64C4B"/>
    <w:rsid w:val="00C65749"/>
    <w:rsid w:val="00C65777"/>
    <w:rsid w:val="00C65F02"/>
    <w:rsid w:val="00C660F1"/>
    <w:rsid w:val="00C67230"/>
    <w:rsid w:val="00C6776D"/>
    <w:rsid w:val="00C6787E"/>
    <w:rsid w:val="00C70396"/>
    <w:rsid w:val="00C71732"/>
    <w:rsid w:val="00C717F9"/>
    <w:rsid w:val="00C71B90"/>
    <w:rsid w:val="00C71E26"/>
    <w:rsid w:val="00C72251"/>
    <w:rsid w:val="00C73746"/>
    <w:rsid w:val="00C73DA3"/>
    <w:rsid w:val="00C742CD"/>
    <w:rsid w:val="00C74535"/>
    <w:rsid w:val="00C7461C"/>
    <w:rsid w:val="00C7560D"/>
    <w:rsid w:val="00C767A6"/>
    <w:rsid w:val="00C76B34"/>
    <w:rsid w:val="00C76B66"/>
    <w:rsid w:val="00C77433"/>
    <w:rsid w:val="00C776E9"/>
    <w:rsid w:val="00C77B2E"/>
    <w:rsid w:val="00C77EE2"/>
    <w:rsid w:val="00C801EC"/>
    <w:rsid w:val="00C805F7"/>
    <w:rsid w:val="00C80BE5"/>
    <w:rsid w:val="00C80F47"/>
    <w:rsid w:val="00C8133E"/>
    <w:rsid w:val="00C81BAA"/>
    <w:rsid w:val="00C82730"/>
    <w:rsid w:val="00C827DF"/>
    <w:rsid w:val="00C82A2D"/>
    <w:rsid w:val="00C839B4"/>
    <w:rsid w:val="00C83D8E"/>
    <w:rsid w:val="00C850D1"/>
    <w:rsid w:val="00C853DC"/>
    <w:rsid w:val="00C854EB"/>
    <w:rsid w:val="00C85BEF"/>
    <w:rsid w:val="00C875DB"/>
    <w:rsid w:val="00C8797B"/>
    <w:rsid w:val="00C87E6C"/>
    <w:rsid w:val="00C903CE"/>
    <w:rsid w:val="00C903D4"/>
    <w:rsid w:val="00C91009"/>
    <w:rsid w:val="00C91033"/>
    <w:rsid w:val="00C91876"/>
    <w:rsid w:val="00C91954"/>
    <w:rsid w:val="00C91DD7"/>
    <w:rsid w:val="00C92816"/>
    <w:rsid w:val="00C92D28"/>
    <w:rsid w:val="00C93048"/>
    <w:rsid w:val="00C943DA"/>
    <w:rsid w:val="00C948DE"/>
    <w:rsid w:val="00C94F20"/>
    <w:rsid w:val="00C953FE"/>
    <w:rsid w:val="00C96261"/>
    <w:rsid w:val="00C96EC2"/>
    <w:rsid w:val="00C973AA"/>
    <w:rsid w:val="00C976A3"/>
    <w:rsid w:val="00C97815"/>
    <w:rsid w:val="00C9795F"/>
    <w:rsid w:val="00C979A7"/>
    <w:rsid w:val="00C97F8D"/>
    <w:rsid w:val="00CA050E"/>
    <w:rsid w:val="00CA06C6"/>
    <w:rsid w:val="00CA0F09"/>
    <w:rsid w:val="00CA2156"/>
    <w:rsid w:val="00CA2E83"/>
    <w:rsid w:val="00CA2EC8"/>
    <w:rsid w:val="00CA3074"/>
    <w:rsid w:val="00CA448F"/>
    <w:rsid w:val="00CA5367"/>
    <w:rsid w:val="00CA53EE"/>
    <w:rsid w:val="00CA5473"/>
    <w:rsid w:val="00CA56EA"/>
    <w:rsid w:val="00CA5AAB"/>
    <w:rsid w:val="00CA6390"/>
    <w:rsid w:val="00CA6B1C"/>
    <w:rsid w:val="00CA6C76"/>
    <w:rsid w:val="00CB0F5C"/>
    <w:rsid w:val="00CB10E7"/>
    <w:rsid w:val="00CB16FB"/>
    <w:rsid w:val="00CB17A0"/>
    <w:rsid w:val="00CB1ABD"/>
    <w:rsid w:val="00CB1ACA"/>
    <w:rsid w:val="00CB1EE3"/>
    <w:rsid w:val="00CB237E"/>
    <w:rsid w:val="00CB24D4"/>
    <w:rsid w:val="00CB3500"/>
    <w:rsid w:val="00CB35FE"/>
    <w:rsid w:val="00CB38C2"/>
    <w:rsid w:val="00CB3996"/>
    <w:rsid w:val="00CB49CF"/>
    <w:rsid w:val="00CB5189"/>
    <w:rsid w:val="00CB5A12"/>
    <w:rsid w:val="00CB690A"/>
    <w:rsid w:val="00CB69A9"/>
    <w:rsid w:val="00CB6BBF"/>
    <w:rsid w:val="00CB6F7B"/>
    <w:rsid w:val="00CB7D0B"/>
    <w:rsid w:val="00CC0584"/>
    <w:rsid w:val="00CC07E8"/>
    <w:rsid w:val="00CC11BC"/>
    <w:rsid w:val="00CC19B7"/>
    <w:rsid w:val="00CC1D9A"/>
    <w:rsid w:val="00CC20F8"/>
    <w:rsid w:val="00CC263A"/>
    <w:rsid w:val="00CC2EB6"/>
    <w:rsid w:val="00CC3531"/>
    <w:rsid w:val="00CC3EEB"/>
    <w:rsid w:val="00CC4270"/>
    <w:rsid w:val="00CC48C3"/>
    <w:rsid w:val="00CC4A4E"/>
    <w:rsid w:val="00CC521C"/>
    <w:rsid w:val="00CC586F"/>
    <w:rsid w:val="00CC63C5"/>
    <w:rsid w:val="00CC6852"/>
    <w:rsid w:val="00CC6AB3"/>
    <w:rsid w:val="00CC73E6"/>
    <w:rsid w:val="00CC78B1"/>
    <w:rsid w:val="00CD0B3F"/>
    <w:rsid w:val="00CD0BCF"/>
    <w:rsid w:val="00CD0C1E"/>
    <w:rsid w:val="00CD0DBF"/>
    <w:rsid w:val="00CD0E59"/>
    <w:rsid w:val="00CD11E8"/>
    <w:rsid w:val="00CD1306"/>
    <w:rsid w:val="00CD15E5"/>
    <w:rsid w:val="00CD1EB2"/>
    <w:rsid w:val="00CD1FD6"/>
    <w:rsid w:val="00CD21E1"/>
    <w:rsid w:val="00CD22B0"/>
    <w:rsid w:val="00CD24F8"/>
    <w:rsid w:val="00CD2A83"/>
    <w:rsid w:val="00CD2DE3"/>
    <w:rsid w:val="00CD2F18"/>
    <w:rsid w:val="00CD3438"/>
    <w:rsid w:val="00CD41AA"/>
    <w:rsid w:val="00CD4314"/>
    <w:rsid w:val="00CD476F"/>
    <w:rsid w:val="00CD4944"/>
    <w:rsid w:val="00CD4B8C"/>
    <w:rsid w:val="00CD4EB5"/>
    <w:rsid w:val="00CD4FF1"/>
    <w:rsid w:val="00CD52C8"/>
    <w:rsid w:val="00CD54AD"/>
    <w:rsid w:val="00CD552E"/>
    <w:rsid w:val="00CD5626"/>
    <w:rsid w:val="00CD5BF6"/>
    <w:rsid w:val="00CD5D11"/>
    <w:rsid w:val="00CD5F8F"/>
    <w:rsid w:val="00CD613B"/>
    <w:rsid w:val="00CD6772"/>
    <w:rsid w:val="00CE05D9"/>
    <w:rsid w:val="00CE071E"/>
    <w:rsid w:val="00CE0764"/>
    <w:rsid w:val="00CE07F1"/>
    <w:rsid w:val="00CE0920"/>
    <w:rsid w:val="00CE1316"/>
    <w:rsid w:val="00CE155A"/>
    <w:rsid w:val="00CE174C"/>
    <w:rsid w:val="00CE1D8A"/>
    <w:rsid w:val="00CE245A"/>
    <w:rsid w:val="00CE261E"/>
    <w:rsid w:val="00CE2A3C"/>
    <w:rsid w:val="00CE2B7C"/>
    <w:rsid w:val="00CE2EE3"/>
    <w:rsid w:val="00CE347E"/>
    <w:rsid w:val="00CE3589"/>
    <w:rsid w:val="00CE3A32"/>
    <w:rsid w:val="00CE40D6"/>
    <w:rsid w:val="00CE4503"/>
    <w:rsid w:val="00CE5072"/>
    <w:rsid w:val="00CE53AC"/>
    <w:rsid w:val="00CE61FA"/>
    <w:rsid w:val="00CE684F"/>
    <w:rsid w:val="00CE7259"/>
    <w:rsid w:val="00CF00F3"/>
    <w:rsid w:val="00CF0EC6"/>
    <w:rsid w:val="00CF1D80"/>
    <w:rsid w:val="00CF20EE"/>
    <w:rsid w:val="00CF2C72"/>
    <w:rsid w:val="00CF3AF9"/>
    <w:rsid w:val="00CF514F"/>
    <w:rsid w:val="00CF56F5"/>
    <w:rsid w:val="00CF5ACD"/>
    <w:rsid w:val="00CF5D3F"/>
    <w:rsid w:val="00CF5EB2"/>
    <w:rsid w:val="00CF649B"/>
    <w:rsid w:val="00CF6524"/>
    <w:rsid w:val="00CF7F2F"/>
    <w:rsid w:val="00D00848"/>
    <w:rsid w:val="00D00895"/>
    <w:rsid w:val="00D00923"/>
    <w:rsid w:val="00D00BE5"/>
    <w:rsid w:val="00D01631"/>
    <w:rsid w:val="00D01D5A"/>
    <w:rsid w:val="00D02215"/>
    <w:rsid w:val="00D02D47"/>
    <w:rsid w:val="00D03099"/>
    <w:rsid w:val="00D03149"/>
    <w:rsid w:val="00D04190"/>
    <w:rsid w:val="00D04847"/>
    <w:rsid w:val="00D05015"/>
    <w:rsid w:val="00D050E2"/>
    <w:rsid w:val="00D0536B"/>
    <w:rsid w:val="00D0561C"/>
    <w:rsid w:val="00D05902"/>
    <w:rsid w:val="00D05A91"/>
    <w:rsid w:val="00D05C18"/>
    <w:rsid w:val="00D067FB"/>
    <w:rsid w:val="00D06AB6"/>
    <w:rsid w:val="00D102F1"/>
    <w:rsid w:val="00D10EDF"/>
    <w:rsid w:val="00D111C8"/>
    <w:rsid w:val="00D11960"/>
    <w:rsid w:val="00D11977"/>
    <w:rsid w:val="00D11982"/>
    <w:rsid w:val="00D11B26"/>
    <w:rsid w:val="00D12295"/>
    <w:rsid w:val="00D13F7A"/>
    <w:rsid w:val="00D13FBC"/>
    <w:rsid w:val="00D140DE"/>
    <w:rsid w:val="00D153BB"/>
    <w:rsid w:val="00D153BF"/>
    <w:rsid w:val="00D153E5"/>
    <w:rsid w:val="00D15707"/>
    <w:rsid w:val="00D1578C"/>
    <w:rsid w:val="00D1598B"/>
    <w:rsid w:val="00D16075"/>
    <w:rsid w:val="00D161D3"/>
    <w:rsid w:val="00D17A10"/>
    <w:rsid w:val="00D17DB4"/>
    <w:rsid w:val="00D2024D"/>
    <w:rsid w:val="00D208FA"/>
    <w:rsid w:val="00D209FB"/>
    <w:rsid w:val="00D20B88"/>
    <w:rsid w:val="00D20FD3"/>
    <w:rsid w:val="00D21EC1"/>
    <w:rsid w:val="00D2285A"/>
    <w:rsid w:val="00D22B0C"/>
    <w:rsid w:val="00D232AD"/>
    <w:rsid w:val="00D23B2D"/>
    <w:rsid w:val="00D23C38"/>
    <w:rsid w:val="00D240F0"/>
    <w:rsid w:val="00D24842"/>
    <w:rsid w:val="00D24D36"/>
    <w:rsid w:val="00D25910"/>
    <w:rsid w:val="00D2660B"/>
    <w:rsid w:val="00D266A1"/>
    <w:rsid w:val="00D26873"/>
    <w:rsid w:val="00D26B96"/>
    <w:rsid w:val="00D26ED6"/>
    <w:rsid w:val="00D27233"/>
    <w:rsid w:val="00D27249"/>
    <w:rsid w:val="00D276D2"/>
    <w:rsid w:val="00D302BB"/>
    <w:rsid w:val="00D30B70"/>
    <w:rsid w:val="00D31773"/>
    <w:rsid w:val="00D32114"/>
    <w:rsid w:val="00D32749"/>
    <w:rsid w:val="00D32757"/>
    <w:rsid w:val="00D32912"/>
    <w:rsid w:val="00D32FD5"/>
    <w:rsid w:val="00D3317C"/>
    <w:rsid w:val="00D33CC9"/>
    <w:rsid w:val="00D33DB0"/>
    <w:rsid w:val="00D3446C"/>
    <w:rsid w:val="00D345A3"/>
    <w:rsid w:val="00D34761"/>
    <w:rsid w:val="00D34EE7"/>
    <w:rsid w:val="00D34F49"/>
    <w:rsid w:val="00D3528B"/>
    <w:rsid w:val="00D3554C"/>
    <w:rsid w:val="00D3569F"/>
    <w:rsid w:val="00D35BFD"/>
    <w:rsid w:val="00D36039"/>
    <w:rsid w:val="00D37158"/>
    <w:rsid w:val="00D374D3"/>
    <w:rsid w:val="00D37563"/>
    <w:rsid w:val="00D37706"/>
    <w:rsid w:val="00D37A3F"/>
    <w:rsid w:val="00D40449"/>
    <w:rsid w:val="00D4087D"/>
    <w:rsid w:val="00D41A9A"/>
    <w:rsid w:val="00D41F24"/>
    <w:rsid w:val="00D42884"/>
    <w:rsid w:val="00D43009"/>
    <w:rsid w:val="00D43082"/>
    <w:rsid w:val="00D43440"/>
    <w:rsid w:val="00D4361A"/>
    <w:rsid w:val="00D4386F"/>
    <w:rsid w:val="00D44180"/>
    <w:rsid w:val="00D44CEC"/>
    <w:rsid w:val="00D44CFA"/>
    <w:rsid w:val="00D45209"/>
    <w:rsid w:val="00D452CC"/>
    <w:rsid w:val="00D45664"/>
    <w:rsid w:val="00D45702"/>
    <w:rsid w:val="00D46870"/>
    <w:rsid w:val="00D476A7"/>
    <w:rsid w:val="00D477AE"/>
    <w:rsid w:val="00D47E53"/>
    <w:rsid w:val="00D500B2"/>
    <w:rsid w:val="00D50A63"/>
    <w:rsid w:val="00D51368"/>
    <w:rsid w:val="00D51510"/>
    <w:rsid w:val="00D5241D"/>
    <w:rsid w:val="00D52844"/>
    <w:rsid w:val="00D52A76"/>
    <w:rsid w:val="00D53137"/>
    <w:rsid w:val="00D5314D"/>
    <w:rsid w:val="00D53513"/>
    <w:rsid w:val="00D53600"/>
    <w:rsid w:val="00D5386A"/>
    <w:rsid w:val="00D54BBD"/>
    <w:rsid w:val="00D54D53"/>
    <w:rsid w:val="00D55049"/>
    <w:rsid w:val="00D5602E"/>
    <w:rsid w:val="00D56200"/>
    <w:rsid w:val="00D56878"/>
    <w:rsid w:val="00D56AF0"/>
    <w:rsid w:val="00D56BFB"/>
    <w:rsid w:val="00D57233"/>
    <w:rsid w:val="00D573A3"/>
    <w:rsid w:val="00D57486"/>
    <w:rsid w:val="00D604B3"/>
    <w:rsid w:val="00D60AF0"/>
    <w:rsid w:val="00D60B01"/>
    <w:rsid w:val="00D61180"/>
    <w:rsid w:val="00D61EFA"/>
    <w:rsid w:val="00D625F3"/>
    <w:rsid w:val="00D6299E"/>
    <w:rsid w:val="00D62A75"/>
    <w:rsid w:val="00D62D05"/>
    <w:rsid w:val="00D6361A"/>
    <w:rsid w:val="00D639DB"/>
    <w:rsid w:val="00D63D84"/>
    <w:rsid w:val="00D63DDE"/>
    <w:rsid w:val="00D64622"/>
    <w:rsid w:val="00D65730"/>
    <w:rsid w:val="00D67596"/>
    <w:rsid w:val="00D67721"/>
    <w:rsid w:val="00D67A44"/>
    <w:rsid w:val="00D70BB3"/>
    <w:rsid w:val="00D70BE6"/>
    <w:rsid w:val="00D70EE8"/>
    <w:rsid w:val="00D71553"/>
    <w:rsid w:val="00D716A9"/>
    <w:rsid w:val="00D7210B"/>
    <w:rsid w:val="00D722B6"/>
    <w:rsid w:val="00D728D7"/>
    <w:rsid w:val="00D72AA5"/>
    <w:rsid w:val="00D73808"/>
    <w:rsid w:val="00D73C6F"/>
    <w:rsid w:val="00D73F98"/>
    <w:rsid w:val="00D74763"/>
    <w:rsid w:val="00D74B09"/>
    <w:rsid w:val="00D751A0"/>
    <w:rsid w:val="00D75A46"/>
    <w:rsid w:val="00D75C62"/>
    <w:rsid w:val="00D75DE7"/>
    <w:rsid w:val="00D76496"/>
    <w:rsid w:val="00D76958"/>
    <w:rsid w:val="00D77136"/>
    <w:rsid w:val="00D77188"/>
    <w:rsid w:val="00D77189"/>
    <w:rsid w:val="00D80677"/>
    <w:rsid w:val="00D81314"/>
    <w:rsid w:val="00D81318"/>
    <w:rsid w:val="00D81911"/>
    <w:rsid w:val="00D81ACE"/>
    <w:rsid w:val="00D81FA9"/>
    <w:rsid w:val="00D839DD"/>
    <w:rsid w:val="00D83A20"/>
    <w:rsid w:val="00D83CBA"/>
    <w:rsid w:val="00D848FE"/>
    <w:rsid w:val="00D84989"/>
    <w:rsid w:val="00D85169"/>
    <w:rsid w:val="00D860A2"/>
    <w:rsid w:val="00D86D75"/>
    <w:rsid w:val="00D870AC"/>
    <w:rsid w:val="00D871B6"/>
    <w:rsid w:val="00D874FE"/>
    <w:rsid w:val="00D87534"/>
    <w:rsid w:val="00D87A50"/>
    <w:rsid w:val="00D87D81"/>
    <w:rsid w:val="00D87E6D"/>
    <w:rsid w:val="00D90906"/>
    <w:rsid w:val="00D9105C"/>
    <w:rsid w:val="00D911EA"/>
    <w:rsid w:val="00D914F0"/>
    <w:rsid w:val="00D91521"/>
    <w:rsid w:val="00D91785"/>
    <w:rsid w:val="00D91A99"/>
    <w:rsid w:val="00D91E53"/>
    <w:rsid w:val="00D9202F"/>
    <w:rsid w:val="00D92239"/>
    <w:rsid w:val="00D9274A"/>
    <w:rsid w:val="00D92F45"/>
    <w:rsid w:val="00D93ECA"/>
    <w:rsid w:val="00D93F99"/>
    <w:rsid w:val="00D94109"/>
    <w:rsid w:val="00D9447C"/>
    <w:rsid w:val="00D952C0"/>
    <w:rsid w:val="00D95CF9"/>
    <w:rsid w:val="00D9656E"/>
    <w:rsid w:val="00D96ADE"/>
    <w:rsid w:val="00D96CEB"/>
    <w:rsid w:val="00DA0865"/>
    <w:rsid w:val="00DA0CB6"/>
    <w:rsid w:val="00DA25C8"/>
    <w:rsid w:val="00DA2B0D"/>
    <w:rsid w:val="00DA3357"/>
    <w:rsid w:val="00DA3728"/>
    <w:rsid w:val="00DA427C"/>
    <w:rsid w:val="00DA44DC"/>
    <w:rsid w:val="00DA45C4"/>
    <w:rsid w:val="00DA47EA"/>
    <w:rsid w:val="00DA4B75"/>
    <w:rsid w:val="00DA4E44"/>
    <w:rsid w:val="00DA6048"/>
    <w:rsid w:val="00DA65B1"/>
    <w:rsid w:val="00DA67CC"/>
    <w:rsid w:val="00DA7970"/>
    <w:rsid w:val="00DB05EB"/>
    <w:rsid w:val="00DB06B7"/>
    <w:rsid w:val="00DB0787"/>
    <w:rsid w:val="00DB07E6"/>
    <w:rsid w:val="00DB09AC"/>
    <w:rsid w:val="00DB0C20"/>
    <w:rsid w:val="00DB0DBE"/>
    <w:rsid w:val="00DB1122"/>
    <w:rsid w:val="00DB125C"/>
    <w:rsid w:val="00DB1428"/>
    <w:rsid w:val="00DB156B"/>
    <w:rsid w:val="00DB19CC"/>
    <w:rsid w:val="00DB2267"/>
    <w:rsid w:val="00DB229F"/>
    <w:rsid w:val="00DB22CE"/>
    <w:rsid w:val="00DB2439"/>
    <w:rsid w:val="00DB24B2"/>
    <w:rsid w:val="00DB28A9"/>
    <w:rsid w:val="00DB2C31"/>
    <w:rsid w:val="00DB3433"/>
    <w:rsid w:val="00DB3BCB"/>
    <w:rsid w:val="00DB55AA"/>
    <w:rsid w:val="00DB56FD"/>
    <w:rsid w:val="00DB5F85"/>
    <w:rsid w:val="00DB64FF"/>
    <w:rsid w:val="00DB664A"/>
    <w:rsid w:val="00DB6D4E"/>
    <w:rsid w:val="00DB7161"/>
    <w:rsid w:val="00DB7AA2"/>
    <w:rsid w:val="00DB7BA7"/>
    <w:rsid w:val="00DB7BD9"/>
    <w:rsid w:val="00DC01C5"/>
    <w:rsid w:val="00DC0538"/>
    <w:rsid w:val="00DC0693"/>
    <w:rsid w:val="00DC0A6F"/>
    <w:rsid w:val="00DC1134"/>
    <w:rsid w:val="00DC1728"/>
    <w:rsid w:val="00DC18D0"/>
    <w:rsid w:val="00DC1BD6"/>
    <w:rsid w:val="00DC26DD"/>
    <w:rsid w:val="00DC3146"/>
    <w:rsid w:val="00DC37C6"/>
    <w:rsid w:val="00DC47F0"/>
    <w:rsid w:val="00DC51AE"/>
    <w:rsid w:val="00DC5315"/>
    <w:rsid w:val="00DC5A95"/>
    <w:rsid w:val="00DC5D16"/>
    <w:rsid w:val="00DC66FD"/>
    <w:rsid w:val="00DC6D36"/>
    <w:rsid w:val="00DC76A8"/>
    <w:rsid w:val="00DC7E2B"/>
    <w:rsid w:val="00DC7FD2"/>
    <w:rsid w:val="00DD07E7"/>
    <w:rsid w:val="00DD087C"/>
    <w:rsid w:val="00DD2E40"/>
    <w:rsid w:val="00DD3182"/>
    <w:rsid w:val="00DD3441"/>
    <w:rsid w:val="00DD37C4"/>
    <w:rsid w:val="00DD3D07"/>
    <w:rsid w:val="00DD4AEF"/>
    <w:rsid w:val="00DD50A5"/>
    <w:rsid w:val="00DD5560"/>
    <w:rsid w:val="00DD5AB2"/>
    <w:rsid w:val="00DD5B99"/>
    <w:rsid w:val="00DD5C58"/>
    <w:rsid w:val="00DD61D7"/>
    <w:rsid w:val="00DD6E7E"/>
    <w:rsid w:val="00DD70EA"/>
    <w:rsid w:val="00DD7948"/>
    <w:rsid w:val="00DE0AF0"/>
    <w:rsid w:val="00DE11DD"/>
    <w:rsid w:val="00DE1241"/>
    <w:rsid w:val="00DE1283"/>
    <w:rsid w:val="00DE1B3E"/>
    <w:rsid w:val="00DE1C89"/>
    <w:rsid w:val="00DE252C"/>
    <w:rsid w:val="00DE2DEF"/>
    <w:rsid w:val="00DE3256"/>
    <w:rsid w:val="00DE366C"/>
    <w:rsid w:val="00DE4236"/>
    <w:rsid w:val="00DE4D15"/>
    <w:rsid w:val="00DE5671"/>
    <w:rsid w:val="00DE6C69"/>
    <w:rsid w:val="00DE7100"/>
    <w:rsid w:val="00DE7120"/>
    <w:rsid w:val="00DF0724"/>
    <w:rsid w:val="00DF08E4"/>
    <w:rsid w:val="00DF1AFC"/>
    <w:rsid w:val="00DF1B9D"/>
    <w:rsid w:val="00DF1C10"/>
    <w:rsid w:val="00DF20CB"/>
    <w:rsid w:val="00DF22A5"/>
    <w:rsid w:val="00DF2577"/>
    <w:rsid w:val="00DF278F"/>
    <w:rsid w:val="00DF31A3"/>
    <w:rsid w:val="00DF3D4C"/>
    <w:rsid w:val="00DF4D5C"/>
    <w:rsid w:val="00DF55FF"/>
    <w:rsid w:val="00DF597E"/>
    <w:rsid w:val="00DF5D7A"/>
    <w:rsid w:val="00DF63BB"/>
    <w:rsid w:val="00DF643E"/>
    <w:rsid w:val="00DF67ED"/>
    <w:rsid w:val="00DF6C33"/>
    <w:rsid w:val="00DF6D5D"/>
    <w:rsid w:val="00DF6E0F"/>
    <w:rsid w:val="00DF6ED9"/>
    <w:rsid w:val="00DF78C1"/>
    <w:rsid w:val="00E003C8"/>
    <w:rsid w:val="00E00707"/>
    <w:rsid w:val="00E00D7A"/>
    <w:rsid w:val="00E01070"/>
    <w:rsid w:val="00E010B6"/>
    <w:rsid w:val="00E010C7"/>
    <w:rsid w:val="00E012D7"/>
    <w:rsid w:val="00E0143D"/>
    <w:rsid w:val="00E019B1"/>
    <w:rsid w:val="00E01A77"/>
    <w:rsid w:val="00E02154"/>
    <w:rsid w:val="00E02841"/>
    <w:rsid w:val="00E03509"/>
    <w:rsid w:val="00E044CD"/>
    <w:rsid w:val="00E04859"/>
    <w:rsid w:val="00E04F4C"/>
    <w:rsid w:val="00E05BDC"/>
    <w:rsid w:val="00E0632C"/>
    <w:rsid w:val="00E069B7"/>
    <w:rsid w:val="00E06D5B"/>
    <w:rsid w:val="00E07090"/>
    <w:rsid w:val="00E070A0"/>
    <w:rsid w:val="00E0795D"/>
    <w:rsid w:val="00E10298"/>
    <w:rsid w:val="00E10434"/>
    <w:rsid w:val="00E10EA2"/>
    <w:rsid w:val="00E11311"/>
    <w:rsid w:val="00E11894"/>
    <w:rsid w:val="00E12D48"/>
    <w:rsid w:val="00E12DEA"/>
    <w:rsid w:val="00E13753"/>
    <w:rsid w:val="00E13755"/>
    <w:rsid w:val="00E13C29"/>
    <w:rsid w:val="00E1450D"/>
    <w:rsid w:val="00E14AB0"/>
    <w:rsid w:val="00E14AEA"/>
    <w:rsid w:val="00E15251"/>
    <w:rsid w:val="00E17441"/>
    <w:rsid w:val="00E176C3"/>
    <w:rsid w:val="00E2073E"/>
    <w:rsid w:val="00E21D2E"/>
    <w:rsid w:val="00E21E5B"/>
    <w:rsid w:val="00E22106"/>
    <w:rsid w:val="00E22911"/>
    <w:rsid w:val="00E22B1C"/>
    <w:rsid w:val="00E23087"/>
    <w:rsid w:val="00E235B2"/>
    <w:rsid w:val="00E23BF9"/>
    <w:rsid w:val="00E23C3D"/>
    <w:rsid w:val="00E23CA0"/>
    <w:rsid w:val="00E24129"/>
    <w:rsid w:val="00E242A9"/>
    <w:rsid w:val="00E24668"/>
    <w:rsid w:val="00E24940"/>
    <w:rsid w:val="00E24A6B"/>
    <w:rsid w:val="00E24E0D"/>
    <w:rsid w:val="00E24EA6"/>
    <w:rsid w:val="00E2525E"/>
    <w:rsid w:val="00E25C66"/>
    <w:rsid w:val="00E25E7E"/>
    <w:rsid w:val="00E26752"/>
    <w:rsid w:val="00E27989"/>
    <w:rsid w:val="00E27BA5"/>
    <w:rsid w:val="00E27C35"/>
    <w:rsid w:val="00E27CD4"/>
    <w:rsid w:val="00E304B7"/>
    <w:rsid w:val="00E314C9"/>
    <w:rsid w:val="00E323EB"/>
    <w:rsid w:val="00E326CB"/>
    <w:rsid w:val="00E343A4"/>
    <w:rsid w:val="00E3511E"/>
    <w:rsid w:val="00E35657"/>
    <w:rsid w:val="00E356B4"/>
    <w:rsid w:val="00E357B7"/>
    <w:rsid w:val="00E3621F"/>
    <w:rsid w:val="00E3634F"/>
    <w:rsid w:val="00E36CEA"/>
    <w:rsid w:val="00E36DF2"/>
    <w:rsid w:val="00E37762"/>
    <w:rsid w:val="00E3782E"/>
    <w:rsid w:val="00E40345"/>
    <w:rsid w:val="00E40A20"/>
    <w:rsid w:val="00E410EB"/>
    <w:rsid w:val="00E417A1"/>
    <w:rsid w:val="00E4189E"/>
    <w:rsid w:val="00E426A3"/>
    <w:rsid w:val="00E42C49"/>
    <w:rsid w:val="00E42CCF"/>
    <w:rsid w:val="00E42E50"/>
    <w:rsid w:val="00E432E4"/>
    <w:rsid w:val="00E435A5"/>
    <w:rsid w:val="00E43E41"/>
    <w:rsid w:val="00E4402B"/>
    <w:rsid w:val="00E4408F"/>
    <w:rsid w:val="00E45112"/>
    <w:rsid w:val="00E451DD"/>
    <w:rsid w:val="00E4548A"/>
    <w:rsid w:val="00E45970"/>
    <w:rsid w:val="00E459AE"/>
    <w:rsid w:val="00E45C8C"/>
    <w:rsid w:val="00E460E6"/>
    <w:rsid w:val="00E462F2"/>
    <w:rsid w:val="00E46974"/>
    <w:rsid w:val="00E46A27"/>
    <w:rsid w:val="00E502EC"/>
    <w:rsid w:val="00E51D97"/>
    <w:rsid w:val="00E51FF9"/>
    <w:rsid w:val="00E526B7"/>
    <w:rsid w:val="00E52BE4"/>
    <w:rsid w:val="00E531B1"/>
    <w:rsid w:val="00E537CB"/>
    <w:rsid w:val="00E53DA9"/>
    <w:rsid w:val="00E53DAA"/>
    <w:rsid w:val="00E54473"/>
    <w:rsid w:val="00E54479"/>
    <w:rsid w:val="00E54D42"/>
    <w:rsid w:val="00E55092"/>
    <w:rsid w:val="00E553DC"/>
    <w:rsid w:val="00E55955"/>
    <w:rsid w:val="00E56151"/>
    <w:rsid w:val="00E566BB"/>
    <w:rsid w:val="00E56A0E"/>
    <w:rsid w:val="00E56E7D"/>
    <w:rsid w:val="00E6035B"/>
    <w:rsid w:val="00E60428"/>
    <w:rsid w:val="00E62837"/>
    <w:rsid w:val="00E63017"/>
    <w:rsid w:val="00E63E27"/>
    <w:rsid w:val="00E64A99"/>
    <w:rsid w:val="00E6538F"/>
    <w:rsid w:val="00E66261"/>
    <w:rsid w:val="00E66CF8"/>
    <w:rsid w:val="00E67F45"/>
    <w:rsid w:val="00E70B6C"/>
    <w:rsid w:val="00E7114E"/>
    <w:rsid w:val="00E71541"/>
    <w:rsid w:val="00E7397F"/>
    <w:rsid w:val="00E73A06"/>
    <w:rsid w:val="00E73B62"/>
    <w:rsid w:val="00E7402F"/>
    <w:rsid w:val="00E7479B"/>
    <w:rsid w:val="00E748A6"/>
    <w:rsid w:val="00E74C08"/>
    <w:rsid w:val="00E75365"/>
    <w:rsid w:val="00E75729"/>
    <w:rsid w:val="00E75AE9"/>
    <w:rsid w:val="00E75D32"/>
    <w:rsid w:val="00E75F63"/>
    <w:rsid w:val="00E765E1"/>
    <w:rsid w:val="00E765E9"/>
    <w:rsid w:val="00E767DE"/>
    <w:rsid w:val="00E768D4"/>
    <w:rsid w:val="00E76F1F"/>
    <w:rsid w:val="00E77776"/>
    <w:rsid w:val="00E80D19"/>
    <w:rsid w:val="00E81410"/>
    <w:rsid w:val="00E8160A"/>
    <w:rsid w:val="00E81CC3"/>
    <w:rsid w:val="00E820DA"/>
    <w:rsid w:val="00E822F4"/>
    <w:rsid w:val="00E82303"/>
    <w:rsid w:val="00E828A5"/>
    <w:rsid w:val="00E82D57"/>
    <w:rsid w:val="00E82F24"/>
    <w:rsid w:val="00E83144"/>
    <w:rsid w:val="00E836B9"/>
    <w:rsid w:val="00E8371D"/>
    <w:rsid w:val="00E8379F"/>
    <w:rsid w:val="00E843DE"/>
    <w:rsid w:val="00E84862"/>
    <w:rsid w:val="00E85B76"/>
    <w:rsid w:val="00E85B86"/>
    <w:rsid w:val="00E85CB9"/>
    <w:rsid w:val="00E863EB"/>
    <w:rsid w:val="00E87928"/>
    <w:rsid w:val="00E87DA5"/>
    <w:rsid w:val="00E90112"/>
    <w:rsid w:val="00E901A3"/>
    <w:rsid w:val="00E91D01"/>
    <w:rsid w:val="00E92D95"/>
    <w:rsid w:val="00E932E6"/>
    <w:rsid w:val="00E93420"/>
    <w:rsid w:val="00E93C04"/>
    <w:rsid w:val="00E941F2"/>
    <w:rsid w:val="00E94B2E"/>
    <w:rsid w:val="00E9562D"/>
    <w:rsid w:val="00E95BA5"/>
    <w:rsid w:val="00E95CAA"/>
    <w:rsid w:val="00E95E9A"/>
    <w:rsid w:val="00E95F17"/>
    <w:rsid w:val="00E96A35"/>
    <w:rsid w:val="00E9781E"/>
    <w:rsid w:val="00E97C1A"/>
    <w:rsid w:val="00EA02C7"/>
    <w:rsid w:val="00EA066C"/>
    <w:rsid w:val="00EA1423"/>
    <w:rsid w:val="00EA1BF2"/>
    <w:rsid w:val="00EA20FB"/>
    <w:rsid w:val="00EA2DDB"/>
    <w:rsid w:val="00EA2E70"/>
    <w:rsid w:val="00EA340F"/>
    <w:rsid w:val="00EA39F2"/>
    <w:rsid w:val="00EA3FE6"/>
    <w:rsid w:val="00EA4392"/>
    <w:rsid w:val="00EA4956"/>
    <w:rsid w:val="00EA4A9E"/>
    <w:rsid w:val="00EA5125"/>
    <w:rsid w:val="00EA57AB"/>
    <w:rsid w:val="00EA58CC"/>
    <w:rsid w:val="00EA5A5C"/>
    <w:rsid w:val="00EA6AA6"/>
    <w:rsid w:val="00EA6B5A"/>
    <w:rsid w:val="00EA6E80"/>
    <w:rsid w:val="00EA7337"/>
    <w:rsid w:val="00EA763B"/>
    <w:rsid w:val="00EB0224"/>
    <w:rsid w:val="00EB065B"/>
    <w:rsid w:val="00EB070E"/>
    <w:rsid w:val="00EB07DD"/>
    <w:rsid w:val="00EB0B8C"/>
    <w:rsid w:val="00EB0FD6"/>
    <w:rsid w:val="00EB11C1"/>
    <w:rsid w:val="00EB156D"/>
    <w:rsid w:val="00EB20AB"/>
    <w:rsid w:val="00EB3B6E"/>
    <w:rsid w:val="00EB5E81"/>
    <w:rsid w:val="00EB6723"/>
    <w:rsid w:val="00EB6906"/>
    <w:rsid w:val="00EB6EB7"/>
    <w:rsid w:val="00EB71DD"/>
    <w:rsid w:val="00EB7371"/>
    <w:rsid w:val="00EC0CDD"/>
    <w:rsid w:val="00EC1334"/>
    <w:rsid w:val="00EC1A8B"/>
    <w:rsid w:val="00EC1CD0"/>
    <w:rsid w:val="00EC242B"/>
    <w:rsid w:val="00EC2ADB"/>
    <w:rsid w:val="00EC2E3D"/>
    <w:rsid w:val="00EC374C"/>
    <w:rsid w:val="00EC3CBB"/>
    <w:rsid w:val="00EC3D17"/>
    <w:rsid w:val="00EC3F83"/>
    <w:rsid w:val="00EC439B"/>
    <w:rsid w:val="00EC442E"/>
    <w:rsid w:val="00EC4BB3"/>
    <w:rsid w:val="00EC4E8C"/>
    <w:rsid w:val="00EC502F"/>
    <w:rsid w:val="00EC5494"/>
    <w:rsid w:val="00EC56E6"/>
    <w:rsid w:val="00EC5CD3"/>
    <w:rsid w:val="00EC5F47"/>
    <w:rsid w:val="00EC71A0"/>
    <w:rsid w:val="00EC7495"/>
    <w:rsid w:val="00ED097C"/>
    <w:rsid w:val="00ED0FBE"/>
    <w:rsid w:val="00ED166E"/>
    <w:rsid w:val="00ED246E"/>
    <w:rsid w:val="00ED25BC"/>
    <w:rsid w:val="00ED25E6"/>
    <w:rsid w:val="00ED2BBD"/>
    <w:rsid w:val="00ED336C"/>
    <w:rsid w:val="00ED3C0D"/>
    <w:rsid w:val="00ED4967"/>
    <w:rsid w:val="00ED4A38"/>
    <w:rsid w:val="00ED5F88"/>
    <w:rsid w:val="00ED60CF"/>
    <w:rsid w:val="00ED66C7"/>
    <w:rsid w:val="00ED6B98"/>
    <w:rsid w:val="00ED738E"/>
    <w:rsid w:val="00ED74AA"/>
    <w:rsid w:val="00ED7CA6"/>
    <w:rsid w:val="00EE16ED"/>
    <w:rsid w:val="00EE22DB"/>
    <w:rsid w:val="00EE24AF"/>
    <w:rsid w:val="00EE294F"/>
    <w:rsid w:val="00EE2AC7"/>
    <w:rsid w:val="00EE30C5"/>
    <w:rsid w:val="00EE3EFF"/>
    <w:rsid w:val="00EE3F6D"/>
    <w:rsid w:val="00EE3FCC"/>
    <w:rsid w:val="00EE46ED"/>
    <w:rsid w:val="00EE591F"/>
    <w:rsid w:val="00EE6368"/>
    <w:rsid w:val="00EE65CD"/>
    <w:rsid w:val="00EE6C84"/>
    <w:rsid w:val="00EE6EA4"/>
    <w:rsid w:val="00EE733D"/>
    <w:rsid w:val="00EE7C8B"/>
    <w:rsid w:val="00EF0991"/>
    <w:rsid w:val="00EF09ED"/>
    <w:rsid w:val="00EF0EE0"/>
    <w:rsid w:val="00EF17F6"/>
    <w:rsid w:val="00EF1833"/>
    <w:rsid w:val="00EF1B17"/>
    <w:rsid w:val="00EF238C"/>
    <w:rsid w:val="00EF24DE"/>
    <w:rsid w:val="00EF29A2"/>
    <w:rsid w:val="00EF3B92"/>
    <w:rsid w:val="00EF3EC9"/>
    <w:rsid w:val="00EF489E"/>
    <w:rsid w:val="00EF52E7"/>
    <w:rsid w:val="00EF539C"/>
    <w:rsid w:val="00EF67AD"/>
    <w:rsid w:val="00EF69BC"/>
    <w:rsid w:val="00EF7105"/>
    <w:rsid w:val="00EF7410"/>
    <w:rsid w:val="00EF76A8"/>
    <w:rsid w:val="00EF775B"/>
    <w:rsid w:val="00EF7AD7"/>
    <w:rsid w:val="00EF7C49"/>
    <w:rsid w:val="00EF7FEE"/>
    <w:rsid w:val="00F00F2B"/>
    <w:rsid w:val="00F020DE"/>
    <w:rsid w:val="00F02549"/>
    <w:rsid w:val="00F028E1"/>
    <w:rsid w:val="00F02C99"/>
    <w:rsid w:val="00F02CCD"/>
    <w:rsid w:val="00F0329C"/>
    <w:rsid w:val="00F035F1"/>
    <w:rsid w:val="00F0461C"/>
    <w:rsid w:val="00F04C23"/>
    <w:rsid w:val="00F04F0A"/>
    <w:rsid w:val="00F05A11"/>
    <w:rsid w:val="00F05C5B"/>
    <w:rsid w:val="00F0659C"/>
    <w:rsid w:val="00F06AB5"/>
    <w:rsid w:val="00F078A4"/>
    <w:rsid w:val="00F07A68"/>
    <w:rsid w:val="00F10BCC"/>
    <w:rsid w:val="00F11508"/>
    <w:rsid w:val="00F11693"/>
    <w:rsid w:val="00F12057"/>
    <w:rsid w:val="00F12152"/>
    <w:rsid w:val="00F12E66"/>
    <w:rsid w:val="00F13F3D"/>
    <w:rsid w:val="00F14106"/>
    <w:rsid w:val="00F14880"/>
    <w:rsid w:val="00F14D9F"/>
    <w:rsid w:val="00F14E27"/>
    <w:rsid w:val="00F15122"/>
    <w:rsid w:val="00F15483"/>
    <w:rsid w:val="00F154A9"/>
    <w:rsid w:val="00F15B1D"/>
    <w:rsid w:val="00F162A3"/>
    <w:rsid w:val="00F16456"/>
    <w:rsid w:val="00F16839"/>
    <w:rsid w:val="00F16B94"/>
    <w:rsid w:val="00F20320"/>
    <w:rsid w:val="00F2044C"/>
    <w:rsid w:val="00F20D47"/>
    <w:rsid w:val="00F21423"/>
    <w:rsid w:val="00F22E42"/>
    <w:rsid w:val="00F233C0"/>
    <w:rsid w:val="00F23BF7"/>
    <w:rsid w:val="00F23F05"/>
    <w:rsid w:val="00F24194"/>
    <w:rsid w:val="00F2440A"/>
    <w:rsid w:val="00F247B2"/>
    <w:rsid w:val="00F2499B"/>
    <w:rsid w:val="00F24D90"/>
    <w:rsid w:val="00F25F10"/>
    <w:rsid w:val="00F265D6"/>
    <w:rsid w:val="00F270A1"/>
    <w:rsid w:val="00F27558"/>
    <w:rsid w:val="00F275AC"/>
    <w:rsid w:val="00F27C7E"/>
    <w:rsid w:val="00F27E3F"/>
    <w:rsid w:val="00F27EA6"/>
    <w:rsid w:val="00F3000B"/>
    <w:rsid w:val="00F30558"/>
    <w:rsid w:val="00F30653"/>
    <w:rsid w:val="00F30A2E"/>
    <w:rsid w:val="00F3146D"/>
    <w:rsid w:val="00F316E5"/>
    <w:rsid w:val="00F3190B"/>
    <w:rsid w:val="00F31F23"/>
    <w:rsid w:val="00F31FD3"/>
    <w:rsid w:val="00F32DBF"/>
    <w:rsid w:val="00F33C27"/>
    <w:rsid w:val="00F341B9"/>
    <w:rsid w:val="00F343DC"/>
    <w:rsid w:val="00F349E2"/>
    <w:rsid w:val="00F34F40"/>
    <w:rsid w:val="00F35897"/>
    <w:rsid w:val="00F35B6E"/>
    <w:rsid w:val="00F360C3"/>
    <w:rsid w:val="00F3618E"/>
    <w:rsid w:val="00F36974"/>
    <w:rsid w:val="00F370DE"/>
    <w:rsid w:val="00F3744C"/>
    <w:rsid w:val="00F37581"/>
    <w:rsid w:val="00F3761E"/>
    <w:rsid w:val="00F40139"/>
    <w:rsid w:val="00F40473"/>
    <w:rsid w:val="00F41975"/>
    <w:rsid w:val="00F41BFE"/>
    <w:rsid w:val="00F41E45"/>
    <w:rsid w:val="00F41F3C"/>
    <w:rsid w:val="00F42513"/>
    <w:rsid w:val="00F42E43"/>
    <w:rsid w:val="00F43D03"/>
    <w:rsid w:val="00F442C2"/>
    <w:rsid w:val="00F44348"/>
    <w:rsid w:val="00F44B46"/>
    <w:rsid w:val="00F45AF2"/>
    <w:rsid w:val="00F461DF"/>
    <w:rsid w:val="00F465AE"/>
    <w:rsid w:val="00F46A79"/>
    <w:rsid w:val="00F4752C"/>
    <w:rsid w:val="00F47569"/>
    <w:rsid w:val="00F47667"/>
    <w:rsid w:val="00F47886"/>
    <w:rsid w:val="00F5012D"/>
    <w:rsid w:val="00F503DC"/>
    <w:rsid w:val="00F50660"/>
    <w:rsid w:val="00F50A4E"/>
    <w:rsid w:val="00F50E89"/>
    <w:rsid w:val="00F511D3"/>
    <w:rsid w:val="00F514E8"/>
    <w:rsid w:val="00F52970"/>
    <w:rsid w:val="00F5297C"/>
    <w:rsid w:val="00F53AA8"/>
    <w:rsid w:val="00F53B23"/>
    <w:rsid w:val="00F53DA4"/>
    <w:rsid w:val="00F55387"/>
    <w:rsid w:val="00F55AC1"/>
    <w:rsid w:val="00F55AC2"/>
    <w:rsid w:val="00F55DE3"/>
    <w:rsid w:val="00F56259"/>
    <w:rsid w:val="00F573DA"/>
    <w:rsid w:val="00F57D63"/>
    <w:rsid w:val="00F601A6"/>
    <w:rsid w:val="00F601E1"/>
    <w:rsid w:val="00F607E9"/>
    <w:rsid w:val="00F61929"/>
    <w:rsid w:val="00F624E2"/>
    <w:rsid w:val="00F62D58"/>
    <w:rsid w:val="00F63645"/>
    <w:rsid w:val="00F637C2"/>
    <w:rsid w:val="00F638BE"/>
    <w:rsid w:val="00F63B8E"/>
    <w:rsid w:val="00F63D6F"/>
    <w:rsid w:val="00F63E57"/>
    <w:rsid w:val="00F64337"/>
    <w:rsid w:val="00F64523"/>
    <w:rsid w:val="00F64814"/>
    <w:rsid w:val="00F6490E"/>
    <w:rsid w:val="00F64CCF"/>
    <w:rsid w:val="00F64ECB"/>
    <w:rsid w:val="00F65503"/>
    <w:rsid w:val="00F65D5F"/>
    <w:rsid w:val="00F6674C"/>
    <w:rsid w:val="00F66862"/>
    <w:rsid w:val="00F66B3C"/>
    <w:rsid w:val="00F673CA"/>
    <w:rsid w:val="00F678A8"/>
    <w:rsid w:val="00F678DB"/>
    <w:rsid w:val="00F67B73"/>
    <w:rsid w:val="00F70010"/>
    <w:rsid w:val="00F7055D"/>
    <w:rsid w:val="00F70D9D"/>
    <w:rsid w:val="00F717BC"/>
    <w:rsid w:val="00F71B23"/>
    <w:rsid w:val="00F71B76"/>
    <w:rsid w:val="00F72268"/>
    <w:rsid w:val="00F7229F"/>
    <w:rsid w:val="00F72DC1"/>
    <w:rsid w:val="00F73206"/>
    <w:rsid w:val="00F732FB"/>
    <w:rsid w:val="00F73321"/>
    <w:rsid w:val="00F7357D"/>
    <w:rsid w:val="00F73C21"/>
    <w:rsid w:val="00F747FA"/>
    <w:rsid w:val="00F7559C"/>
    <w:rsid w:val="00F75A30"/>
    <w:rsid w:val="00F75F42"/>
    <w:rsid w:val="00F76107"/>
    <w:rsid w:val="00F76B17"/>
    <w:rsid w:val="00F76BA2"/>
    <w:rsid w:val="00F77524"/>
    <w:rsid w:val="00F77736"/>
    <w:rsid w:val="00F778C6"/>
    <w:rsid w:val="00F77B89"/>
    <w:rsid w:val="00F77EDA"/>
    <w:rsid w:val="00F80946"/>
    <w:rsid w:val="00F80E75"/>
    <w:rsid w:val="00F819E5"/>
    <w:rsid w:val="00F81E58"/>
    <w:rsid w:val="00F826B3"/>
    <w:rsid w:val="00F83452"/>
    <w:rsid w:val="00F834B3"/>
    <w:rsid w:val="00F8358C"/>
    <w:rsid w:val="00F83A16"/>
    <w:rsid w:val="00F83B50"/>
    <w:rsid w:val="00F8408D"/>
    <w:rsid w:val="00F8432D"/>
    <w:rsid w:val="00F84384"/>
    <w:rsid w:val="00F85CFC"/>
    <w:rsid w:val="00F86142"/>
    <w:rsid w:val="00F869CB"/>
    <w:rsid w:val="00F86A00"/>
    <w:rsid w:val="00F86BF4"/>
    <w:rsid w:val="00F86CCE"/>
    <w:rsid w:val="00F87258"/>
    <w:rsid w:val="00F879C3"/>
    <w:rsid w:val="00F87BA3"/>
    <w:rsid w:val="00F90127"/>
    <w:rsid w:val="00F90C9C"/>
    <w:rsid w:val="00F916CA"/>
    <w:rsid w:val="00F9238E"/>
    <w:rsid w:val="00F92827"/>
    <w:rsid w:val="00F934E4"/>
    <w:rsid w:val="00F93DDF"/>
    <w:rsid w:val="00F96091"/>
    <w:rsid w:val="00F963D2"/>
    <w:rsid w:val="00F9664D"/>
    <w:rsid w:val="00F97095"/>
    <w:rsid w:val="00F9726E"/>
    <w:rsid w:val="00F972F4"/>
    <w:rsid w:val="00F976BF"/>
    <w:rsid w:val="00F97FF5"/>
    <w:rsid w:val="00FA0440"/>
    <w:rsid w:val="00FA0A68"/>
    <w:rsid w:val="00FA0A97"/>
    <w:rsid w:val="00FA0EE8"/>
    <w:rsid w:val="00FA16BA"/>
    <w:rsid w:val="00FA16D6"/>
    <w:rsid w:val="00FA1ECE"/>
    <w:rsid w:val="00FA1F07"/>
    <w:rsid w:val="00FA2B51"/>
    <w:rsid w:val="00FA3547"/>
    <w:rsid w:val="00FA3583"/>
    <w:rsid w:val="00FA36D2"/>
    <w:rsid w:val="00FA380E"/>
    <w:rsid w:val="00FA3A22"/>
    <w:rsid w:val="00FA3EC5"/>
    <w:rsid w:val="00FA4271"/>
    <w:rsid w:val="00FA4430"/>
    <w:rsid w:val="00FA4559"/>
    <w:rsid w:val="00FA4600"/>
    <w:rsid w:val="00FA47DF"/>
    <w:rsid w:val="00FA4A31"/>
    <w:rsid w:val="00FA598C"/>
    <w:rsid w:val="00FA5A0D"/>
    <w:rsid w:val="00FA5F47"/>
    <w:rsid w:val="00FA6002"/>
    <w:rsid w:val="00FA649E"/>
    <w:rsid w:val="00FA6584"/>
    <w:rsid w:val="00FA78D9"/>
    <w:rsid w:val="00FB0469"/>
    <w:rsid w:val="00FB0D14"/>
    <w:rsid w:val="00FB0DED"/>
    <w:rsid w:val="00FB147C"/>
    <w:rsid w:val="00FB1504"/>
    <w:rsid w:val="00FB1561"/>
    <w:rsid w:val="00FB1AEB"/>
    <w:rsid w:val="00FB230C"/>
    <w:rsid w:val="00FB2D1A"/>
    <w:rsid w:val="00FB302B"/>
    <w:rsid w:val="00FB38B9"/>
    <w:rsid w:val="00FB3CE3"/>
    <w:rsid w:val="00FB3F54"/>
    <w:rsid w:val="00FB5552"/>
    <w:rsid w:val="00FB5581"/>
    <w:rsid w:val="00FB562C"/>
    <w:rsid w:val="00FB5FCB"/>
    <w:rsid w:val="00FB6332"/>
    <w:rsid w:val="00FB6665"/>
    <w:rsid w:val="00FB76AC"/>
    <w:rsid w:val="00FC06F4"/>
    <w:rsid w:val="00FC087E"/>
    <w:rsid w:val="00FC08A5"/>
    <w:rsid w:val="00FC0E34"/>
    <w:rsid w:val="00FC0FE8"/>
    <w:rsid w:val="00FC1757"/>
    <w:rsid w:val="00FC18E6"/>
    <w:rsid w:val="00FC19AF"/>
    <w:rsid w:val="00FC29BD"/>
    <w:rsid w:val="00FC2C07"/>
    <w:rsid w:val="00FC2FF4"/>
    <w:rsid w:val="00FC319E"/>
    <w:rsid w:val="00FC33D2"/>
    <w:rsid w:val="00FC37D9"/>
    <w:rsid w:val="00FC3C4B"/>
    <w:rsid w:val="00FC43D7"/>
    <w:rsid w:val="00FC4DF1"/>
    <w:rsid w:val="00FC5D2D"/>
    <w:rsid w:val="00FC67E5"/>
    <w:rsid w:val="00FC6CFE"/>
    <w:rsid w:val="00FC7C5C"/>
    <w:rsid w:val="00FC7E5E"/>
    <w:rsid w:val="00FD06E8"/>
    <w:rsid w:val="00FD08B4"/>
    <w:rsid w:val="00FD0A09"/>
    <w:rsid w:val="00FD1B33"/>
    <w:rsid w:val="00FD2782"/>
    <w:rsid w:val="00FD27BF"/>
    <w:rsid w:val="00FD319F"/>
    <w:rsid w:val="00FD3A9A"/>
    <w:rsid w:val="00FD445C"/>
    <w:rsid w:val="00FD4D14"/>
    <w:rsid w:val="00FD4E7C"/>
    <w:rsid w:val="00FD58D4"/>
    <w:rsid w:val="00FD5E7E"/>
    <w:rsid w:val="00FD5EC3"/>
    <w:rsid w:val="00FD60AD"/>
    <w:rsid w:val="00FD701A"/>
    <w:rsid w:val="00FD7EDD"/>
    <w:rsid w:val="00FE00E5"/>
    <w:rsid w:val="00FE10E4"/>
    <w:rsid w:val="00FE1243"/>
    <w:rsid w:val="00FE19D3"/>
    <w:rsid w:val="00FE23FE"/>
    <w:rsid w:val="00FE27A9"/>
    <w:rsid w:val="00FE2E94"/>
    <w:rsid w:val="00FE2FAF"/>
    <w:rsid w:val="00FE3AAA"/>
    <w:rsid w:val="00FE3BC7"/>
    <w:rsid w:val="00FE44BB"/>
    <w:rsid w:val="00FE463D"/>
    <w:rsid w:val="00FE4E1C"/>
    <w:rsid w:val="00FE4F2B"/>
    <w:rsid w:val="00FE58FD"/>
    <w:rsid w:val="00FE5E28"/>
    <w:rsid w:val="00FE60D1"/>
    <w:rsid w:val="00FE6DE9"/>
    <w:rsid w:val="00FE702E"/>
    <w:rsid w:val="00FE7779"/>
    <w:rsid w:val="00FE7BBB"/>
    <w:rsid w:val="00FF074B"/>
    <w:rsid w:val="00FF0A6C"/>
    <w:rsid w:val="00FF0D39"/>
    <w:rsid w:val="00FF2976"/>
    <w:rsid w:val="00FF31CB"/>
    <w:rsid w:val="00FF32D0"/>
    <w:rsid w:val="00FF403E"/>
    <w:rsid w:val="00FF40C7"/>
    <w:rsid w:val="00FF47A9"/>
    <w:rsid w:val="00FF4A3D"/>
    <w:rsid w:val="00FF4AF4"/>
    <w:rsid w:val="00FF4F95"/>
    <w:rsid w:val="00FF51E7"/>
    <w:rsid w:val="00FF54F1"/>
    <w:rsid w:val="00FF561A"/>
    <w:rsid w:val="00FF5769"/>
    <w:rsid w:val="00FF5887"/>
    <w:rsid w:val="00FF6C32"/>
    <w:rsid w:val="00FF73F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BD4FE"/>
  <w15:docId w15:val="{7A7571AF-F871-B949-8B93-C15B0EFE4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hr-HR" w:eastAsia="hr-H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536"/>
        <w:tab w:val="right" w:pos="9072"/>
      </w:tabs>
    </w:pPr>
    <w:rPr>
      <w:rFonts w:ascii="Calibri" w:eastAsia="Calibri" w:hAnsi="Calibri" w:cs="Calibri"/>
      <w:color w:val="000000"/>
      <w:sz w:val="22"/>
      <w:szCs w:val="22"/>
      <w:u w:color="000000"/>
    </w:rPr>
  </w:style>
  <w:style w:type="paragraph" w:customStyle="1" w:styleId="Body">
    <w:name w:val="Body"/>
    <w:pPr>
      <w:spacing w:after="160" w:line="259" w:lineRule="auto"/>
    </w:pPr>
    <w:rPr>
      <w:rFonts w:ascii="Calibri" w:eastAsia="Calibri" w:hAnsi="Calibri" w:cs="Calibri"/>
      <w:color w:val="000000"/>
      <w:sz w:val="22"/>
      <w:szCs w:val="22"/>
      <w:u w:color="000000"/>
    </w:rPr>
  </w:style>
  <w:style w:type="paragraph" w:customStyle="1" w:styleId="Default">
    <w:name w:val="Default"/>
    <w:rPr>
      <w:rFonts w:cs="Arial Unicode MS"/>
      <w:color w:val="000000"/>
      <w:sz w:val="22"/>
      <w:szCs w:val="22"/>
      <w:u w:color="000000"/>
      <w:lang w:val="en-US"/>
    </w:rPr>
  </w:style>
  <w:style w:type="paragraph" w:styleId="ListParagraph">
    <w:name w:val="List Paragraph"/>
    <w:pPr>
      <w:spacing w:after="160" w:line="259" w:lineRule="auto"/>
      <w:ind w:left="720"/>
    </w:pPr>
    <w:rPr>
      <w:rFonts w:ascii="Calibri" w:eastAsia="Calibri" w:hAnsi="Calibri" w:cs="Calibri"/>
      <w:color w:val="000000"/>
      <w:sz w:val="22"/>
      <w:szCs w:val="22"/>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paragraph" w:styleId="Header">
    <w:name w:val="header"/>
    <w:basedOn w:val="Normal"/>
    <w:link w:val="HeaderChar"/>
    <w:uiPriority w:val="99"/>
    <w:unhideWhenUsed/>
    <w:rsid w:val="00C3011D"/>
    <w:pPr>
      <w:tabs>
        <w:tab w:val="center" w:pos="4536"/>
        <w:tab w:val="right" w:pos="9072"/>
      </w:tabs>
    </w:pPr>
  </w:style>
  <w:style w:type="character" w:customStyle="1" w:styleId="HeaderChar">
    <w:name w:val="Header Char"/>
    <w:basedOn w:val="DefaultParagraphFont"/>
    <w:link w:val="Header"/>
    <w:uiPriority w:val="99"/>
    <w:rsid w:val="00C3011D"/>
    <w:rPr>
      <w:sz w:val="24"/>
      <w:szCs w:val="24"/>
      <w:lang w:val="en-US" w:eastAsia="en-US"/>
    </w:rPr>
  </w:style>
  <w:style w:type="character" w:styleId="CommentReference">
    <w:name w:val="annotation reference"/>
    <w:basedOn w:val="DefaultParagraphFont"/>
    <w:uiPriority w:val="99"/>
    <w:semiHidden/>
    <w:unhideWhenUsed/>
    <w:rsid w:val="005B6145"/>
    <w:rPr>
      <w:sz w:val="16"/>
      <w:szCs w:val="16"/>
    </w:rPr>
  </w:style>
  <w:style w:type="paragraph" w:styleId="CommentText">
    <w:name w:val="annotation text"/>
    <w:basedOn w:val="Normal"/>
    <w:link w:val="CommentTextChar"/>
    <w:uiPriority w:val="99"/>
    <w:unhideWhenUsed/>
    <w:rsid w:val="005B6145"/>
    <w:rPr>
      <w:sz w:val="20"/>
      <w:szCs w:val="20"/>
    </w:rPr>
  </w:style>
  <w:style w:type="character" w:customStyle="1" w:styleId="CommentTextChar">
    <w:name w:val="Comment Text Char"/>
    <w:basedOn w:val="DefaultParagraphFont"/>
    <w:link w:val="CommentText"/>
    <w:uiPriority w:val="99"/>
    <w:rsid w:val="005B6145"/>
    <w:rPr>
      <w:lang w:val="en-US" w:eastAsia="en-US"/>
    </w:rPr>
  </w:style>
  <w:style w:type="paragraph" w:styleId="CommentSubject">
    <w:name w:val="annotation subject"/>
    <w:basedOn w:val="CommentText"/>
    <w:next w:val="CommentText"/>
    <w:link w:val="CommentSubjectChar"/>
    <w:uiPriority w:val="99"/>
    <w:semiHidden/>
    <w:unhideWhenUsed/>
    <w:rsid w:val="005B6145"/>
    <w:rPr>
      <w:b/>
      <w:bCs/>
    </w:rPr>
  </w:style>
  <w:style w:type="character" w:customStyle="1" w:styleId="CommentSubjectChar">
    <w:name w:val="Comment Subject Char"/>
    <w:basedOn w:val="CommentTextChar"/>
    <w:link w:val="CommentSubject"/>
    <w:uiPriority w:val="99"/>
    <w:semiHidden/>
    <w:rsid w:val="005B6145"/>
    <w:rPr>
      <w:b/>
      <w:bCs/>
      <w:lang w:val="en-US" w:eastAsia="en-US"/>
    </w:rPr>
  </w:style>
  <w:style w:type="paragraph" w:styleId="BalloonText">
    <w:name w:val="Balloon Text"/>
    <w:basedOn w:val="Normal"/>
    <w:link w:val="BalloonTextChar"/>
    <w:uiPriority w:val="99"/>
    <w:semiHidden/>
    <w:unhideWhenUsed/>
    <w:rsid w:val="005B61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145"/>
    <w:rPr>
      <w:rFonts w:ascii="Segoe UI" w:hAnsi="Segoe UI" w:cs="Segoe UI"/>
      <w:sz w:val="18"/>
      <w:szCs w:val="18"/>
      <w:lang w:val="en-US" w:eastAsia="en-US"/>
    </w:rPr>
  </w:style>
  <w:style w:type="character" w:customStyle="1" w:styleId="UnresolvedMention1">
    <w:name w:val="Unresolved Mention1"/>
    <w:basedOn w:val="DefaultParagraphFont"/>
    <w:uiPriority w:val="99"/>
    <w:rsid w:val="004021A4"/>
    <w:rPr>
      <w:color w:val="605E5C"/>
      <w:shd w:val="clear" w:color="auto" w:fill="E1DFDD"/>
    </w:rPr>
  </w:style>
  <w:style w:type="character" w:customStyle="1" w:styleId="UnresolvedMention2">
    <w:name w:val="Unresolved Mention2"/>
    <w:basedOn w:val="DefaultParagraphFont"/>
    <w:uiPriority w:val="99"/>
    <w:rsid w:val="00E26752"/>
    <w:rPr>
      <w:color w:val="605E5C"/>
      <w:shd w:val="clear" w:color="auto" w:fill="E1DFDD"/>
    </w:rPr>
  </w:style>
  <w:style w:type="table" w:styleId="TableGrid">
    <w:name w:val="Table Grid"/>
    <w:basedOn w:val="TableNormal"/>
    <w:uiPriority w:val="39"/>
    <w:rsid w:val="00184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9850EF"/>
    <w:rPr>
      <w:sz w:val="20"/>
      <w:szCs w:val="20"/>
    </w:rPr>
  </w:style>
  <w:style w:type="character" w:customStyle="1" w:styleId="FootnoteTextChar">
    <w:name w:val="Footnote Text Char"/>
    <w:basedOn w:val="DefaultParagraphFont"/>
    <w:link w:val="FootnoteText"/>
    <w:uiPriority w:val="99"/>
    <w:rsid w:val="009850EF"/>
    <w:rPr>
      <w:lang w:val="en-US" w:eastAsia="en-US"/>
    </w:rPr>
  </w:style>
  <w:style w:type="character" w:styleId="FootnoteReference">
    <w:name w:val="footnote reference"/>
    <w:basedOn w:val="DefaultParagraphFont"/>
    <w:uiPriority w:val="99"/>
    <w:semiHidden/>
    <w:unhideWhenUsed/>
    <w:rsid w:val="009850EF"/>
    <w:rPr>
      <w:vertAlign w:val="superscript"/>
    </w:rPr>
  </w:style>
  <w:style w:type="character" w:styleId="PlaceholderText">
    <w:name w:val="Placeholder Text"/>
    <w:basedOn w:val="DefaultParagraphFont"/>
    <w:uiPriority w:val="99"/>
    <w:semiHidden/>
    <w:rsid w:val="001B2EE5"/>
    <w:rPr>
      <w:color w:val="808080"/>
    </w:rPr>
  </w:style>
  <w:style w:type="paragraph" w:styleId="Revision">
    <w:name w:val="Revision"/>
    <w:hidden/>
    <w:uiPriority w:val="99"/>
    <w:semiHidden/>
    <w:rsid w:val="00AF720C"/>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styleId="FollowedHyperlink">
    <w:name w:val="FollowedHyperlink"/>
    <w:basedOn w:val="DefaultParagraphFont"/>
    <w:uiPriority w:val="99"/>
    <w:semiHidden/>
    <w:unhideWhenUsed/>
    <w:rsid w:val="006E3400"/>
    <w:rPr>
      <w:color w:val="FF00FF" w:themeColor="followedHyperlink"/>
      <w:u w:val="single"/>
    </w:rPr>
  </w:style>
  <w:style w:type="paragraph" w:customStyle="1" w:styleId="Affiliation">
    <w:name w:val="Affiliation"/>
    <w:basedOn w:val="Normal"/>
    <w:qFormat/>
    <w:rsid w:val="00BF1640"/>
    <w:p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pPr>
    <w:rPr>
      <w:rFonts w:eastAsia="Times New Roman"/>
      <w:i/>
      <w:bdr w:val="none" w:sz="0" w:space="0" w:color="auto"/>
      <w:lang w:val="en-GB" w:eastAsia="en-GB"/>
    </w:rPr>
  </w:style>
  <w:style w:type="character" w:customStyle="1" w:styleId="UnresolvedMention3">
    <w:name w:val="Unresolved Mention3"/>
    <w:basedOn w:val="DefaultParagraphFont"/>
    <w:uiPriority w:val="99"/>
    <w:semiHidden/>
    <w:unhideWhenUsed/>
    <w:rsid w:val="00A3071A"/>
    <w:rPr>
      <w:color w:val="605E5C"/>
      <w:shd w:val="clear" w:color="auto" w:fill="E1DFDD"/>
    </w:rPr>
  </w:style>
  <w:style w:type="table" w:customStyle="1" w:styleId="TableGrid1">
    <w:name w:val="Table Grid1"/>
    <w:basedOn w:val="TableNormal"/>
    <w:next w:val="TableGrid"/>
    <w:uiPriority w:val="39"/>
    <w:rsid w:val="0057470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4">
    <w:name w:val="Unresolved Mention4"/>
    <w:basedOn w:val="DefaultParagraphFont"/>
    <w:uiPriority w:val="99"/>
    <w:semiHidden/>
    <w:unhideWhenUsed/>
    <w:rsid w:val="00C973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808998">
      <w:bodyDiv w:val="1"/>
      <w:marLeft w:val="0"/>
      <w:marRight w:val="0"/>
      <w:marTop w:val="0"/>
      <w:marBottom w:val="0"/>
      <w:divBdr>
        <w:top w:val="none" w:sz="0" w:space="0" w:color="auto"/>
        <w:left w:val="none" w:sz="0" w:space="0" w:color="auto"/>
        <w:bottom w:val="none" w:sz="0" w:space="0" w:color="auto"/>
        <w:right w:val="none" w:sz="0" w:space="0" w:color="auto"/>
      </w:divBdr>
    </w:div>
    <w:div w:id="664554002">
      <w:bodyDiv w:val="1"/>
      <w:marLeft w:val="0"/>
      <w:marRight w:val="0"/>
      <w:marTop w:val="0"/>
      <w:marBottom w:val="0"/>
      <w:divBdr>
        <w:top w:val="none" w:sz="0" w:space="0" w:color="auto"/>
        <w:left w:val="none" w:sz="0" w:space="0" w:color="auto"/>
        <w:bottom w:val="none" w:sz="0" w:space="0" w:color="auto"/>
        <w:right w:val="none" w:sz="0" w:space="0" w:color="auto"/>
      </w:divBdr>
    </w:div>
    <w:div w:id="784160116">
      <w:bodyDiv w:val="1"/>
      <w:marLeft w:val="0"/>
      <w:marRight w:val="0"/>
      <w:marTop w:val="0"/>
      <w:marBottom w:val="0"/>
      <w:divBdr>
        <w:top w:val="none" w:sz="0" w:space="0" w:color="auto"/>
        <w:left w:val="none" w:sz="0" w:space="0" w:color="auto"/>
        <w:bottom w:val="none" w:sz="0" w:space="0" w:color="auto"/>
        <w:right w:val="none" w:sz="0" w:space="0" w:color="auto"/>
      </w:divBdr>
    </w:div>
    <w:div w:id="1602762764">
      <w:bodyDiv w:val="1"/>
      <w:marLeft w:val="0"/>
      <w:marRight w:val="0"/>
      <w:marTop w:val="0"/>
      <w:marBottom w:val="0"/>
      <w:divBdr>
        <w:top w:val="none" w:sz="0" w:space="0" w:color="auto"/>
        <w:left w:val="none" w:sz="0" w:space="0" w:color="auto"/>
        <w:bottom w:val="none" w:sz="0" w:space="0" w:color="auto"/>
        <w:right w:val="none" w:sz="0" w:space="0" w:color="auto"/>
      </w:divBdr>
    </w:div>
    <w:div w:id="1697463185">
      <w:bodyDiv w:val="1"/>
      <w:marLeft w:val="0"/>
      <w:marRight w:val="0"/>
      <w:marTop w:val="0"/>
      <w:marBottom w:val="0"/>
      <w:divBdr>
        <w:top w:val="none" w:sz="0" w:space="0" w:color="auto"/>
        <w:left w:val="none" w:sz="0" w:space="0" w:color="auto"/>
        <w:bottom w:val="none" w:sz="0" w:space="0" w:color="auto"/>
        <w:right w:val="none" w:sz="0" w:space="0" w:color="auto"/>
      </w:divBdr>
    </w:div>
    <w:div w:id="1962222670">
      <w:bodyDiv w:val="1"/>
      <w:marLeft w:val="0"/>
      <w:marRight w:val="0"/>
      <w:marTop w:val="0"/>
      <w:marBottom w:val="0"/>
      <w:divBdr>
        <w:top w:val="none" w:sz="0" w:space="0" w:color="auto"/>
        <w:left w:val="none" w:sz="0" w:space="0" w:color="auto"/>
        <w:bottom w:val="none" w:sz="0" w:space="0" w:color="auto"/>
        <w:right w:val="none" w:sz="0" w:space="0" w:color="auto"/>
      </w:divBdr>
    </w:div>
    <w:div w:id="2055037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hyperlink" Target="https://www.oecd.org/cfe/leed/Audretsch_determinants%20of%20high-growth%20firms.pdf" TargetMode="External"/><Relationship Id="rId39" Type="http://schemas.openxmlformats.org/officeDocument/2006/relationships/hyperlink" Target="https://doi.org/10.1007/s10290-011-0116-8" TargetMode="External"/><Relationship Id="rId21" Type="http://schemas.openxmlformats.org/officeDocument/2006/relationships/image" Target="media/image11.emf"/><Relationship Id="rId34" Type="http://schemas.openxmlformats.org/officeDocument/2006/relationships/hyperlink" Target="https://openknowledge.worldbank.org/handle/10986/30800"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yperlink" Target="https://www.jstor.org/stable/40441033"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yperlink" Target="https://doi.org/10.1007/s11187-008-9157-3" TargetMode="External"/><Relationship Id="rId32" Type="http://schemas.openxmlformats.org/officeDocument/2006/relationships/hyperlink" Target="https://doi.org/10.1007/s11187-007-9057-y" TargetMode="External"/><Relationship Id="rId37" Type="http://schemas.openxmlformats.org/officeDocument/2006/relationships/hyperlink" Target="https://doi.org/10.1504/IJTLID.2008.021964"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hyperlink" Target="https://doi.org/10.1093/icc/dtt052" TargetMode="External"/><Relationship Id="rId36" Type="http://schemas.openxmlformats.org/officeDocument/2006/relationships/hyperlink" Target="https://doi.org/10.1017/9781108588232" TargetMode="External"/><Relationship Id="rId10" Type="http://schemas.openxmlformats.org/officeDocument/2006/relationships/hyperlink" Target="https://orcid.org/0000-0003-0179-6410" TargetMode="External"/><Relationship Id="rId19" Type="http://schemas.openxmlformats.org/officeDocument/2006/relationships/image" Target="media/image9.emf"/><Relationship Id="rId31" Type="http://schemas.openxmlformats.org/officeDocument/2006/relationships/hyperlink" Target="https://ssrn.com/abstract=304239" TargetMode="External"/><Relationship Id="rId4" Type="http://schemas.openxmlformats.org/officeDocument/2006/relationships/settings" Target="settings.xml"/><Relationship Id="rId9" Type="http://schemas.openxmlformats.org/officeDocument/2006/relationships/hyperlink" Target="mailto:danic@eizg.hr"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hyperlink" Target="https://doi.org/10.1007/s11187-019-00203-3" TargetMode="External"/><Relationship Id="rId30" Type="http://schemas.openxmlformats.org/officeDocument/2006/relationships/hyperlink" Target="https://doi.org/10.1023/A:1016264116508" TargetMode="External"/><Relationship Id="rId35" Type="http://schemas.openxmlformats.org/officeDocument/2006/relationships/hyperlink" Target="https://doi.org/10.1007/s11187-014-9625-x" TargetMode="External"/><Relationship Id="rId8" Type="http://schemas.openxmlformats.org/officeDocument/2006/relationships/hyperlink" Target="https://orcid.org/0000-0001-6638-8771"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hyperlink" Target="https://doi.org/10.1086/700935" TargetMode="External"/><Relationship Id="rId33" Type="http://schemas.openxmlformats.org/officeDocument/2006/relationships/hyperlink" Target="https://doi.org/10.1057/s41287-018-0148-1" TargetMode="External"/><Relationship Id="rId38" Type="http://schemas.openxmlformats.org/officeDocument/2006/relationships/hyperlink" Target="https://doi.org/10.1093/icc/dtm010"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3CA7A2-9F9C-4DED-A858-B88C1FBDC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10154</Words>
  <Characters>57883</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Tonci</dc:creator>
  <cp:keywords/>
  <dc:description/>
  <cp:lastModifiedBy>Nebojsa Stojcic</cp:lastModifiedBy>
  <cp:revision>2</cp:revision>
  <cp:lastPrinted>2019-11-06T11:19:00Z</cp:lastPrinted>
  <dcterms:created xsi:type="dcterms:W3CDTF">2020-10-10T16:51:00Z</dcterms:created>
  <dcterms:modified xsi:type="dcterms:W3CDTF">2020-10-10T16:51:00Z</dcterms:modified>
</cp:coreProperties>
</file>