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626214" w14:textId="012AF6DA" w:rsidR="00FE4089" w:rsidRDefault="00FE4089" w:rsidP="00FE4089">
      <w:pPr>
        <w:rPr>
          <w:rFonts w:ascii="Georgia" w:hAnsi="Georgia"/>
          <w:color w:val="000000"/>
          <w:sz w:val="27"/>
          <w:szCs w:val="27"/>
        </w:rPr>
      </w:pPr>
      <w:r w:rsidRPr="00FE4089">
        <w:rPr>
          <w:rFonts w:ascii="Georgia" w:hAnsi="Georgia"/>
          <w:color w:val="000000"/>
          <w:sz w:val="27"/>
          <w:szCs w:val="27"/>
        </w:rPr>
        <w:t>Online Publication Date: 17 May 2021</w:t>
      </w:r>
    </w:p>
    <w:p w14:paraId="70F7DEE7" w14:textId="77777777" w:rsidR="00E0410E" w:rsidRDefault="00E0410E" w:rsidP="00E0410E">
      <w:hyperlink r:id="rId7" w:history="1">
        <w:r>
          <w:rPr>
            <w:rStyle w:val="Hyperlink"/>
            <w:rFonts w:ascii="Georgia" w:hAnsi="Georgia"/>
            <w:color w:val="007F92"/>
            <w:sz w:val="27"/>
            <w:szCs w:val="27"/>
          </w:rPr>
          <w:t>European Journal of Comparative Law and Governance</w:t>
        </w:r>
      </w:hyperlink>
    </w:p>
    <w:p w14:paraId="684CB613" w14:textId="720C54EF" w:rsidR="00E0410E" w:rsidRDefault="00BE3D9D" w:rsidP="00E0410E">
      <w:pPr>
        <w:jc w:val="center"/>
        <w:rPr>
          <w:rFonts w:ascii="Georgia" w:hAnsi="Georgia"/>
          <w:color w:val="000000"/>
          <w:sz w:val="27"/>
          <w:szCs w:val="27"/>
        </w:rPr>
      </w:pPr>
      <w:hyperlink r:id="rId8" w:history="1">
        <w:r w:rsidRPr="00B845B8">
          <w:rPr>
            <w:rStyle w:val="Hyperlink"/>
            <w:rFonts w:ascii="Georgia" w:hAnsi="Georgia"/>
            <w:sz w:val="27"/>
            <w:szCs w:val="27"/>
          </w:rPr>
          <w:t>https://brill.com/view/journals/ejcl/aop/article-10.1163-22134514-bja10020/article-10.1163-22134514-bja10020.xml</w:t>
        </w:r>
      </w:hyperlink>
    </w:p>
    <w:p w14:paraId="3635001F" w14:textId="77777777" w:rsidR="00BE3D9D" w:rsidRPr="00FE4089" w:rsidRDefault="00BE3D9D" w:rsidP="00E0410E">
      <w:pPr>
        <w:jc w:val="center"/>
        <w:rPr>
          <w:rFonts w:ascii="Georgia" w:hAnsi="Georgia"/>
          <w:color w:val="000000"/>
          <w:sz w:val="27"/>
          <w:szCs w:val="27"/>
        </w:rPr>
      </w:pPr>
    </w:p>
    <w:p w14:paraId="0F23158C" w14:textId="77777777" w:rsidR="00FE4089" w:rsidRDefault="00FE4089" w:rsidP="00DD7E0C">
      <w:pPr>
        <w:pStyle w:val="Articletitle"/>
        <w:jc w:val="center"/>
        <w:rPr>
          <w:i/>
          <w:iCs/>
          <w:szCs w:val="28"/>
        </w:rPr>
      </w:pPr>
    </w:p>
    <w:p w14:paraId="62C20D9B" w14:textId="11D40DD3" w:rsidR="0066260E" w:rsidRPr="00387E03" w:rsidRDefault="00630F86" w:rsidP="00DD7E0C">
      <w:pPr>
        <w:pStyle w:val="Articletitle"/>
        <w:jc w:val="center"/>
        <w:rPr>
          <w:szCs w:val="28"/>
        </w:rPr>
      </w:pPr>
      <w:r w:rsidRPr="00630F86">
        <w:rPr>
          <w:i/>
          <w:iCs/>
          <w:szCs w:val="28"/>
        </w:rPr>
        <w:t>Evolution</w:t>
      </w:r>
      <w:r>
        <w:rPr>
          <w:szCs w:val="28"/>
        </w:rPr>
        <w:t xml:space="preserve">: </w:t>
      </w:r>
      <w:r w:rsidR="0066260E">
        <w:rPr>
          <w:szCs w:val="28"/>
        </w:rPr>
        <w:t xml:space="preserve">Police </w:t>
      </w:r>
      <w:r w:rsidR="0066260E" w:rsidRPr="00387E03">
        <w:rPr>
          <w:szCs w:val="28"/>
        </w:rPr>
        <w:t>Co</w:t>
      </w:r>
      <w:r w:rsidR="0066260E">
        <w:rPr>
          <w:szCs w:val="28"/>
        </w:rPr>
        <w:t>o</w:t>
      </w:r>
      <w:r w:rsidR="0066260E" w:rsidRPr="00387E03">
        <w:rPr>
          <w:szCs w:val="28"/>
        </w:rPr>
        <w:t>peration</w:t>
      </w:r>
      <w:r w:rsidR="0066260E">
        <w:rPr>
          <w:szCs w:val="28"/>
        </w:rPr>
        <w:t xml:space="preserve"> in the EU</w:t>
      </w:r>
    </w:p>
    <w:p w14:paraId="4990D47E" w14:textId="6C5DA371" w:rsidR="0066260E" w:rsidRPr="00630F86" w:rsidRDefault="0066260E" w:rsidP="0066260E">
      <w:pPr>
        <w:jc w:val="center"/>
        <w:rPr>
          <w:b/>
          <w:bCs/>
          <w:sz w:val="28"/>
          <w:szCs w:val="28"/>
        </w:rPr>
      </w:pPr>
      <w:r>
        <w:rPr>
          <w:b/>
          <w:bCs/>
          <w:sz w:val="28"/>
          <w:szCs w:val="28"/>
        </w:rPr>
        <w:t xml:space="preserve">……. </w:t>
      </w:r>
      <w:r w:rsidRPr="00630F86">
        <w:rPr>
          <w:b/>
          <w:bCs/>
          <w:sz w:val="28"/>
          <w:szCs w:val="28"/>
        </w:rPr>
        <w:t>Positioning the UK</w:t>
      </w:r>
      <w:r w:rsidR="00630F86" w:rsidRPr="00630F86">
        <w:rPr>
          <w:b/>
          <w:bCs/>
          <w:sz w:val="28"/>
          <w:szCs w:val="28"/>
        </w:rPr>
        <w:t>:</w:t>
      </w:r>
      <w:r w:rsidR="00630F86">
        <w:rPr>
          <w:b/>
          <w:bCs/>
          <w:i/>
          <w:iCs/>
          <w:sz w:val="28"/>
          <w:szCs w:val="28"/>
        </w:rPr>
        <w:t xml:space="preserve"> </w:t>
      </w:r>
      <w:r w:rsidR="00630F86" w:rsidRPr="00630F86">
        <w:rPr>
          <w:b/>
          <w:bCs/>
          <w:i/>
          <w:iCs/>
          <w:sz w:val="28"/>
          <w:szCs w:val="28"/>
        </w:rPr>
        <w:t>devolution</w:t>
      </w:r>
      <w:r w:rsidR="00630F86">
        <w:rPr>
          <w:b/>
          <w:bCs/>
          <w:i/>
          <w:iCs/>
          <w:sz w:val="28"/>
          <w:szCs w:val="28"/>
        </w:rPr>
        <w:t>!</w:t>
      </w:r>
      <w:r w:rsidRPr="00630F86">
        <w:rPr>
          <w:b/>
          <w:bCs/>
          <w:sz w:val="28"/>
          <w:szCs w:val="28"/>
        </w:rPr>
        <w:t xml:space="preserve"> </w:t>
      </w:r>
    </w:p>
    <w:p w14:paraId="563769B1" w14:textId="1EF9D1AA" w:rsidR="00A54EB8" w:rsidRDefault="00A54EB8" w:rsidP="0066260E">
      <w:pPr>
        <w:jc w:val="center"/>
      </w:pPr>
    </w:p>
    <w:p w14:paraId="42D4FF6E" w14:textId="0057F1D6" w:rsidR="00681C0B" w:rsidRDefault="00681C0B" w:rsidP="0066260E">
      <w:pPr>
        <w:jc w:val="center"/>
      </w:pPr>
    </w:p>
    <w:p w14:paraId="10F906ED" w14:textId="77777777" w:rsidR="00DD7E0C" w:rsidRDefault="00DD7E0C" w:rsidP="00DD7E0C">
      <w:pPr>
        <w:rPr>
          <w:b/>
          <w:bCs/>
        </w:rPr>
      </w:pPr>
    </w:p>
    <w:p w14:paraId="45C6C34D" w14:textId="77777777" w:rsidR="00DD7E0C" w:rsidRDefault="00DD7E0C" w:rsidP="004C4BF0">
      <w:pPr>
        <w:rPr>
          <w:b/>
          <w:bCs/>
        </w:rPr>
      </w:pPr>
    </w:p>
    <w:p w14:paraId="188EAEE8" w14:textId="77777777" w:rsidR="00DD7E0C" w:rsidRDefault="00DD7E0C" w:rsidP="004C4BF0">
      <w:pPr>
        <w:rPr>
          <w:b/>
          <w:bCs/>
        </w:rPr>
      </w:pPr>
    </w:p>
    <w:p w14:paraId="48E54E2C" w14:textId="753F4D8A" w:rsidR="00681C0B" w:rsidRDefault="004C4BF0" w:rsidP="004C4BF0">
      <w:pPr>
        <w:rPr>
          <w:b/>
          <w:bCs/>
        </w:rPr>
      </w:pPr>
      <w:r w:rsidRPr="004C4BF0">
        <w:rPr>
          <w:b/>
          <w:bCs/>
        </w:rPr>
        <w:t>ABSTRACT</w:t>
      </w:r>
    </w:p>
    <w:p w14:paraId="12C69340" w14:textId="77777777" w:rsidR="00635F4D" w:rsidRDefault="00635F4D" w:rsidP="00A11DD2"/>
    <w:p w14:paraId="224DB8C6" w14:textId="4BA1A1BC" w:rsidR="00A11DD2" w:rsidRDefault="00A11DD2" w:rsidP="00A11DD2">
      <w:r>
        <w:t>Cooperation is key to policing and keeping mankind safe and secure; this includes protecting citizens from various crimes, including terrorist attacks. However, it is not an easy feat to always achieve</w:t>
      </w:r>
      <w:r w:rsidR="00AA4B7C">
        <w:t xml:space="preserve"> – as is explained within this paper.</w:t>
      </w:r>
      <w:r>
        <w:t xml:space="preserve"> </w:t>
      </w:r>
      <w:r w:rsidR="00AA4B7C">
        <w:t>The related research</w:t>
      </w:r>
      <w:r>
        <w:t xml:space="preserve"> considers the complexities and challenges of sharing and coordinating across divides – or</w:t>
      </w:r>
      <w:r w:rsidR="00AA4B7C">
        <w:t>,</w:t>
      </w:r>
      <w:r>
        <w:t xml:space="preserve"> in other words, cooperating across borders</w:t>
      </w:r>
      <w:r w:rsidR="00AA4B7C">
        <w:t xml:space="preserve"> (be they open or closed)</w:t>
      </w:r>
      <w:r>
        <w:t xml:space="preserve">. </w:t>
      </w:r>
      <w:r w:rsidR="001C2DF3">
        <w:t xml:space="preserve">Specifically, it discusses the </w:t>
      </w:r>
      <w:r>
        <w:t xml:space="preserve">advancements made between one bloc of countries – the European Union; and, how the evolutionary process has aided to </w:t>
      </w:r>
      <w:r w:rsidR="000A4CBF">
        <w:t xml:space="preserve">expand </w:t>
      </w:r>
      <w:r w:rsidR="001C2DF3">
        <w:t xml:space="preserve">cooperative </w:t>
      </w:r>
      <w:r>
        <w:t>community practices via various means</w:t>
      </w:r>
      <w:r w:rsidR="001C2DF3">
        <w:t xml:space="preserve"> between the police and other LEA’s.</w:t>
      </w:r>
      <w:r w:rsidR="000A4CBF">
        <w:t xml:space="preserve"> As part of this</w:t>
      </w:r>
      <w:r w:rsidR="00EE2983">
        <w:t>,</w:t>
      </w:r>
      <w:r w:rsidR="000A4CBF">
        <w:t xml:space="preserve"> transport and movement are </w:t>
      </w:r>
      <w:r w:rsidR="00F04156">
        <w:t xml:space="preserve">viewed as an essential element to be </w:t>
      </w:r>
      <w:r w:rsidR="000A4CBF">
        <w:t>discussed and factored in. Finally</w:t>
      </w:r>
      <w:r w:rsidR="00AA4B7C">
        <w:t>,</w:t>
      </w:r>
      <w:r w:rsidR="000A4CBF">
        <w:t xml:space="preserve"> the paper considers the, arguably, devolutionary position of the UK </w:t>
      </w:r>
      <w:r w:rsidR="00AA4B7C">
        <w:t xml:space="preserve">and the implications – </w:t>
      </w:r>
      <w:r w:rsidR="001023DE">
        <w:t>post</w:t>
      </w:r>
      <w:r w:rsidR="00F04156">
        <w:t xml:space="preserve"> 202</w:t>
      </w:r>
      <w:r w:rsidR="005953F0">
        <w:t>0</w:t>
      </w:r>
      <w:r w:rsidR="00F04156">
        <w:t>, in terms of</w:t>
      </w:r>
      <w:r w:rsidR="00AA4B7C">
        <w:t xml:space="preserve"> mark</w:t>
      </w:r>
      <w:r w:rsidR="00F04156">
        <w:t>ing</w:t>
      </w:r>
      <w:r w:rsidR="00AA4B7C">
        <w:t xml:space="preserve"> a </w:t>
      </w:r>
      <w:r w:rsidR="00D024C3">
        <w:t xml:space="preserve">‘potentially’ </w:t>
      </w:r>
      <w:r w:rsidR="00AA4B7C">
        <w:t>regressive position</w:t>
      </w:r>
      <w:r w:rsidR="00F04156">
        <w:t>,</w:t>
      </w:r>
      <w:r w:rsidR="00AA4B7C">
        <w:t xml:space="preserve"> one that stands to compromise safety and security</w:t>
      </w:r>
      <w:r w:rsidR="00F04156">
        <w:t>.</w:t>
      </w:r>
    </w:p>
    <w:p w14:paraId="1B9A506C" w14:textId="0A0BFA35" w:rsidR="001C2DF3" w:rsidRDefault="001C2DF3" w:rsidP="00A11DD2"/>
    <w:p w14:paraId="088A74DC" w14:textId="77777777" w:rsidR="001C2DF3" w:rsidRPr="00A11DD2" w:rsidRDefault="001C2DF3" w:rsidP="00A11DD2"/>
    <w:p w14:paraId="65DA4787" w14:textId="77777777" w:rsidR="004C4BF0" w:rsidRPr="004C4BF0" w:rsidRDefault="004C4BF0" w:rsidP="004C4BF0">
      <w:pPr>
        <w:rPr>
          <w:b/>
          <w:bCs/>
        </w:rPr>
      </w:pPr>
    </w:p>
    <w:p w14:paraId="0C832B23" w14:textId="1F1A92EB" w:rsidR="00681C0B" w:rsidRDefault="00681C0B" w:rsidP="0066260E">
      <w:pPr>
        <w:jc w:val="center"/>
      </w:pPr>
    </w:p>
    <w:p w14:paraId="5982F37F" w14:textId="0FC43CD6" w:rsidR="00681C0B" w:rsidRDefault="00681C0B" w:rsidP="0066260E">
      <w:pPr>
        <w:jc w:val="center"/>
      </w:pPr>
    </w:p>
    <w:p w14:paraId="765E8E38" w14:textId="2482E831" w:rsidR="00681C0B" w:rsidRDefault="00681C0B" w:rsidP="0066260E">
      <w:pPr>
        <w:jc w:val="center"/>
      </w:pPr>
    </w:p>
    <w:p w14:paraId="4D125E5E" w14:textId="54BB0953" w:rsidR="00681C0B" w:rsidRDefault="00681C0B" w:rsidP="0066260E">
      <w:pPr>
        <w:jc w:val="center"/>
      </w:pPr>
    </w:p>
    <w:p w14:paraId="26619271" w14:textId="083BB200" w:rsidR="00681C0B" w:rsidRDefault="00681C0B" w:rsidP="0066260E">
      <w:pPr>
        <w:jc w:val="center"/>
      </w:pPr>
    </w:p>
    <w:p w14:paraId="4C4DD2A1" w14:textId="2749AE8E" w:rsidR="00681C0B" w:rsidRDefault="00681C0B" w:rsidP="00A11DD2"/>
    <w:p w14:paraId="50BA47C4" w14:textId="155FFD4D" w:rsidR="0015474D" w:rsidRDefault="0015474D" w:rsidP="00A11DD2"/>
    <w:p w14:paraId="1E85374F" w14:textId="32C6FD3A" w:rsidR="0015474D" w:rsidRDefault="0015474D" w:rsidP="00A11DD2"/>
    <w:p w14:paraId="16ED5CD6" w14:textId="2B0F2B26" w:rsidR="002008A7" w:rsidRDefault="002008A7" w:rsidP="00A11DD2"/>
    <w:p w14:paraId="7FF72D7D" w14:textId="489908B3" w:rsidR="002008A7" w:rsidRDefault="002008A7" w:rsidP="00A11DD2"/>
    <w:p w14:paraId="31EF9145" w14:textId="4EA4E087" w:rsidR="002008A7" w:rsidRDefault="002008A7" w:rsidP="00A11DD2"/>
    <w:p w14:paraId="26467A6E" w14:textId="78D38A33" w:rsidR="002008A7" w:rsidRDefault="002008A7" w:rsidP="00A11DD2"/>
    <w:p w14:paraId="6669C83A" w14:textId="03334319" w:rsidR="002008A7" w:rsidRDefault="002008A7" w:rsidP="00A11DD2"/>
    <w:p w14:paraId="60A1CA61" w14:textId="39DDE334" w:rsidR="002008A7" w:rsidRDefault="002008A7" w:rsidP="00A11DD2"/>
    <w:p w14:paraId="106204F4" w14:textId="1B64CDEC" w:rsidR="002008A7" w:rsidRDefault="002008A7" w:rsidP="00A11DD2"/>
    <w:p w14:paraId="053CA2F1" w14:textId="0243A09E" w:rsidR="002008A7" w:rsidRDefault="002008A7" w:rsidP="00A11DD2"/>
    <w:p w14:paraId="15EF0666" w14:textId="7D2845D0" w:rsidR="0015474D" w:rsidRDefault="0015474D" w:rsidP="00A11DD2"/>
    <w:p w14:paraId="5FB41D99" w14:textId="77777777" w:rsidR="007754E2" w:rsidRPr="00387E03" w:rsidRDefault="007754E2" w:rsidP="007754E2">
      <w:pPr>
        <w:pStyle w:val="Articletitle"/>
        <w:jc w:val="center"/>
        <w:rPr>
          <w:szCs w:val="28"/>
        </w:rPr>
      </w:pPr>
      <w:r w:rsidRPr="00630F86">
        <w:rPr>
          <w:i/>
          <w:iCs/>
          <w:szCs w:val="28"/>
        </w:rPr>
        <w:lastRenderedPageBreak/>
        <w:t>Evolution</w:t>
      </w:r>
      <w:r>
        <w:rPr>
          <w:szCs w:val="28"/>
        </w:rPr>
        <w:t xml:space="preserve">: Police </w:t>
      </w:r>
      <w:r w:rsidRPr="00387E03">
        <w:rPr>
          <w:szCs w:val="28"/>
        </w:rPr>
        <w:t>Co</w:t>
      </w:r>
      <w:r>
        <w:rPr>
          <w:szCs w:val="28"/>
        </w:rPr>
        <w:t>o</w:t>
      </w:r>
      <w:r w:rsidRPr="00387E03">
        <w:rPr>
          <w:szCs w:val="28"/>
        </w:rPr>
        <w:t>peration</w:t>
      </w:r>
      <w:r>
        <w:rPr>
          <w:szCs w:val="28"/>
        </w:rPr>
        <w:t xml:space="preserve"> in the EU</w:t>
      </w:r>
    </w:p>
    <w:p w14:paraId="1BE05D3D" w14:textId="77777777" w:rsidR="007754E2" w:rsidRPr="00630F86" w:rsidRDefault="007754E2" w:rsidP="007754E2">
      <w:pPr>
        <w:jc w:val="center"/>
        <w:rPr>
          <w:b/>
          <w:bCs/>
          <w:sz w:val="28"/>
          <w:szCs w:val="28"/>
        </w:rPr>
      </w:pPr>
      <w:r>
        <w:rPr>
          <w:b/>
          <w:bCs/>
          <w:sz w:val="28"/>
          <w:szCs w:val="28"/>
        </w:rPr>
        <w:t xml:space="preserve">……. </w:t>
      </w:r>
      <w:r w:rsidRPr="00630F86">
        <w:rPr>
          <w:b/>
          <w:bCs/>
          <w:sz w:val="28"/>
          <w:szCs w:val="28"/>
        </w:rPr>
        <w:t>Positioning the UK:</w:t>
      </w:r>
      <w:r>
        <w:rPr>
          <w:b/>
          <w:bCs/>
          <w:i/>
          <w:iCs/>
          <w:sz w:val="28"/>
          <w:szCs w:val="28"/>
        </w:rPr>
        <w:t xml:space="preserve"> </w:t>
      </w:r>
      <w:r w:rsidRPr="00630F86">
        <w:rPr>
          <w:b/>
          <w:bCs/>
          <w:i/>
          <w:iCs/>
          <w:sz w:val="28"/>
          <w:szCs w:val="28"/>
        </w:rPr>
        <w:t>devolution</w:t>
      </w:r>
      <w:r>
        <w:rPr>
          <w:b/>
          <w:bCs/>
          <w:i/>
          <w:iCs/>
          <w:sz w:val="28"/>
          <w:szCs w:val="28"/>
        </w:rPr>
        <w:t>!</w:t>
      </w:r>
      <w:r w:rsidRPr="00630F86">
        <w:rPr>
          <w:b/>
          <w:bCs/>
          <w:sz w:val="28"/>
          <w:szCs w:val="28"/>
        </w:rPr>
        <w:t xml:space="preserve"> </w:t>
      </w:r>
    </w:p>
    <w:p w14:paraId="7FC81C2F" w14:textId="27FDE121" w:rsidR="00681C0B" w:rsidRDefault="00681C0B" w:rsidP="0066260E">
      <w:pPr>
        <w:jc w:val="center"/>
      </w:pPr>
    </w:p>
    <w:p w14:paraId="51B273B2" w14:textId="460D6328" w:rsidR="00681C0B" w:rsidRDefault="00681C0B" w:rsidP="0066260E">
      <w:pPr>
        <w:jc w:val="center"/>
      </w:pPr>
    </w:p>
    <w:p w14:paraId="09F2E016" w14:textId="61A487BF" w:rsidR="00681C0B" w:rsidRDefault="00681C0B" w:rsidP="00681C0B">
      <w:pPr>
        <w:jc w:val="center"/>
      </w:pPr>
      <w:r w:rsidRPr="00681C0B">
        <w:t xml:space="preserve">Keywords: </w:t>
      </w:r>
      <w:r w:rsidR="001726BC">
        <w:t xml:space="preserve">UK/EU – Brexit; police-cooperation; </w:t>
      </w:r>
      <w:r w:rsidR="00053A4F">
        <w:t>border; boundaries</w:t>
      </w:r>
      <w:r w:rsidR="001C2DF3">
        <w:t>; transport</w:t>
      </w:r>
    </w:p>
    <w:p w14:paraId="19554127" w14:textId="77777777" w:rsidR="002008A7" w:rsidRPr="00681C0B" w:rsidRDefault="002008A7" w:rsidP="00681C0B">
      <w:pPr>
        <w:jc w:val="center"/>
      </w:pPr>
    </w:p>
    <w:p w14:paraId="3CD05BF5" w14:textId="77777777" w:rsidR="00681C0B" w:rsidRDefault="00681C0B" w:rsidP="00681C0B">
      <w:pPr>
        <w:rPr>
          <w:b/>
          <w:bCs/>
        </w:rPr>
      </w:pPr>
    </w:p>
    <w:p w14:paraId="132F9745" w14:textId="7A9E682A" w:rsidR="002008A7" w:rsidRDefault="00681C0B" w:rsidP="002008A7">
      <w:pPr>
        <w:spacing w:line="360" w:lineRule="auto"/>
        <w:rPr>
          <w:b/>
          <w:bCs/>
        </w:rPr>
      </w:pPr>
      <w:r w:rsidRPr="00681C0B">
        <w:rPr>
          <w:b/>
          <w:bCs/>
        </w:rPr>
        <w:t>1. Introduction</w:t>
      </w:r>
    </w:p>
    <w:p w14:paraId="2A0F199B" w14:textId="77777777" w:rsidR="008C2059" w:rsidRPr="00681C0B" w:rsidRDefault="008C2059" w:rsidP="002008A7">
      <w:pPr>
        <w:spacing w:line="360" w:lineRule="auto"/>
        <w:rPr>
          <w:b/>
          <w:bCs/>
        </w:rPr>
      </w:pPr>
    </w:p>
    <w:p w14:paraId="5C02F5F6" w14:textId="77777777" w:rsidR="00681C0B" w:rsidRPr="00681C0B" w:rsidRDefault="00681C0B" w:rsidP="002008A7">
      <w:pPr>
        <w:spacing w:line="360" w:lineRule="auto"/>
      </w:pPr>
      <w:r w:rsidRPr="00681C0B">
        <w:t>‘Cooperation’ is, by its very nature, an interesting concept to rationalise and explain. According to the Cambridge Dictionary, it is defined as:</w:t>
      </w:r>
    </w:p>
    <w:p w14:paraId="78A2B967" w14:textId="20546201" w:rsidR="00393768" w:rsidRPr="00681C0B" w:rsidRDefault="00681C0B" w:rsidP="009E293A">
      <w:pPr>
        <w:ind w:left="720"/>
      </w:pPr>
      <w:r w:rsidRPr="00681C0B">
        <w:t>“</w:t>
      </w:r>
      <w:r w:rsidRPr="00681C0B">
        <w:rPr>
          <w:i/>
          <w:iCs/>
        </w:rPr>
        <w:t>the process of working with another (be it a company an organisation or country) in order to achieve something</w:t>
      </w:r>
      <w:proofErr w:type="gramStart"/>
      <w:r w:rsidRPr="00681C0B">
        <w:t>…..</w:t>
      </w:r>
      <w:proofErr w:type="gramEnd"/>
      <w:r w:rsidRPr="00681C0B">
        <w:t>”</w:t>
      </w:r>
      <w:r w:rsidR="00393768" w:rsidRPr="00681C0B">
        <w:rPr>
          <w:vertAlign w:val="superscript"/>
        </w:rPr>
        <w:footnoteReference w:id="1"/>
      </w:r>
      <w:r w:rsidR="00393768" w:rsidRPr="00681C0B">
        <w:t xml:space="preserve"> </w:t>
      </w:r>
    </w:p>
    <w:p w14:paraId="15AF98DC" w14:textId="77777777" w:rsidR="00393768" w:rsidRPr="00681C0B" w:rsidRDefault="00393768" w:rsidP="00681C0B"/>
    <w:p w14:paraId="0C87EDE4" w14:textId="2056ADC6" w:rsidR="00393768" w:rsidRPr="00681C0B" w:rsidRDefault="00393768" w:rsidP="002008A7">
      <w:pPr>
        <w:spacing w:line="360" w:lineRule="auto"/>
      </w:pPr>
      <w:r w:rsidRPr="00681C0B">
        <w:t>A simple statement, but one that masks the complexity of ‘cooperating with others,’ and none more so, than, arguabl</w:t>
      </w:r>
      <w:r>
        <w:t>y</w:t>
      </w:r>
      <w:r w:rsidRPr="00681C0B">
        <w:t>, in the context of policing. Ideally, perhaps, ‘</w:t>
      </w:r>
      <w:r w:rsidRPr="00681C0B">
        <w:rPr>
          <w:i/>
          <w:iCs/>
        </w:rPr>
        <w:t>cooperation</w:t>
      </w:r>
      <w:r w:rsidRPr="00681C0B">
        <w:t>’ as applied to policing, should be defined as:</w:t>
      </w:r>
    </w:p>
    <w:p w14:paraId="55BDFF9F" w14:textId="77777777" w:rsidR="00393768" w:rsidRPr="00681C0B" w:rsidRDefault="00393768" w:rsidP="00681C0B">
      <w:pPr>
        <w:ind w:left="720"/>
      </w:pPr>
      <w:r w:rsidRPr="00681C0B">
        <w:t>‘</w:t>
      </w:r>
      <w:r w:rsidRPr="00681C0B">
        <w:rPr>
          <w:i/>
          <w:iCs/>
        </w:rPr>
        <w:t>a joint/combined undertaking of bodies, with an agreed aim, to achieve something positive and meaningful that if of benefit to citizens, in order to ensure their welfare, by keeping the majority safe and secure</w:t>
      </w:r>
      <w:r w:rsidRPr="00681C0B">
        <w:t>.’</w:t>
      </w:r>
      <w:r w:rsidRPr="00681C0B">
        <w:rPr>
          <w:vertAlign w:val="superscript"/>
        </w:rPr>
        <w:footnoteReference w:id="2"/>
      </w:r>
    </w:p>
    <w:p w14:paraId="75044EA6" w14:textId="77777777" w:rsidR="00393768" w:rsidRPr="00681C0B" w:rsidRDefault="00393768" w:rsidP="00681C0B"/>
    <w:p w14:paraId="414A38FB" w14:textId="0F055E11" w:rsidR="00393768" w:rsidRPr="00681C0B" w:rsidRDefault="00393768" w:rsidP="002008A7">
      <w:pPr>
        <w:spacing w:line="360" w:lineRule="auto"/>
      </w:pPr>
      <w:r w:rsidRPr="00681C0B">
        <w:t>However, ‘</w:t>
      </w:r>
      <w:r w:rsidRPr="00681C0B">
        <w:rPr>
          <w:i/>
          <w:iCs/>
        </w:rPr>
        <w:t>reality and experience’</w:t>
      </w:r>
      <w:r w:rsidRPr="00681C0B">
        <w:t xml:space="preserve"> have shown us that this is in fact difficult to achieve and ultimately is a challenge, on many occasions, thwarted due to barriers, boundaries and other obstacles – as invariably, ‘cooperation’ involves the concept and ability to share and coordinate. Ultimately, this necessitates also a ‘</w:t>
      </w:r>
      <w:r w:rsidRPr="00681C0B">
        <w:rPr>
          <w:i/>
          <w:iCs/>
        </w:rPr>
        <w:t>willing(ness) to trust.</w:t>
      </w:r>
      <w:r w:rsidRPr="00E0103A">
        <w:rPr>
          <w:i/>
          <w:iCs/>
        </w:rPr>
        <w:t>’</w:t>
      </w:r>
      <w:r w:rsidRPr="00E0103A">
        <w:rPr>
          <w:vertAlign w:val="superscript"/>
        </w:rPr>
        <w:footnoteReference w:id="3"/>
      </w:r>
      <w:r w:rsidRPr="00681C0B">
        <w:t xml:space="preserve">  Even when this purely involves police and security agencies, when only within one vicinity or country, there is a history of reluctance and willingness to share and to cooperate and/or a mechanism in </w:t>
      </w:r>
      <w:r w:rsidRPr="00681C0B">
        <w:lastRenderedPageBreak/>
        <w:t>place to facilitate this collaboration.</w:t>
      </w:r>
      <w:r>
        <w:rPr>
          <w:rStyle w:val="FootnoteReference"/>
        </w:rPr>
        <w:footnoteReference w:id="4"/>
      </w:r>
      <w:r w:rsidRPr="00681C0B">
        <w:t xml:space="preserve"> A point recognised and explored by other scholars, in terms of trust and cooperation that extends beyond the public into the realms of police to police and country to country cooperation</w:t>
      </w:r>
      <w:r w:rsidRPr="001F7604">
        <w:t>.</w:t>
      </w:r>
      <w:r w:rsidRPr="001F7604">
        <w:rPr>
          <w:rStyle w:val="FootnoteReference"/>
        </w:rPr>
        <w:footnoteReference w:id="5"/>
      </w:r>
      <w:r w:rsidR="00621BDE">
        <w:t xml:space="preserve"> In essence, some of this ‘cooperation’ can take years to develop and negotiate.</w:t>
      </w:r>
    </w:p>
    <w:p w14:paraId="5778C6A1" w14:textId="77777777" w:rsidR="00393768" w:rsidRPr="00681C0B" w:rsidRDefault="00393768" w:rsidP="00681C0B"/>
    <w:p w14:paraId="4F68F956" w14:textId="0475C704" w:rsidR="00393768" w:rsidRPr="00681C0B" w:rsidRDefault="00393768" w:rsidP="00D337C2">
      <w:pPr>
        <w:spacing w:line="360" w:lineRule="auto"/>
      </w:pPr>
      <w:r w:rsidRPr="00681C0B">
        <w:t>One regional bloc that has clearly advanced the concept of cooperating across borders is the European Union (EU).</w:t>
      </w:r>
      <w:r>
        <w:rPr>
          <w:rStyle w:val="FootnoteReference"/>
        </w:rPr>
        <w:footnoteReference w:id="6"/>
      </w:r>
      <w:r w:rsidRPr="00681C0B">
        <w:t xml:space="preserve"> Up until 2020 – the UK was a Member of the EU.</w:t>
      </w:r>
      <w:r w:rsidRPr="00681C0B">
        <w:rPr>
          <w:vertAlign w:val="superscript"/>
        </w:rPr>
        <w:footnoteReference w:id="7"/>
      </w:r>
      <w:r w:rsidRPr="00681C0B">
        <w:t xml:space="preserve"> </w:t>
      </w:r>
      <w:r>
        <w:t xml:space="preserve">Currently the UK is </w:t>
      </w:r>
      <w:r w:rsidR="00D024C3">
        <w:t>still considering</w:t>
      </w:r>
      <w:r>
        <w:t xml:space="preserve"> this ‘</w:t>
      </w:r>
      <w:r w:rsidRPr="00393768">
        <w:rPr>
          <w:i/>
          <w:iCs/>
        </w:rPr>
        <w:t>new dynamic</w:t>
      </w:r>
      <w:r>
        <w:t>’ – in what could be viewed as a</w:t>
      </w:r>
      <w:r w:rsidRPr="00681C0B">
        <w:t xml:space="preserve"> critical period</w:t>
      </w:r>
      <w:r>
        <w:t>,</w:t>
      </w:r>
      <w:r w:rsidRPr="00681C0B">
        <w:t xml:space="preserve"> in terms of </w:t>
      </w:r>
      <w:r w:rsidR="00D024C3">
        <w:t xml:space="preserve">current negotiations as to </w:t>
      </w:r>
      <w:r w:rsidRPr="00681C0B">
        <w:t>how the UK police and other security and Law Enforcement Agencies (LEA’s) will interact (cooperate) with its European neighbours and their law enforcement bodies</w:t>
      </w:r>
      <w:r>
        <w:t xml:space="preserve"> moving forward</w:t>
      </w:r>
      <w:r w:rsidRPr="00681C0B">
        <w:t>. Ultimately, it remains in all citizens’ interests to do so –</w:t>
      </w:r>
      <w:r>
        <w:t xml:space="preserve"> </w:t>
      </w:r>
      <w:r w:rsidRPr="00681C0B">
        <w:t xml:space="preserve">on both sides of the </w:t>
      </w:r>
      <w:r>
        <w:t>(</w:t>
      </w:r>
      <w:r w:rsidRPr="00681C0B">
        <w:t>English</w:t>
      </w:r>
      <w:r>
        <w:t>)</w:t>
      </w:r>
      <w:r w:rsidRPr="00681C0B">
        <w:t xml:space="preserve"> Channel</w:t>
      </w:r>
      <w:r>
        <w:t xml:space="preserve"> divide.</w:t>
      </w:r>
      <w:r w:rsidR="00724802">
        <w:rPr>
          <w:rStyle w:val="FootnoteReference"/>
        </w:rPr>
        <w:footnoteReference w:id="8"/>
      </w:r>
      <w:r>
        <w:t xml:space="preserve"> I</w:t>
      </w:r>
      <w:r w:rsidRPr="00681C0B">
        <w:t>nvariably</w:t>
      </w:r>
      <w:r w:rsidR="007105CF">
        <w:t>,</w:t>
      </w:r>
      <w:r w:rsidRPr="00681C0B">
        <w:t xml:space="preserve"> increasing safety and security to citizens, regardless of their nationality</w:t>
      </w:r>
      <w:r w:rsidR="00724802">
        <w:t>,</w:t>
      </w:r>
      <w:r>
        <w:t xml:space="preserve"> should remain the first priority.</w:t>
      </w:r>
    </w:p>
    <w:p w14:paraId="093232D6" w14:textId="77777777" w:rsidR="00393768" w:rsidRPr="00681C0B" w:rsidRDefault="00393768" w:rsidP="00D337C2">
      <w:pPr>
        <w:spacing w:line="360" w:lineRule="auto"/>
      </w:pPr>
    </w:p>
    <w:p w14:paraId="01DAD6A6" w14:textId="569B5C76" w:rsidR="00393768" w:rsidRDefault="00393768" w:rsidP="00D337C2">
      <w:pPr>
        <w:spacing w:line="360" w:lineRule="auto"/>
      </w:pPr>
      <w:r w:rsidRPr="00681C0B">
        <w:t xml:space="preserve">The scope of this paper is to </w:t>
      </w:r>
      <w:r>
        <w:t xml:space="preserve">primarily </w:t>
      </w:r>
      <w:r w:rsidRPr="00681C0B">
        <w:t xml:space="preserve">explore </w:t>
      </w:r>
      <w:r>
        <w:t xml:space="preserve">the evolution of cooperation within the EU, before latterly (and in conclusion) reflecting upon </w:t>
      </w:r>
      <w:r w:rsidRPr="00681C0B">
        <w:t xml:space="preserve">the consequences to police relations (UK – </w:t>
      </w:r>
      <w:r w:rsidRPr="001F7604">
        <w:t>with the EU</w:t>
      </w:r>
      <w:r w:rsidRPr="001F7604">
        <w:rPr>
          <w:vertAlign w:val="superscript"/>
        </w:rPr>
        <w:footnoteReference w:id="9"/>
      </w:r>
      <w:r w:rsidRPr="001F7604">
        <w:t xml:space="preserve">) and the possible security/safety implications </w:t>
      </w:r>
      <w:r w:rsidR="003354BD" w:rsidRPr="001F7604">
        <w:t>–</w:t>
      </w:r>
      <w:r w:rsidRPr="001F7604">
        <w:t xml:space="preserve"> </w:t>
      </w:r>
      <w:r w:rsidR="003354BD" w:rsidRPr="001F7604">
        <w:t>in the post-</w:t>
      </w:r>
      <w:r w:rsidRPr="001F7604">
        <w:t>Brexit</w:t>
      </w:r>
      <w:r w:rsidR="003354BD" w:rsidRPr="001F7604">
        <w:t xml:space="preserve"> environment</w:t>
      </w:r>
      <w:r w:rsidRPr="001F7604">
        <w:t xml:space="preserve">. The emphasis is therefore on analysing and exploring the current position in the EU in terms of cooperating from a policing/security perspective; and later providing comment as to the </w:t>
      </w:r>
      <w:r w:rsidR="007105CF" w:rsidRPr="001F7604">
        <w:t>changing landscape</w:t>
      </w:r>
      <w:r w:rsidRPr="001F7604">
        <w:t xml:space="preserve"> (in the new non-EU climate) for the UK.</w:t>
      </w:r>
    </w:p>
    <w:p w14:paraId="3B8FCA87" w14:textId="77777777" w:rsidR="00393768" w:rsidRDefault="00393768" w:rsidP="00D337C2">
      <w:pPr>
        <w:spacing w:line="360" w:lineRule="auto"/>
      </w:pPr>
    </w:p>
    <w:p w14:paraId="65D4E001" w14:textId="7C22AFFC" w:rsidR="00393768" w:rsidRPr="00681C0B" w:rsidRDefault="00393768" w:rsidP="00D337C2">
      <w:pPr>
        <w:spacing w:line="360" w:lineRule="auto"/>
      </w:pPr>
      <w:r>
        <w:lastRenderedPageBreak/>
        <w:t xml:space="preserve">The theme of transport, travel and mobility is threaded throughout this paper – as this is viewed by the researcher as a key factor </w:t>
      </w:r>
      <w:r w:rsidR="007105CF">
        <w:t xml:space="preserve">associated with movement and policing over borders and jurisdictions. </w:t>
      </w:r>
    </w:p>
    <w:p w14:paraId="32A28345" w14:textId="77777777" w:rsidR="00393768" w:rsidRPr="00681C0B" w:rsidRDefault="00393768" w:rsidP="00681C0B">
      <w:pPr>
        <w:jc w:val="center"/>
        <w:rPr>
          <w:b/>
          <w:bCs/>
          <w:i/>
          <w:iCs/>
          <w:u w:val="single"/>
        </w:rPr>
      </w:pPr>
    </w:p>
    <w:p w14:paraId="1F92C00A" w14:textId="1E96A8F8" w:rsidR="00393768" w:rsidRPr="003354BD" w:rsidRDefault="003354BD" w:rsidP="009027FF">
      <w:pPr>
        <w:pStyle w:val="ListParagraph"/>
        <w:numPr>
          <w:ilvl w:val="1"/>
          <w:numId w:val="27"/>
        </w:numPr>
        <w:spacing w:line="360" w:lineRule="auto"/>
        <w:rPr>
          <w:b/>
          <w:bCs/>
          <w:i/>
          <w:iCs/>
        </w:rPr>
      </w:pPr>
      <w:r>
        <w:rPr>
          <w:b/>
          <w:bCs/>
          <w:i/>
          <w:iCs/>
        </w:rPr>
        <w:t xml:space="preserve"> </w:t>
      </w:r>
      <w:r w:rsidRPr="003354BD">
        <w:rPr>
          <w:b/>
          <w:bCs/>
          <w:i/>
          <w:iCs/>
        </w:rPr>
        <w:t>The driving force behind this paper</w:t>
      </w:r>
      <w:r w:rsidR="005804DC">
        <w:rPr>
          <w:b/>
          <w:bCs/>
          <w:i/>
          <w:iCs/>
        </w:rPr>
        <w:t xml:space="preserve"> – setting the scene</w:t>
      </w:r>
    </w:p>
    <w:p w14:paraId="5BDE0E88" w14:textId="2455E6F4" w:rsidR="00393768" w:rsidRPr="00681C0B" w:rsidRDefault="00393768" w:rsidP="00D337C2">
      <w:pPr>
        <w:spacing w:line="360" w:lineRule="auto"/>
      </w:pPr>
      <w:r w:rsidRPr="00681C0B">
        <w:t xml:space="preserve">In 2016, following a referendum, the UK decided to leave the EU. </w:t>
      </w:r>
      <w:r w:rsidR="00621BDE">
        <w:t>T</w:t>
      </w:r>
      <w:r w:rsidRPr="00681C0B">
        <w:t xml:space="preserve">he biggest irony being the day after the referendum, when the results were made know – the most ‘Googled’ search was – </w:t>
      </w:r>
      <w:r w:rsidRPr="00681C0B">
        <w:rPr>
          <w:i/>
          <w:iCs/>
        </w:rPr>
        <w:t>what is the EU?</w:t>
      </w:r>
      <w:r w:rsidRPr="00681C0B">
        <w:t xml:space="preserve"> If you do not know what the EU is</w:t>
      </w:r>
      <w:r>
        <w:t>,</w:t>
      </w:r>
      <w:r w:rsidRPr="00681C0B">
        <w:t xml:space="preserve"> how can you know the successes </w:t>
      </w:r>
      <w:r>
        <w:t xml:space="preserve">- </w:t>
      </w:r>
      <w:r w:rsidRPr="00681C0B">
        <w:t>due to cooperation and agreements</w:t>
      </w:r>
      <w:r>
        <w:t xml:space="preserve"> – such as in the field of policing and security</w:t>
      </w:r>
      <w:r w:rsidRPr="00681C0B">
        <w:t>.</w:t>
      </w:r>
      <w:r w:rsidR="00A878A0">
        <w:rPr>
          <w:rStyle w:val="FootnoteReference"/>
        </w:rPr>
        <w:footnoteReference w:id="10"/>
      </w:r>
      <w:r w:rsidR="00D024C3">
        <w:t xml:space="preserve"> </w:t>
      </w:r>
    </w:p>
    <w:p w14:paraId="70E05B82" w14:textId="77777777" w:rsidR="00393768" w:rsidRPr="00617501" w:rsidRDefault="00393768" w:rsidP="00681C0B">
      <w:pPr>
        <w:rPr>
          <w:color w:val="000000" w:themeColor="text1"/>
        </w:rPr>
      </w:pPr>
    </w:p>
    <w:p w14:paraId="3A15A1B0" w14:textId="1A4496DD" w:rsidR="00E9234B" w:rsidRDefault="00393768" w:rsidP="00D337C2">
      <w:pPr>
        <w:spacing w:line="360" w:lineRule="auto"/>
      </w:pPr>
      <w:proofErr w:type="gramStart"/>
      <w:r w:rsidRPr="00617501">
        <w:rPr>
          <w:color w:val="000000" w:themeColor="text1"/>
        </w:rPr>
        <w:t>June</w:t>
      </w:r>
      <w:r w:rsidR="0003191A" w:rsidRPr="00617501">
        <w:rPr>
          <w:color w:val="000000" w:themeColor="text1"/>
        </w:rPr>
        <w:t>,</w:t>
      </w:r>
      <w:proofErr w:type="gramEnd"/>
      <w:r w:rsidR="0003191A" w:rsidRPr="00617501">
        <w:rPr>
          <w:color w:val="000000" w:themeColor="text1"/>
        </w:rPr>
        <w:t xml:space="preserve"> 26</w:t>
      </w:r>
      <w:r w:rsidRPr="00617501">
        <w:rPr>
          <w:color w:val="000000" w:themeColor="text1"/>
        </w:rPr>
        <w:t xml:space="preserve"> (2016) </w:t>
      </w:r>
      <w:r w:rsidRPr="00617501">
        <w:rPr>
          <w:i/>
          <w:iCs/>
          <w:color w:val="000000" w:themeColor="text1"/>
        </w:rPr>
        <w:t>referendum day</w:t>
      </w:r>
      <w:r w:rsidR="00DB6E11" w:rsidRPr="00617501">
        <w:rPr>
          <w:rStyle w:val="FootnoteReference"/>
          <w:color w:val="000000" w:themeColor="text1"/>
        </w:rPr>
        <w:footnoteReference w:id="11"/>
      </w:r>
      <w:r w:rsidRPr="00617501">
        <w:rPr>
          <w:color w:val="000000" w:themeColor="text1"/>
        </w:rPr>
        <w:t xml:space="preserve"> </w:t>
      </w:r>
      <w:r w:rsidRPr="00681C0B">
        <w:t xml:space="preserve">- is a day that is forever etched on </w:t>
      </w:r>
      <w:r w:rsidR="004825DC">
        <w:t>many people’s minds</w:t>
      </w:r>
      <w:r w:rsidRPr="00681C0B">
        <w:t xml:space="preserve"> –</w:t>
      </w:r>
      <w:r w:rsidR="004825DC">
        <w:t xml:space="preserve"> (for me)</w:t>
      </w:r>
      <w:r w:rsidRPr="00681C0B">
        <w:t xml:space="preserve"> </w:t>
      </w:r>
      <w:r w:rsidRPr="00681C0B">
        <w:rPr>
          <w:i/>
          <w:iCs/>
        </w:rPr>
        <w:t>like Lockerbie,</w:t>
      </w:r>
      <w:r w:rsidRPr="00681C0B">
        <w:rPr>
          <w:vertAlign w:val="superscript"/>
        </w:rPr>
        <w:footnoteReference w:id="12"/>
      </w:r>
      <w:r w:rsidRPr="00681C0B">
        <w:rPr>
          <w:i/>
          <w:iCs/>
        </w:rPr>
        <w:t xml:space="preserve"> 9/11</w:t>
      </w:r>
      <w:r w:rsidR="00226BDD">
        <w:rPr>
          <w:i/>
          <w:iCs/>
        </w:rPr>
        <w:t>,</w:t>
      </w:r>
      <w:r w:rsidRPr="00681C0B">
        <w:rPr>
          <w:vertAlign w:val="superscript"/>
        </w:rPr>
        <w:footnoteReference w:id="13"/>
      </w:r>
      <w:r w:rsidRPr="00681C0B">
        <w:rPr>
          <w:i/>
          <w:iCs/>
        </w:rPr>
        <w:t xml:space="preserve"> the terrorist bombing attacks in Madrid (11-M</w:t>
      </w:r>
      <w:r w:rsidRPr="00681C0B">
        <w:rPr>
          <w:vertAlign w:val="superscript"/>
        </w:rPr>
        <w:footnoteReference w:id="14"/>
      </w:r>
      <w:r w:rsidRPr="00681C0B">
        <w:rPr>
          <w:i/>
          <w:iCs/>
        </w:rPr>
        <w:t>) and London (7/7</w:t>
      </w:r>
      <w:r w:rsidR="00635F4D">
        <w:rPr>
          <w:i/>
          <w:iCs/>
        </w:rPr>
        <w:t xml:space="preserve"> &amp; 21/7</w:t>
      </w:r>
      <w:r w:rsidRPr="00681C0B">
        <w:rPr>
          <w:vertAlign w:val="superscript"/>
        </w:rPr>
        <w:footnoteReference w:id="15"/>
      </w:r>
      <w:r w:rsidRPr="00681C0B">
        <w:rPr>
          <w:i/>
          <w:iCs/>
        </w:rPr>
        <w:t>)</w:t>
      </w:r>
      <w:r w:rsidR="00226BDD">
        <w:t xml:space="preserve">. </w:t>
      </w:r>
      <w:r w:rsidR="00DB6E11">
        <w:t xml:space="preserve">Key to </w:t>
      </w:r>
      <w:r w:rsidR="005C6DD0">
        <w:t xml:space="preserve">the investigations, of all of </w:t>
      </w:r>
      <w:r w:rsidR="00DB6E11">
        <w:t>these attacks</w:t>
      </w:r>
      <w:r w:rsidR="005C6DD0">
        <w:t>,</w:t>
      </w:r>
      <w:r w:rsidR="00DB6E11">
        <w:t xml:space="preserve"> was the need for the police to </w:t>
      </w:r>
      <w:r w:rsidR="005C6DD0">
        <w:t>coordinate and liaise</w:t>
      </w:r>
      <w:r w:rsidR="00DB6E11">
        <w:t xml:space="preserve"> – many </w:t>
      </w:r>
      <w:r w:rsidR="005C6DD0">
        <w:t xml:space="preserve">of these </w:t>
      </w:r>
      <w:r w:rsidR="00E61912">
        <w:t>atrocities</w:t>
      </w:r>
      <w:r w:rsidR="005C6DD0">
        <w:t xml:space="preserve"> </w:t>
      </w:r>
      <w:r w:rsidR="00DB6E11">
        <w:t xml:space="preserve">having cross border implications </w:t>
      </w:r>
      <w:r w:rsidR="005C6DD0">
        <w:t>but all</w:t>
      </w:r>
      <w:r w:rsidR="00DB6E11">
        <w:t xml:space="preserve"> requiring the sharing of information and</w:t>
      </w:r>
      <w:r w:rsidR="00617501">
        <w:t>,</w:t>
      </w:r>
      <w:r w:rsidR="00DB6E11">
        <w:t xml:space="preserve"> </w:t>
      </w:r>
      <w:r w:rsidR="00617501">
        <w:t xml:space="preserve">hence, </w:t>
      </w:r>
      <w:r w:rsidR="00DB6E11">
        <w:t xml:space="preserve">police </w:t>
      </w:r>
      <w:r w:rsidR="00AC340C">
        <w:t xml:space="preserve">(LEA) </w:t>
      </w:r>
      <w:r w:rsidR="00DB6E11">
        <w:t xml:space="preserve">cooperation. </w:t>
      </w:r>
    </w:p>
    <w:p w14:paraId="7B90AF48" w14:textId="77777777" w:rsidR="00E9234B" w:rsidRDefault="00E9234B" w:rsidP="00D337C2">
      <w:pPr>
        <w:spacing w:line="360" w:lineRule="auto"/>
      </w:pPr>
    </w:p>
    <w:p w14:paraId="2630705B" w14:textId="29BDD3F5" w:rsidR="00F153F6" w:rsidRDefault="001B0A82" w:rsidP="00F153F6">
      <w:pPr>
        <w:spacing w:line="360" w:lineRule="auto"/>
      </w:pPr>
      <w:r>
        <w:t>While the</w:t>
      </w:r>
      <w:r w:rsidR="00393768">
        <w:t xml:space="preserve"> research reflects upon the implications of th</w:t>
      </w:r>
      <w:r w:rsidR="00E9234B">
        <w:t>e UK’s</w:t>
      </w:r>
      <w:r w:rsidR="00393768">
        <w:t xml:space="preserve"> decision</w:t>
      </w:r>
      <w:r w:rsidR="00E9234B">
        <w:t xml:space="preserve"> to leave the EU</w:t>
      </w:r>
      <w:r w:rsidR="00393768">
        <w:t xml:space="preserve"> – from a policing, </w:t>
      </w:r>
      <w:r w:rsidR="00226BDD">
        <w:t>law enforcement and legal/policy perspective</w:t>
      </w:r>
      <w:r w:rsidR="00DF2E19">
        <w:t>,</w:t>
      </w:r>
      <w:r w:rsidR="00E9234B">
        <w:t xml:space="preserve"> </w:t>
      </w:r>
      <w:r>
        <w:t xml:space="preserve">it also aims to </w:t>
      </w:r>
      <w:r w:rsidR="002218D7">
        <w:t>highlight the</w:t>
      </w:r>
      <w:r w:rsidR="00E9234B">
        <w:t xml:space="preserve"> </w:t>
      </w:r>
      <w:r w:rsidR="0037667A">
        <w:t>invariabl</w:t>
      </w:r>
      <w:r w:rsidR="00DF2E19">
        <w:t>e</w:t>
      </w:r>
      <w:r w:rsidR="0037667A">
        <w:t xml:space="preserve"> </w:t>
      </w:r>
      <w:r w:rsidR="00E9234B">
        <w:t xml:space="preserve">overlaps into the </w:t>
      </w:r>
      <w:r w:rsidR="00570FC6">
        <w:t xml:space="preserve">adjacent areas of </w:t>
      </w:r>
      <w:r w:rsidR="00E9234B">
        <w:t>movement</w:t>
      </w:r>
      <w:r w:rsidR="00570FC6">
        <w:t xml:space="preserve"> and transportation</w:t>
      </w:r>
      <w:r w:rsidR="00DF2E19">
        <w:t xml:space="preserve"> (as per </w:t>
      </w:r>
      <w:r w:rsidR="008278EF">
        <w:t>Figure</w:t>
      </w:r>
      <w:r w:rsidR="00DF2E19">
        <w:t xml:space="preserve"> 1)</w:t>
      </w:r>
      <w:r w:rsidR="00570FC6">
        <w:t>.</w:t>
      </w:r>
      <w:r w:rsidR="004825DC">
        <w:rPr>
          <w:rStyle w:val="FootnoteReference"/>
        </w:rPr>
        <w:footnoteReference w:id="16"/>
      </w:r>
      <w:r w:rsidR="004825DC">
        <w:t xml:space="preserve"> </w:t>
      </w:r>
      <w:r w:rsidR="00F153F6">
        <w:t xml:space="preserve">The obvious factor being that criminals, including terrorists, use transport to move </w:t>
      </w:r>
      <w:r w:rsidR="00F153F6">
        <w:lastRenderedPageBreak/>
        <w:t>around</w:t>
      </w:r>
      <w:r w:rsidR="00DC6D55">
        <w:t xml:space="preserve"> – to facilitate criminal activity, </w:t>
      </w:r>
      <w:r w:rsidR="00F153F6">
        <w:t>or</w:t>
      </w:r>
      <w:r w:rsidR="00DC6D55">
        <w:t>,</w:t>
      </w:r>
      <w:r w:rsidR="00F153F6">
        <w:t xml:space="preserve"> to </w:t>
      </w:r>
      <w:r w:rsidR="00DC6D55">
        <w:t xml:space="preserve">even </w:t>
      </w:r>
      <w:r w:rsidR="00F153F6">
        <w:t>directly target</w:t>
      </w:r>
      <w:r w:rsidR="00DC6D55">
        <w:t xml:space="preserve"> and attack. In fact,</w:t>
      </w:r>
      <w:r w:rsidR="00F153F6">
        <w:t xml:space="preserve"> rarely </w:t>
      </w:r>
      <w:r w:rsidR="00D9247A">
        <w:t xml:space="preserve">do criminals </w:t>
      </w:r>
      <w:r w:rsidR="00F153F6">
        <w:t xml:space="preserve">commit crimes without first utilising a transport mode.  This also includes the use </w:t>
      </w:r>
      <w:r w:rsidR="00C56FF6">
        <w:t xml:space="preserve">of mobile phones and </w:t>
      </w:r>
      <w:r w:rsidR="00F153F6">
        <w:t xml:space="preserve">the internet – to transmit, </w:t>
      </w:r>
      <w:r w:rsidR="003C7774">
        <w:t>‘</w:t>
      </w:r>
      <w:r w:rsidR="00F153F6" w:rsidRPr="003C7774">
        <w:rPr>
          <w:i/>
          <w:iCs/>
        </w:rPr>
        <w:t>transport</w:t>
      </w:r>
      <w:r w:rsidR="003C7774">
        <w:t>’</w:t>
      </w:r>
      <w:r w:rsidR="00F153F6">
        <w:t xml:space="preserve"> and share information, data and plans from person</w:t>
      </w:r>
      <w:r w:rsidR="00BD3A94">
        <w:t xml:space="preserve"> </w:t>
      </w:r>
      <w:r w:rsidR="00F153F6">
        <w:t xml:space="preserve">to person; so, whilst the physical movement may not occur, there is the </w:t>
      </w:r>
      <w:r w:rsidR="00E61912">
        <w:t>sending (</w:t>
      </w:r>
      <w:r w:rsidR="00F153F6">
        <w:t>movement</w:t>
      </w:r>
      <w:r w:rsidR="00E61912">
        <w:t>)</w:t>
      </w:r>
      <w:r w:rsidR="00F153F6">
        <w:t xml:space="preserve"> of essential plans related to the offences to be (or have been) committed.</w:t>
      </w:r>
    </w:p>
    <w:p w14:paraId="77438BDA" w14:textId="77777777" w:rsidR="00C46C03" w:rsidRDefault="00C46C03" w:rsidP="00F153F6">
      <w:pPr>
        <w:spacing w:line="360" w:lineRule="auto"/>
      </w:pPr>
    </w:p>
    <w:p w14:paraId="14935117" w14:textId="0E38E7D7" w:rsidR="00DF2E19" w:rsidRDefault="00ED5849" w:rsidP="00ED5849">
      <w:pPr>
        <w:spacing w:line="360" w:lineRule="auto"/>
        <w:jc w:val="center"/>
      </w:pPr>
      <w:r w:rsidRPr="00DF2E19">
        <w:rPr>
          <w:noProof/>
        </w:rPr>
        <w:drawing>
          <wp:inline distT="0" distB="0" distL="0" distR="0" wp14:anchorId="6F702FC0" wp14:editId="3DE4D129">
            <wp:extent cx="2105526" cy="1828800"/>
            <wp:effectExtent l="0" t="0" r="3175"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9"/>
                    <a:stretch>
                      <a:fillRect/>
                    </a:stretch>
                  </pic:blipFill>
                  <pic:spPr>
                    <a:xfrm>
                      <a:off x="0" y="0"/>
                      <a:ext cx="2115780" cy="1837707"/>
                    </a:xfrm>
                    <a:prstGeom prst="rect">
                      <a:avLst/>
                    </a:prstGeom>
                  </pic:spPr>
                </pic:pic>
              </a:graphicData>
            </a:graphic>
          </wp:inline>
        </w:drawing>
      </w:r>
    </w:p>
    <w:p w14:paraId="4876DDE6" w14:textId="67EAA763" w:rsidR="00F153F6" w:rsidRPr="00DF2E19" w:rsidRDefault="008278EF" w:rsidP="001B0A82">
      <w:pPr>
        <w:spacing w:line="360" w:lineRule="auto"/>
        <w:jc w:val="center"/>
        <w:rPr>
          <w:sz w:val="21"/>
          <w:szCs w:val="21"/>
        </w:rPr>
      </w:pPr>
      <w:r>
        <w:rPr>
          <w:sz w:val="21"/>
          <w:szCs w:val="21"/>
        </w:rPr>
        <w:t>Figure</w:t>
      </w:r>
      <w:r w:rsidR="001B0A82" w:rsidRPr="00DF2E19">
        <w:rPr>
          <w:sz w:val="21"/>
          <w:szCs w:val="21"/>
        </w:rPr>
        <w:t xml:space="preserve">1: </w:t>
      </w:r>
      <w:r w:rsidR="00DF2E19" w:rsidRPr="00DF2E19">
        <w:rPr>
          <w:sz w:val="21"/>
          <w:szCs w:val="21"/>
        </w:rPr>
        <w:t>Security (safety)</w:t>
      </w:r>
      <w:r w:rsidR="001B0A82" w:rsidRPr="00DF2E19">
        <w:rPr>
          <w:sz w:val="21"/>
          <w:szCs w:val="21"/>
        </w:rPr>
        <w:t xml:space="preserve"> synergy and overlap </w:t>
      </w:r>
    </w:p>
    <w:p w14:paraId="290D9D94" w14:textId="77777777" w:rsidR="001B0A82" w:rsidRDefault="001B0A82" w:rsidP="001B0A82">
      <w:pPr>
        <w:spacing w:line="360" w:lineRule="auto"/>
        <w:jc w:val="center"/>
      </w:pPr>
    </w:p>
    <w:p w14:paraId="7458142C" w14:textId="5563C0FA" w:rsidR="00C56FF6" w:rsidRDefault="00ED5849" w:rsidP="004825DC">
      <w:pPr>
        <w:spacing w:line="360" w:lineRule="auto"/>
      </w:pPr>
      <w:r>
        <w:t>There is little doubting that policing will be challenged in the future by new</w:t>
      </w:r>
      <w:r w:rsidR="00E61912">
        <w:t xml:space="preserve"> and evolving</w:t>
      </w:r>
      <w:r>
        <w:t xml:space="preserve"> technologies</w:t>
      </w:r>
      <w:r w:rsidR="00DC6D55">
        <w:rPr>
          <w:rStyle w:val="FootnoteReference"/>
        </w:rPr>
        <w:footnoteReference w:id="17"/>
      </w:r>
      <w:r w:rsidR="00DC6D55">
        <w:t xml:space="preserve"> and even new locations and horizons</w:t>
      </w:r>
      <w:r w:rsidR="00047C89">
        <w:t>,</w:t>
      </w:r>
      <w:r w:rsidR="00DC6D55">
        <w:t xml:space="preserve"> such as space and space travel.</w:t>
      </w:r>
      <w:r w:rsidR="00DC6D55">
        <w:rPr>
          <w:rStyle w:val="FootnoteReference"/>
        </w:rPr>
        <w:footnoteReference w:id="18"/>
      </w:r>
    </w:p>
    <w:p w14:paraId="0B1C82E0" w14:textId="5CC87B48" w:rsidR="00F153F6" w:rsidRDefault="007A057B" w:rsidP="004825DC">
      <w:pPr>
        <w:spacing w:line="360" w:lineRule="auto"/>
      </w:pPr>
      <w:r>
        <w:lastRenderedPageBreak/>
        <w:t xml:space="preserve">This will require </w:t>
      </w:r>
      <w:r w:rsidR="00E61912">
        <w:t>a</w:t>
      </w:r>
      <w:r>
        <w:t xml:space="preserve"> concerted effort </w:t>
      </w:r>
      <w:r w:rsidR="00E61912">
        <w:t xml:space="preserve">in order to determine </w:t>
      </w:r>
      <w:r w:rsidR="00E61912" w:rsidRPr="00E61912">
        <w:t xml:space="preserve">how </w:t>
      </w:r>
      <w:r w:rsidR="004D25A2">
        <w:t>society</w:t>
      </w:r>
      <w:r w:rsidR="00E61912" w:rsidRPr="00E61912">
        <w:t xml:space="preserve"> </w:t>
      </w:r>
      <w:r w:rsidR="00CF2EFA">
        <w:t xml:space="preserve">is best placed to </w:t>
      </w:r>
      <w:r w:rsidR="00E61912" w:rsidRPr="00E61912">
        <w:t>‘</w:t>
      </w:r>
      <w:r w:rsidR="00E61912" w:rsidRPr="00E61912">
        <w:rPr>
          <w:i/>
          <w:iCs/>
        </w:rPr>
        <w:t>polic</w:t>
      </w:r>
      <w:r w:rsidR="00CF2EFA">
        <w:rPr>
          <w:i/>
          <w:iCs/>
        </w:rPr>
        <w:t>e</w:t>
      </w:r>
      <w:r w:rsidR="00E61912" w:rsidRPr="00E61912">
        <w:t>’ these (identified and potential) risks</w:t>
      </w:r>
      <w:r w:rsidR="00E61912">
        <w:t>. In other words,</w:t>
      </w:r>
      <w:r w:rsidR="00E61912" w:rsidRPr="00E61912">
        <w:t xml:space="preserve"> how </w:t>
      </w:r>
      <w:r w:rsidR="006C6354">
        <w:t>‘</w:t>
      </w:r>
      <w:r w:rsidR="00E61912" w:rsidRPr="00E61912">
        <w:t>we</w:t>
      </w:r>
      <w:r w:rsidR="006C6354">
        <w:t>’</w:t>
      </w:r>
      <w:r w:rsidR="00E61912" w:rsidRPr="00E61912">
        <w:t xml:space="preserve"> work collaboratively and share – ‘</w:t>
      </w:r>
      <w:r w:rsidR="00E61912" w:rsidRPr="00E61912">
        <w:rPr>
          <w:i/>
          <w:iCs/>
        </w:rPr>
        <w:t>cooperate</w:t>
      </w:r>
      <w:r w:rsidR="00E61912" w:rsidRPr="00E61912">
        <w:t>’ across borders and jurisdictions</w:t>
      </w:r>
      <w:r w:rsidR="00E61912">
        <w:t>.</w:t>
      </w:r>
      <w:r w:rsidR="0097622F">
        <w:t xml:space="preserve"> </w:t>
      </w:r>
      <w:r w:rsidR="00CF2EFA">
        <w:t xml:space="preserve">Fundamental to this is the need to build upon </w:t>
      </w:r>
      <w:r w:rsidR="00F54537">
        <w:t>past and current</w:t>
      </w:r>
      <w:r w:rsidR="00CF2EFA">
        <w:t xml:space="preserve"> successes </w:t>
      </w:r>
      <w:r w:rsidR="00F54537">
        <w:t>and not to create barriers that invariably could compromise safety and security.</w:t>
      </w:r>
    </w:p>
    <w:p w14:paraId="3B20268E" w14:textId="77777777" w:rsidR="00C46C03" w:rsidRDefault="00C46C03" w:rsidP="004825DC">
      <w:pPr>
        <w:spacing w:line="360" w:lineRule="auto"/>
      </w:pPr>
    </w:p>
    <w:p w14:paraId="69CF7ABC" w14:textId="708D61D3" w:rsidR="00393768" w:rsidRPr="003354BD" w:rsidRDefault="00CF2EFA" w:rsidP="001510AF">
      <w:pPr>
        <w:pStyle w:val="ListParagraph"/>
        <w:numPr>
          <w:ilvl w:val="1"/>
          <w:numId w:val="27"/>
        </w:numPr>
        <w:spacing w:line="360" w:lineRule="auto"/>
        <w:rPr>
          <w:b/>
          <w:bCs/>
          <w:i/>
          <w:iCs/>
        </w:rPr>
      </w:pPr>
      <w:r>
        <w:rPr>
          <w:b/>
          <w:bCs/>
          <w:i/>
          <w:iCs/>
        </w:rPr>
        <w:t xml:space="preserve"> </w:t>
      </w:r>
      <w:r w:rsidR="00393768" w:rsidRPr="003354BD">
        <w:rPr>
          <w:b/>
          <w:bCs/>
          <w:i/>
          <w:iCs/>
        </w:rPr>
        <w:t>Research Design</w:t>
      </w:r>
    </w:p>
    <w:p w14:paraId="7492203D" w14:textId="00B06080" w:rsidR="00393768" w:rsidRDefault="00393768" w:rsidP="001510AF">
      <w:pPr>
        <w:spacing w:line="360" w:lineRule="auto"/>
      </w:pPr>
      <w:r w:rsidRPr="00681C0B">
        <w:t>The research approach</w:t>
      </w:r>
      <w:r>
        <w:t>, for this paper,</w:t>
      </w:r>
      <w:r w:rsidRPr="00681C0B">
        <w:t xml:space="preserve"> is from a legal</w:t>
      </w:r>
      <w:r>
        <w:t>-socio (policy</w:t>
      </w:r>
      <w:r>
        <w:rPr>
          <w:rStyle w:val="FootnoteReference"/>
        </w:rPr>
        <w:footnoteReference w:id="19"/>
      </w:r>
      <w:r>
        <w:t xml:space="preserve">) </w:t>
      </w:r>
      <w:r w:rsidRPr="00681C0B">
        <w:t>perspective and the journey of this paper (</w:t>
      </w:r>
      <w:r w:rsidR="008278EF">
        <w:t>Figure</w:t>
      </w:r>
      <w:r w:rsidRPr="00681C0B">
        <w:t xml:space="preserve"> </w:t>
      </w:r>
      <w:r w:rsidR="001B0A82">
        <w:t>2</w:t>
      </w:r>
      <w:r>
        <w:t xml:space="preserve">: </w:t>
      </w:r>
      <w:r>
        <w:rPr>
          <w:i/>
          <w:iCs/>
        </w:rPr>
        <w:t xml:space="preserve">figure of eight approach, </w:t>
      </w:r>
      <w:proofErr w:type="gramStart"/>
      <w:r>
        <w:rPr>
          <w:i/>
          <w:iCs/>
        </w:rPr>
        <w:t>i.e.</w:t>
      </w:r>
      <w:proofErr w:type="gramEnd"/>
      <w:r>
        <w:rPr>
          <w:i/>
          <w:iCs/>
        </w:rPr>
        <w:t xml:space="preserve"> with some cross-over and circling back</w:t>
      </w:r>
      <w:r w:rsidRPr="00E86F9F">
        <w:rPr>
          <w:rStyle w:val="FootnoteReference"/>
        </w:rPr>
        <w:footnoteReference w:id="20"/>
      </w:r>
      <w:r w:rsidRPr="00681C0B">
        <w:t>) is as follows</w:t>
      </w:r>
      <w:r w:rsidR="003354BD">
        <w:rPr>
          <w:rStyle w:val="FootnoteReference"/>
        </w:rPr>
        <w:footnoteReference w:id="21"/>
      </w:r>
      <w:r w:rsidR="003354BD">
        <w:t>:</w:t>
      </w:r>
      <w:r w:rsidRPr="00681C0B">
        <w:t xml:space="preserve"> </w:t>
      </w:r>
    </w:p>
    <w:p w14:paraId="4F282AA2" w14:textId="77777777" w:rsidR="00D337C2" w:rsidRPr="00681C0B" w:rsidRDefault="00D337C2" w:rsidP="00D337C2">
      <w:pPr>
        <w:spacing w:line="360" w:lineRule="auto"/>
      </w:pPr>
    </w:p>
    <w:p w14:paraId="24EBBE72" w14:textId="664CF088" w:rsidR="00393768" w:rsidRPr="00681C0B" w:rsidRDefault="00393768" w:rsidP="00D337C2">
      <w:pPr>
        <w:spacing w:line="360" w:lineRule="auto"/>
        <w:ind w:left="720"/>
      </w:pPr>
      <w:r w:rsidRPr="00681C0B">
        <w:t>1). Firstly, the aspect of cooperation is considered in terms of defining what cooperation is and how it is applied (should be applied) in a policing context (with illustrative examples</w:t>
      </w:r>
      <w:r>
        <w:t xml:space="preserve"> of</w:t>
      </w:r>
      <w:r w:rsidRPr="00681C0B">
        <w:t xml:space="preserve"> UK</w:t>
      </w:r>
      <w:r>
        <w:t xml:space="preserve"> and UK</w:t>
      </w:r>
      <w:r w:rsidRPr="00681C0B">
        <w:t>/EU</w:t>
      </w:r>
      <w:r>
        <w:t xml:space="preserve"> interactions and the sharing of data/information</w:t>
      </w:r>
      <w:proofErr w:type="gramStart"/>
      <w:r w:rsidRPr="00681C0B">
        <w:t>);</w:t>
      </w:r>
      <w:proofErr w:type="gramEnd"/>
    </w:p>
    <w:p w14:paraId="02F5DFAE" w14:textId="36D18437" w:rsidR="00393768" w:rsidRPr="00681C0B" w:rsidRDefault="00393768" w:rsidP="00D337C2">
      <w:pPr>
        <w:spacing w:line="360" w:lineRule="auto"/>
        <w:ind w:left="720"/>
      </w:pPr>
      <w:r w:rsidRPr="00681C0B">
        <w:t xml:space="preserve">2). The </w:t>
      </w:r>
      <w:r>
        <w:t xml:space="preserve">(evolving) </w:t>
      </w:r>
      <w:r w:rsidRPr="00681C0B">
        <w:t xml:space="preserve">position of the European Union is then </w:t>
      </w:r>
      <w:r>
        <w:t>reviewed and reflected upon</w:t>
      </w:r>
      <w:r w:rsidRPr="00681C0B">
        <w:t xml:space="preserve"> in respect to </w:t>
      </w:r>
      <w:r>
        <w:t xml:space="preserve">strengthening </w:t>
      </w:r>
      <w:r w:rsidRPr="00681C0B">
        <w:t>police cooperation (and related/overlapping policy areas)</w:t>
      </w:r>
      <w:r>
        <w:t xml:space="preserve"> – challenges are also identified</w:t>
      </w:r>
      <w:r w:rsidRPr="00681C0B">
        <w:t>; and,</w:t>
      </w:r>
    </w:p>
    <w:p w14:paraId="2D92B588" w14:textId="5604E16A" w:rsidR="00393768" w:rsidRPr="00681C0B" w:rsidRDefault="00393768" w:rsidP="00D337C2">
      <w:pPr>
        <w:spacing w:line="360" w:lineRule="auto"/>
        <w:ind w:left="720"/>
      </w:pPr>
      <w:r w:rsidRPr="00681C0B">
        <w:t>3). Finally</w:t>
      </w:r>
      <w:r>
        <w:t xml:space="preserve"> (and in conclusion)</w:t>
      </w:r>
      <w:r w:rsidRPr="00681C0B">
        <w:t xml:space="preserve"> the UK’s position in respect to policing and cooperation in the EU is then </w:t>
      </w:r>
      <w:r>
        <w:t>contemplated</w:t>
      </w:r>
      <w:r w:rsidRPr="00681C0B">
        <w:t xml:space="preserve"> (post Brexit)</w:t>
      </w:r>
      <w:r>
        <w:t xml:space="preserve">. </w:t>
      </w:r>
      <w:r w:rsidRPr="00681C0B">
        <w:t xml:space="preserve"> </w:t>
      </w:r>
      <w:r w:rsidR="00A638E8">
        <w:t>As part of this</w:t>
      </w:r>
      <w:r w:rsidR="005D57C9">
        <w:t xml:space="preserve"> </w:t>
      </w:r>
      <w:r w:rsidR="00A638E8">
        <w:t>section</w:t>
      </w:r>
      <w:r w:rsidR="005D57C9">
        <w:t>,</w:t>
      </w:r>
      <w:r w:rsidR="00A638E8">
        <w:t xml:space="preserve"> the EU legislation and instruments referred to previously will be revisited</w:t>
      </w:r>
      <w:r w:rsidR="00A0556C">
        <w:t xml:space="preserve"> and discussed in term of implications.</w:t>
      </w:r>
    </w:p>
    <w:p w14:paraId="704AF966" w14:textId="77777777" w:rsidR="00393768" w:rsidRPr="00681C0B" w:rsidRDefault="00393768" w:rsidP="00681C0B">
      <w:pPr>
        <w:jc w:val="center"/>
      </w:pPr>
      <w:r w:rsidRPr="00681C0B">
        <w:rPr>
          <w:noProof/>
        </w:rPr>
        <w:lastRenderedPageBreak/>
        <w:drawing>
          <wp:inline distT="0" distB="0" distL="0" distR="0" wp14:anchorId="5637ED99" wp14:editId="3AA2FC39">
            <wp:extent cx="1557063" cy="1827856"/>
            <wp:effectExtent l="0" t="0" r="5080" b="1270"/>
            <wp:docPr id="1" name="Picture 1"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65147" cy="1837346"/>
                    </a:xfrm>
                    <a:prstGeom prst="rect">
                      <a:avLst/>
                    </a:prstGeom>
                  </pic:spPr>
                </pic:pic>
              </a:graphicData>
            </a:graphic>
          </wp:inline>
        </w:drawing>
      </w:r>
    </w:p>
    <w:p w14:paraId="074EAA7B" w14:textId="110456F5" w:rsidR="00393768" w:rsidRPr="00681C0B" w:rsidRDefault="008278EF" w:rsidP="00681C0B">
      <w:pPr>
        <w:jc w:val="center"/>
        <w:rPr>
          <w:sz w:val="20"/>
          <w:szCs w:val="20"/>
        </w:rPr>
      </w:pPr>
      <w:r>
        <w:rPr>
          <w:b/>
          <w:bCs/>
          <w:sz w:val="20"/>
          <w:szCs w:val="20"/>
        </w:rPr>
        <w:t>Figure</w:t>
      </w:r>
      <w:r w:rsidR="00393768" w:rsidRPr="00681C0B">
        <w:rPr>
          <w:b/>
          <w:bCs/>
          <w:sz w:val="20"/>
          <w:szCs w:val="20"/>
        </w:rPr>
        <w:t xml:space="preserve"> </w:t>
      </w:r>
      <w:r w:rsidR="001B0A82">
        <w:rPr>
          <w:b/>
          <w:bCs/>
          <w:sz w:val="20"/>
          <w:szCs w:val="20"/>
        </w:rPr>
        <w:t>2</w:t>
      </w:r>
      <w:r w:rsidR="00393768" w:rsidRPr="00681C0B">
        <w:rPr>
          <w:b/>
          <w:bCs/>
          <w:sz w:val="20"/>
          <w:szCs w:val="20"/>
        </w:rPr>
        <w:t xml:space="preserve">: </w:t>
      </w:r>
      <w:r w:rsidR="00393768" w:rsidRPr="00681C0B">
        <w:rPr>
          <w:sz w:val="20"/>
          <w:szCs w:val="20"/>
        </w:rPr>
        <w:t>Structure of the paper</w:t>
      </w:r>
    </w:p>
    <w:p w14:paraId="0C4DD59B" w14:textId="2542EA85" w:rsidR="000A4452" w:rsidRDefault="000A4452" w:rsidP="00681C0B">
      <w:pPr>
        <w:rPr>
          <w:b/>
          <w:bCs/>
        </w:rPr>
      </w:pPr>
    </w:p>
    <w:p w14:paraId="132BB780" w14:textId="77777777" w:rsidR="00874A21" w:rsidRDefault="00874A21" w:rsidP="00681C0B">
      <w:pPr>
        <w:rPr>
          <w:b/>
          <w:bCs/>
        </w:rPr>
      </w:pPr>
    </w:p>
    <w:p w14:paraId="6346E88B" w14:textId="20FC81AE" w:rsidR="00D337C2" w:rsidRPr="00D337C2" w:rsidRDefault="00393768" w:rsidP="00B76A07">
      <w:pPr>
        <w:pStyle w:val="ListParagraph"/>
        <w:numPr>
          <w:ilvl w:val="0"/>
          <w:numId w:val="27"/>
        </w:numPr>
        <w:spacing w:line="360" w:lineRule="auto"/>
        <w:rPr>
          <w:b/>
          <w:bCs/>
          <w:i/>
          <w:iCs/>
        </w:rPr>
      </w:pPr>
      <w:r w:rsidRPr="00D337C2">
        <w:rPr>
          <w:b/>
          <w:bCs/>
        </w:rPr>
        <w:t>Cooperating</w:t>
      </w:r>
      <w:r w:rsidRPr="00D337C2">
        <w:rPr>
          <w:b/>
          <w:bCs/>
          <w:i/>
          <w:iCs/>
        </w:rPr>
        <w:t xml:space="preserve"> in a policing context</w:t>
      </w:r>
    </w:p>
    <w:p w14:paraId="418F3C1B" w14:textId="7C54FBA5" w:rsidR="00393768" w:rsidRPr="00D337C2" w:rsidRDefault="00393768" w:rsidP="00B76A07">
      <w:pPr>
        <w:spacing w:line="360" w:lineRule="auto"/>
        <w:rPr>
          <w:b/>
          <w:bCs/>
          <w:i/>
          <w:iCs/>
        </w:rPr>
      </w:pPr>
      <w:r w:rsidRPr="00D337C2">
        <w:rPr>
          <w:b/>
          <w:bCs/>
          <w:i/>
          <w:iCs/>
        </w:rPr>
        <w:t xml:space="preserve"> </w:t>
      </w:r>
    </w:p>
    <w:p w14:paraId="32CB44E9" w14:textId="61B513B1" w:rsidR="00AB0C42" w:rsidRDefault="00393768" w:rsidP="00B76A07">
      <w:pPr>
        <w:spacing w:line="360" w:lineRule="auto"/>
      </w:pPr>
      <w:r w:rsidRPr="00A77559">
        <w:t>Policing ultimately became more complex when opportunities to travel became simpler through ease of transport and movement.</w:t>
      </w:r>
      <w:r w:rsidRPr="00681C0B">
        <w:t xml:space="preserve"> </w:t>
      </w:r>
      <w:r w:rsidR="00AB0C42" w:rsidRPr="00A06B25">
        <w:t xml:space="preserve">Gone are the days when the local policeman walked a small geographical area and knew most of the local residents that rarely travelled out of their village or settlement. Invariably, </w:t>
      </w:r>
      <w:r w:rsidR="00A77559" w:rsidRPr="00A06B25">
        <w:t xml:space="preserve">our (early) ancestors </w:t>
      </w:r>
      <w:r w:rsidR="00AB0C42" w:rsidRPr="00A06B25">
        <w:t xml:space="preserve">were prevented from </w:t>
      </w:r>
      <w:r w:rsidR="00E3610C" w:rsidRPr="00A06B25">
        <w:t>venturing to far</w:t>
      </w:r>
      <w:r w:rsidR="00AB0C42" w:rsidRPr="00A06B25">
        <w:t xml:space="preserve"> due</w:t>
      </w:r>
      <w:r w:rsidR="00A77559">
        <w:t xml:space="preserve"> to the lack of transport modes and opportunities that, for most parts, until after the industrial revolution,</w:t>
      </w:r>
      <w:r w:rsidR="00AB0C42">
        <w:t xml:space="preserve"> </w:t>
      </w:r>
      <w:r w:rsidR="00A77559">
        <w:t>were limited to non-motorised means.</w:t>
      </w:r>
      <w:r w:rsidR="00A77559">
        <w:rPr>
          <w:rStyle w:val="FootnoteReference"/>
        </w:rPr>
        <w:footnoteReference w:id="22"/>
      </w:r>
    </w:p>
    <w:p w14:paraId="2FCA70E6" w14:textId="77777777" w:rsidR="00A77559" w:rsidRDefault="00A77559" w:rsidP="00B76A07">
      <w:pPr>
        <w:spacing w:line="360" w:lineRule="auto"/>
      </w:pPr>
    </w:p>
    <w:p w14:paraId="2F01B6F8" w14:textId="7F543944" w:rsidR="00393768" w:rsidRPr="00681C0B" w:rsidRDefault="00393768" w:rsidP="00B76A07">
      <w:pPr>
        <w:spacing w:line="360" w:lineRule="auto"/>
      </w:pPr>
      <w:r>
        <w:t>Globalisation has been a key factor in shrinking the world, of introducing new and evolving technology – technology that assist</w:t>
      </w:r>
      <w:r w:rsidR="000E6536">
        <w:t>s</w:t>
      </w:r>
      <w:r>
        <w:t xml:space="preserve"> mankind, that aids us, that provides opportunities but </w:t>
      </w:r>
      <w:r w:rsidR="00D84506">
        <w:t>inexorably</w:t>
      </w:r>
      <w:r>
        <w:t xml:space="preserve"> also </w:t>
      </w:r>
      <w:r w:rsidR="000E6536">
        <w:t xml:space="preserve">creates </w:t>
      </w:r>
      <w:r>
        <w:t>challenges and other risks</w:t>
      </w:r>
      <w:r w:rsidRPr="009E09B1">
        <w:t>.</w:t>
      </w:r>
      <w:r w:rsidRPr="009E09B1">
        <w:rPr>
          <w:rStyle w:val="FootnoteReference"/>
        </w:rPr>
        <w:footnoteReference w:id="23"/>
      </w:r>
      <w:r>
        <w:t xml:space="preserve"> Transport has witnessed its fair share of innovation and advancements – including the use of, and accessibility, to air travel (alongside other older-evolving means – rail (</w:t>
      </w:r>
      <w:r w:rsidR="00C4292A">
        <w:t xml:space="preserve">now </w:t>
      </w:r>
      <w:r w:rsidR="00094B2A">
        <w:t>high</w:t>
      </w:r>
      <w:r>
        <w:t xml:space="preserve"> speed trains</w:t>
      </w:r>
      <w:r w:rsidRPr="007755BD">
        <w:t>); the</w:t>
      </w:r>
      <w:r>
        <w:t xml:space="preserve"> dawn of autonomous vehicles</w:t>
      </w:r>
      <w:r w:rsidR="007822C2">
        <w:t>,</w:t>
      </w:r>
      <w:r>
        <w:t xml:space="preserve"> </w:t>
      </w:r>
      <w:r w:rsidR="007822C2">
        <w:t xml:space="preserve">both on the </w:t>
      </w:r>
      <w:r>
        <w:t xml:space="preserve">road and </w:t>
      </w:r>
      <w:r w:rsidR="007822C2">
        <w:t xml:space="preserve">in the </w:t>
      </w:r>
      <w:r>
        <w:t xml:space="preserve">air (particularly - UAV’s). </w:t>
      </w:r>
      <w:r w:rsidRPr="00681C0B">
        <w:t>Whilst the majority of people travel with legitimate and honourable intentions, there remains a minority who will aim to abuse such freedoms by criminal activities that cross borders, boundaries, and hence policing jurisdictions. As Steinberg made reference to, theorists within the geopolitics environment increasingly recogni</w:t>
      </w:r>
      <w:r>
        <w:t>s</w:t>
      </w:r>
      <w:r w:rsidRPr="00681C0B">
        <w:t xml:space="preserve">e that boundaries are more than just a line to mark and demark </w:t>
      </w:r>
      <w:r w:rsidRPr="00681C0B">
        <w:lastRenderedPageBreak/>
        <w:t>territories.</w:t>
      </w:r>
      <w:r w:rsidRPr="00681C0B">
        <w:rPr>
          <w:vertAlign w:val="superscript"/>
        </w:rPr>
        <w:footnoteReference w:id="24"/>
      </w:r>
      <w:r w:rsidRPr="00681C0B">
        <w:t xml:space="preserve"> These ‘jurisdictions’ </w:t>
      </w:r>
      <w:r w:rsidR="00955014" w:rsidRPr="00681C0B">
        <w:t>customari</w:t>
      </w:r>
      <w:r w:rsidR="00955014">
        <w:t>ly</w:t>
      </w:r>
      <w:r w:rsidRPr="00681C0B">
        <w:t xml:space="preserve"> relate back to a form of internal structure or control</w:t>
      </w:r>
      <w:proofErr w:type="gramStart"/>
      <w:r w:rsidRPr="00681C0B">
        <w:t>…..</w:t>
      </w:r>
      <w:proofErr w:type="gramEnd"/>
      <w:r w:rsidRPr="00681C0B">
        <w:t xml:space="preserve"> the highest order being sovereign (state) control – </w:t>
      </w:r>
      <w:proofErr w:type="gramStart"/>
      <w:r w:rsidRPr="00681C0B">
        <w:t>i.e.</w:t>
      </w:r>
      <w:proofErr w:type="gramEnd"/>
      <w:r w:rsidRPr="00681C0B">
        <w:t xml:space="preserve"> sovereignty. And with sovereignty </w:t>
      </w:r>
      <w:r w:rsidR="00AF49E3">
        <w:t xml:space="preserve">inevitably </w:t>
      </w:r>
      <w:r w:rsidRPr="00681C0B">
        <w:t xml:space="preserve">comes politics </w:t>
      </w:r>
      <w:proofErr w:type="gramStart"/>
      <w:r w:rsidRPr="00681C0B">
        <w:t>…..</w:t>
      </w:r>
      <w:proofErr w:type="gramEnd"/>
      <w:r w:rsidRPr="00681C0B">
        <w:rPr>
          <w:i/>
          <w:iCs/>
        </w:rPr>
        <w:t xml:space="preserve"> and with politics comes political will/willingness</w:t>
      </w:r>
      <w:r w:rsidRPr="00681C0B">
        <w:t>.</w:t>
      </w:r>
      <w:r w:rsidRPr="00681C0B">
        <w:rPr>
          <w:vertAlign w:val="superscript"/>
        </w:rPr>
        <w:footnoteReference w:id="25"/>
      </w:r>
      <w:r w:rsidRPr="00681C0B">
        <w:t xml:space="preserve"> </w:t>
      </w:r>
    </w:p>
    <w:p w14:paraId="6FD515CB" w14:textId="0FD37349" w:rsidR="00393768" w:rsidRPr="00681C0B" w:rsidRDefault="00393768" w:rsidP="00D337C2">
      <w:pPr>
        <w:spacing w:line="360" w:lineRule="auto"/>
      </w:pPr>
      <w:r w:rsidRPr="00681C0B">
        <w:t>All of these aspects remain a challenge to effective policing</w:t>
      </w:r>
      <w:r w:rsidR="00B749FC">
        <w:t>,</w:t>
      </w:r>
      <w:r w:rsidRPr="00681C0B">
        <w:t xml:space="preserve"> particularly across State (meaning – country) lines. </w:t>
      </w:r>
    </w:p>
    <w:p w14:paraId="5CB1F472" w14:textId="77777777" w:rsidR="00393768" w:rsidRPr="00681C0B" w:rsidRDefault="00393768" w:rsidP="00681C0B"/>
    <w:p w14:paraId="31FBA23D" w14:textId="1A0FB155" w:rsidR="00393768" w:rsidRPr="00681C0B" w:rsidRDefault="00B749FC" w:rsidP="00D337C2">
      <w:pPr>
        <w:spacing w:line="360" w:lineRule="auto"/>
        <w:rPr>
          <w:b/>
          <w:bCs/>
          <w:i/>
          <w:iCs/>
        </w:rPr>
      </w:pPr>
      <w:r>
        <w:rPr>
          <w:b/>
          <w:bCs/>
        </w:rPr>
        <w:t xml:space="preserve">2.1. </w:t>
      </w:r>
      <w:r w:rsidR="00E2172A">
        <w:rPr>
          <w:b/>
          <w:bCs/>
          <w:i/>
          <w:iCs/>
        </w:rPr>
        <w:t>Signing up to cooperate</w:t>
      </w:r>
      <w:r w:rsidR="00535B06">
        <w:rPr>
          <w:b/>
          <w:bCs/>
          <w:i/>
          <w:iCs/>
        </w:rPr>
        <w:t xml:space="preserve"> - a</w:t>
      </w:r>
      <w:r w:rsidR="00C92CAD">
        <w:rPr>
          <w:b/>
          <w:bCs/>
          <w:i/>
          <w:iCs/>
        </w:rPr>
        <w:t xml:space="preserve"> </w:t>
      </w:r>
      <w:proofErr w:type="gramStart"/>
      <w:r w:rsidR="00C92CAD">
        <w:rPr>
          <w:b/>
          <w:bCs/>
          <w:i/>
          <w:iCs/>
        </w:rPr>
        <w:t>snap</w:t>
      </w:r>
      <w:r w:rsidR="005953F0">
        <w:rPr>
          <w:b/>
          <w:bCs/>
          <w:i/>
          <w:iCs/>
        </w:rPr>
        <w:t>-</w:t>
      </w:r>
      <w:r w:rsidR="00C92CAD">
        <w:rPr>
          <w:b/>
          <w:bCs/>
          <w:i/>
          <w:iCs/>
        </w:rPr>
        <w:t>shot</w:t>
      </w:r>
      <w:proofErr w:type="gramEnd"/>
      <w:r w:rsidR="00C92CAD">
        <w:rPr>
          <w:b/>
          <w:bCs/>
          <w:i/>
          <w:iCs/>
        </w:rPr>
        <w:t xml:space="preserve"> of the UK-EU (2020)</w:t>
      </w:r>
    </w:p>
    <w:p w14:paraId="1D8BDC6C" w14:textId="77777777" w:rsidR="00393768" w:rsidRPr="00681C0B" w:rsidRDefault="00393768" w:rsidP="00D337C2">
      <w:pPr>
        <w:spacing w:line="360" w:lineRule="auto"/>
        <w:rPr>
          <w:b/>
          <w:bCs/>
          <w:i/>
          <w:iCs/>
        </w:rPr>
      </w:pPr>
      <w:r w:rsidRPr="00681C0B">
        <w:t>From a policing perspective, we tend to refer to this ability to liaise and to tackle joint areas of concern as ‘cooperation’ (normally across borders and boundaries – be they internal or external to a national State</w:t>
      </w:r>
      <w:r w:rsidRPr="00681C0B">
        <w:rPr>
          <w:vertAlign w:val="superscript"/>
        </w:rPr>
        <w:footnoteReference w:id="26"/>
      </w:r>
      <w:r w:rsidRPr="00681C0B">
        <w:t>).  This by and large, mirrors the concept of international law which is also concerned with the political will of states as expressed through treaties or international custom and provides the means by which contracting states stipulate the rules of private law which is then agreed within their national law.</w:t>
      </w:r>
      <w:r w:rsidRPr="00681C0B">
        <w:rPr>
          <w:vertAlign w:val="superscript"/>
        </w:rPr>
        <w:footnoteReference w:id="27"/>
      </w:r>
      <w:r w:rsidRPr="00681C0B">
        <w:t xml:space="preserve"> </w:t>
      </w:r>
    </w:p>
    <w:p w14:paraId="1993E20B" w14:textId="77777777" w:rsidR="00393768" w:rsidRPr="00681C0B" w:rsidRDefault="00393768" w:rsidP="00D337C2">
      <w:pPr>
        <w:spacing w:line="360" w:lineRule="auto"/>
      </w:pPr>
    </w:p>
    <w:p w14:paraId="59538C6C" w14:textId="300C8D23" w:rsidR="00393768" w:rsidRPr="00681C0B" w:rsidRDefault="00393768" w:rsidP="00D337C2">
      <w:pPr>
        <w:spacing w:line="360" w:lineRule="auto"/>
      </w:pPr>
      <w:r w:rsidRPr="00681C0B">
        <w:t xml:space="preserve">This unified system approach is ultimately viewed as a </w:t>
      </w:r>
      <w:r w:rsidR="00D84506" w:rsidRPr="000570C9">
        <w:t>means</w:t>
      </w:r>
      <w:r w:rsidRPr="00681C0B">
        <w:t xml:space="preserve"> to prevent and minimise conflicts, both from a physical and legislative perspective. From a legal stance, international law provides a mechanism to replace the disparity that exists regarding substantive law and jurisdiction, clarifying mutual rights and obligations whilst providing transparency.</w:t>
      </w:r>
      <w:r w:rsidRPr="00681C0B">
        <w:rPr>
          <w:vertAlign w:val="superscript"/>
        </w:rPr>
        <w:footnoteReference w:id="28"/>
      </w:r>
      <w:r w:rsidRPr="00681C0B">
        <w:t xml:space="preserve"> However, international law has noticeabl</w:t>
      </w:r>
      <w:r w:rsidR="00CB487E">
        <w:t>e</w:t>
      </w:r>
      <w:r w:rsidRPr="00681C0B">
        <w:t xml:space="preserve"> limitations, as </w:t>
      </w:r>
      <w:proofErr w:type="spellStart"/>
      <w:r w:rsidRPr="00681C0B">
        <w:t>Arend</w:t>
      </w:r>
      <w:proofErr w:type="spellEnd"/>
      <w:r w:rsidRPr="00681C0B">
        <w:t xml:space="preserve"> reaffirms by acknowledging, “</w:t>
      </w:r>
      <w:r w:rsidRPr="00681C0B">
        <w:rPr>
          <w:i/>
          <w:iCs/>
        </w:rPr>
        <w:t xml:space="preserve">sovereignty means that all states are juridically equal…they can be bound by law only through their consent. In the absence of a law… they are legally allowed to do as they </w:t>
      </w:r>
      <w:r w:rsidRPr="00681C0B">
        <w:rPr>
          <w:i/>
          <w:iCs/>
        </w:rPr>
        <w:lastRenderedPageBreak/>
        <w:t>choose</w:t>
      </w:r>
      <w:r w:rsidRPr="00681C0B">
        <w:t>.”</w:t>
      </w:r>
      <w:r w:rsidR="00B749FC">
        <w:rPr>
          <w:rStyle w:val="FootnoteReference"/>
        </w:rPr>
        <w:footnoteReference w:id="29"/>
      </w:r>
      <w:r w:rsidRPr="00681C0B">
        <w:t xml:space="preserve"> This means that States have to be </w:t>
      </w:r>
      <w:r w:rsidRPr="00681C0B">
        <w:rPr>
          <w:i/>
          <w:iCs/>
        </w:rPr>
        <w:t xml:space="preserve">willing </w:t>
      </w:r>
      <w:r w:rsidRPr="00681C0B">
        <w:t xml:space="preserve">to formulate, accept, and adhere to practices and international laws. Inevitably, this remains a clear challenge and a weakness of international law, as it also does in respect to ‘police cooperation’ across jurisdictions. </w:t>
      </w:r>
    </w:p>
    <w:p w14:paraId="753EEF8F" w14:textId="77777777" w:rsidR="00393768" w:rsidRPr="00681C0B" w:rsidRDefault="00393768" w:rsidP="00D337C2">
      <w:pPr>
        <w:spacing w:line="360" w:lineRule="auto"/>
        <w:jc w:val="center"/>
      </w:pPr>
    </w:p>
    <w:p w14:paraId="0A794979" w14:textId="3335BBCF" w:rsidR="00393768" w:rsidRPr="00681C0B" w:rsidRDefault="00393768" w:rsidP="00D337C2">
      <w:pPr>
        <w:spacing w:line="360" w:lineRule="auto"/>
      </w:pPr>
      <w:r w:rsidRPr="00681C0B">
        <w:t xml:space="preserve">Whilst there may not be an absence of (criminal) laws in most </w:t>
      </w:r>
      <w:r>
        <w:t>cases</w:t>
      </w:r>
      <w:r w:rsidRPr="00681C0B">
        <w:t xml:space="preserve"> within a country, there invariably remain differences between countries laws (and even in some instances, internally too – for example: across the 50 states that form the United States of America; or even within the UK in respect of some legislative offences and judicial systems/processes – </w:t>
      </w:r>
      <w:proofErr w:type="gramStart"/>
      <w:r w:rsidRPr="00681C0B">
        <w:t>e.g.</w:t>
      </w:r>
      <w:proofErr w:type="gramEnd"/>
      <w:r w:rsidRPr="00681C0B">
        <w:t xml:space="preserve"> England and Scotland most noticeably).  And, hence, this remains another challenge of ‘</w:t>
      </w:r>
      <w:r w:rsidRPr="00681C0B">
        <w:rPr>
          <w:i/>
          <w:iCs/>
        </w:rPr>
        <w:t>police to police</w:t>
      </w:r>
      <w:r w:rsidRPr="00681C0B">
        <w:t>’ (or LEA’s) cooperation and consequently successful and effective policing that keeps citizens safe and secure.  One solution to minimise such ‘risk’ is a form of cooperative agreements between countries or within regional blocs. Ultimately, however, State sovereignty will always take priority and precedence, as will any State decision to apply any agreement or cooperative approach. Hence, this is the situation that the UK currently finds itself in – in terms of withdrawing from a regional bloc and therefore, inevitably many of the agreements (or other legislative mechanism) in place and that it has been a party to.</w:t>
      </w:r>
    </w:p>
    <w:p w14:paraId="6A0458A2" w14:textId="77777777" w:rsidR="00393768" w:rsidRPr="00681C0B" w:rsidRDefault="00393768" w:rsidP="00D337C2">
      <w:pPr>
        <w:spacing w:line="360" w:lineRule="auto"/>
      </w:pPr>
    </w:p>
    <w:p w14:paraId="43C9291A" w14:textId="77777777" w:rsidR="00393768" w:rsidRPr="00681C0B" w:rsidRDefault="00393768" w:rsidP="00D337C2">
      <w:pPr>
        <w:spacing w:line="360" w:lineRule="auto"/>
      </w:pPr>
      <w:r w:rsidRPr="00681C0B">
        <w:t>In the past, criminal activity mostly concerned physical movements, but, has of late, more and more, related to cyber movements – or crimes perpetrated via the internet – that is, by remote means. Going forward, if we cannot cooperate more successfully in the real world, there will become even more challenges and risks in this new and evolving cyber inter-connected world.</w:t>
      </w:r>
    </w:p>
    <w:p w14:paraId="173A93A7" w14:textId="77777777" w:rsidR="00393768" w:rsidRPr="00681C0B" w:rsidRDefault="00393768" w:rsidP="00D337C2">
      <w:pPr>
        <w:spacing w:line="360" w:lineRule="auto"/>
      </w:pPr>
    </w:p>
    <w:p w14:paraId="3D3F32E7" w14:textId="3883ACFB" w:rsidR="00393768" w:rsidRPr="00681C0B" w:rsidRDefault="00393768" w:rsidP="00D337C2">
      <w:pPr>
        <w:spacing w:line="360" w:lineRule="auto"/>
      </w:pPr>
      <w:r w:rsidRPr="00681C0B">
        <w:t xml:space="preserve">Within a country (such as across states; county/territory jurisdictions) it is perhaps easier to achieve policing collaboration – including the sharing of information and data. Sometimes, this is facilitated through agreements or even legislative practices and protocols being put in place to identify or even require this cooperative interaction. </w:t>
      </w:r>
      <w:r w:rsidR="00686F25">
        <w:t>Technology developments have also been key to facilitating the shar</w:t>
      </w:r>
      <w:r w:rsidR="00132D4B">
        <w:t>ing</w:t>
      </w:r>
      <w:r w:rsidR="00686F25">
        <w:t xml:space="preserve"> of information and hence aiding cooperation.</w:t>
      </w:r>
    </w:p>
    <w:p w14:paraId="27C4E820" w14:textId="74F32833" w:rsidR="00393768" w:rsidRDefault="00393768" w:rsidP="00D337C2">
      <w:pPr>
        <w:spacing w:line="360" w:lineRule="auto"/>
      </w:pPr>
      <w:r w:rsidRPr="00681C0B">
        <w:lastRenderedPageBreak/>
        <w:t>An example of this, in the UK, is the Police National Computer (PNC</w:t>
      </w:r>
      <w:r w:rsidRPr="00681C0B">
        <w:rPr>
          <w:vertAlign w:val="superscript"/>
        </w:rPr>
        <w:footnoteReference w:id="30"/>
      </w:r>
      <w:r w:rsidRPr="00681C0B">
        <w:t>)</w:t>
      </w:r>
      <w:r w:rsidR="00C64A4E">
        <w:t xml:space="preserve"> a database introduced in 1974, a year after the UK joined the European </w:t>
      </w:r>
      <w:r w:rsidR="00710728">
        <w:t>Communities</w:t>
      </w:r>
      <w:r w:rsidR="00C64A4E">
        <w:rPr>
          <w:rStyle w:val="FootnoteReference"/>
        </w:rPr>
        <w:footnoteReference w:id="31"/>
      </w:r>
      <w:r w:rsidR="00C64A4E">
        <w:t xml:space="preserve"> – now the EU.</w:t>
      </w:r>
    </w:p>
    <w:p w14:paraId="3645EE6F" w14:textId="77777777" w:rsidR="00C64A4E" w:rsidRDefault="00C64A4E" w:rsidP="00681C0B"/>
    <w:p w14:paraId="3C909B77" w14:textId="1F21607E" w:rsidR="00393768" w:rsidRPr="00681C0B" w:rsidRDefault="00393768" w:rsidP="00D337C2">
      <w:pPr>
        <w:spacing w:line="360" w:lineRule="auto"/>
      </w:pPr>
      <w:r w:rsidRPr="00681C0B">
        <w:t>PNC is used to facilitate investigations and sharing information of both national and local importance.  Since its inception in the early 1970’s, it has developed, evolved, and reacted to meet the everchanging needs of operational and intelligence led policing.  It provides mission critical services to the police, plus other UK law enforcement agencies (LEA’s). Over time, the access to PNC has increased with various other bodies now having restricted or read only access – so</w:t>
      </w:r>
      <w:r>
        <w:t>,</w:t>
      </w:r>
      <w:r w:rsidRPr="00681C0B">
        <w:t xml:space="preserve"> thus</w:t>
      </w:r>
      <w:r>
        <w:t>,</w:t>
      </w:r>
      <w:r w:rsidRPr="00681C0B">
        <w:t xml:space="preserve"> a system or cooperation and trust has developed; albeit</w:t>
      </w:r>
      <w:r>
        <w:t>,</w:t>
      </w:r>
      <w:r w:rsidRPr="00681C0B">
        <w:t xml:space="preserve"> with some restrictions. However, one barrier remains privacy and data protection, whereby there remains limitations as to what is able to be shared, and this is made more complex when the</w:t>
      </w:r>
      <w:r w:rsidR="001023DE">
        <w:t>re is a need</w:t>
      </w:r>
      <w:r w:rsidRPr="00681C0B">
        <w:t xml:space="preserve"> </w:t>
      </w:r>
      <w:r w:rsidR="001023DE">
        <w:t xml:space="preserve">to share, liaise and coordinate </w:t>
      </w:r>
      <w:r w:rsidRPr="00681C0B">
        <w:t>outside a Member State.</w:t>
      </w:r>
    </w:p>
    <w:p w14:paraId="12A8EC04" w14:textId="77777777" w:rsidR="00393768" w:rsidRPr="00681C0B" w:rsidRDefault="00393768" w:rsidP="00681C0B"/>
    <w:p w14:paraId="75730960" w14:textId="4AE6ECB0" w:rsidR="00393768" w:rsidRDefault="00114003" w:rsidP="00D337C2">
      <w:pPr>
        <w:spacing w:line="360" w:lineRule="auto"/>
      </w:pPr>
      <w:r>
        <w:t>Since 2015 the</w:t>
      </w:r>
      <w:r w:rsidR="00393768" w:rsidRPr="00681C0B">
        <w:t xml:space="preserve"> UK </w:t>
      </w:r>
      <w:r>
        <w:t xml:space="preserve">had been </w:t>
      </w:r>
      <w:r w:rsidR="00393768" w:rsidRPr="00681C0B">
        <w:t>part of the European-wide IT system called Schengen Information System (SIS II</w:t>
      </w:r>
      <w:r w:rsidRPr="00E5003A">
        <w:rPr>
          <w:rStyle w:val="FootnoteReference"/>
        </w:rPr>
        <w:footnoteReference w:id="32"/>
      </w:r>
      <w:r w:rsidR="00393768" w:rsidRPr="00E5003A">
        <w:t>)</w:t>
      </w:r>
      <w:r>
        <w:t xml:space="preserve">. </w:t>
      </w:r>
      <w:r w:rsidR="008E12B9">
        <w:t>SIS II</w:t>
      </w:r>
      <w:r>
        <w:t xml:space="preserve"> allows all </w:t>
      </w:r>
      <w:r w:rsidR="00393768" w:rsidRPr="00681C0B">
        <w:t xml:space="preserve">participating member states </w:t>
      </w:r>
      <w:r>
        <w:t>to be</w:t>
      </w:r>
      <w:r w:rsidR="00393768" w:rsidRPr="00681C0B">
        <w:t xml:space="preserve"> able to share real-time information on persons and objects of interest via a series of ‘</w:t>
      </w:r>
      <w:r w:rsidR="00393768" w:rsidRPr="00681C0B">
        <w:rPr>
          <w:i/>
          <w:iCs/>
        </w:rPr>
        <w:t>Alert</w:t>
      </w:r>
      <w:r w:rsidR="00393768" w:rsidRPr="00681C0B">
        <w:t>s.’ This enables competent national authorities to cooperate with relative ease.</w:t>
      </w:r>
      <w:r w:rsidR="006245D5" w:rsidRPr="00E5003A">
        <w:rPr>
          <w:rStyle w:val="FootnoteReference"/>
        </w:rPr>
        <w:footnoteReference w:id="33"/>
      </w:r>
      <w:r w:rsidR="00393768" w:rsidRPr="00681C0B">
        <w:t xml:space="preserve"> The SIS II office in </w:t>
      </w:r>
      <w:r w:rsidR="00393768" w:rsidRPr="00681C0B">
        <w:lastRenderedPageBreak/>
        <w:t xml:space="preserve">the UK is </w:t>
      </w:r>
      <w:r w:rsidR="006719B2">
        <w:t xml:space="preserve">identified as being </w:t>
      </w:r>
      <w:r w:rsidR="00393768" w:rsidRPr="00681C0B">
        <w:t xml:space="preserve">located at Hendon, London which is the site of the PNC (that is, </w:t>
      </w:r>
      <w:r w:rsidR="006719B2">
        <w:t>within the</w:t>
      </w:r>
      <w:r w:rsidR="00393768" w:rsidRPr="00681C0B">
        <w:t xml:space="preserve"> Metropolitan Police Service</w:t>
      </w:r>
      <w:r w:rsidR="006719B2">
        <w:t xml:space="preserve"> site</w:t>
      </w:r>
      <w:r w:rsidR="00393768" w:rsidRPr="00681C0B">
        <w:t>). Each Member State has a SIRENE</w:t>
      </w:r>
      <w:r w:rsidR="00393768" w:rsidRPr="00681C0B">
        <w:rPr>
          <w:vertAlign w:val="superscript"/>
        </w:rPr>
        <w:footnoteReference w:id="34"/>
      </w:r>
      <w:r w:rsidR="00393768" w:rsidRPr="00681C0B">
        <w:t xml:space="preserve"> Bureaux</w:t>
      </w:r>
      <w:r w:rsidR="00393768" w:rsidRPr="00681C0B">
        <w:rPr>
          <w:vertAlign w:val="superscript"/>
        </w:rPr>
        <w:footnoteReference w:id="35"/>
      </w:r>
      <w:r w:rsidR="00393768" w:rsidRPr="00681C0B">
        <w:t xml:space="preserve"> - which is responsible for any supplementary information exchange and for the coordination of SIS alerts and related activities.</w:t>
      </w:r>
    </w:p>
    <w:p w14:paraId="1812F33B" w14:textId="77777777" w:rsidR="00D337C2" w:rsidRPr="00681C0B" w:rsidRDefault="00D337C2" w:rsidP="00D337C2">
      <w:pPr>
        <w:spacing w:line="360" w:lineRule="auto"/>
      </w:pPr>
    </w:p>
    <w:p w14:paraId="593BA35B" w14:textId="0B26588D" w:rsidR="00393768" w:rsidRPr="00681C0B" w:rsidRDefault="00393768" w:rsidP="00D337C2">
      <w:pPr>
        <w:spacing w:line="360" w:lineRule="auto"/>
      </w:pPr>
      <w:r w:rsidRPr="00681C0B">
        <w:t>Thus, the UK</w:t>
      </w:r>
      <w:r w:rsidR="006719B2">
        <w:rPr>
          <w:rStyle w:val="FootnoteReference"/>
        </w:rPr>
        <w:footnoteReference w:id="36"/>
      </w:r>
      <w:r w:rsidRPr="00681C0B">
        <w:t xml:space="preserve"> </w:t>
      </w:r>
      <w:r w:rsidR="006719B2">
        <w:t xml:space="preserve">(via </w:t>
      </w:r>
      <w:r w:rsidRPr="00681C0B">
        <w:t>PNC</w:t>
      </w:r>
      <w:r w:rsidR="006719B2">
        <w:t>) as a Member State of the EU</w:t>
      </w:r>
      <w:r w:rsidRPr="00681C0B">
        <w:t xml:space="preserve"> </w:t>
      </w:r>
      <w:r w:rsidR="006719B2">
        <w:t>agreed</w:t>
      </w:r>
      <w:r w:rsidRPr="00681C0B">
        <w:t xml:space="preserve"> to provide the following Alerts to other (</w:t>
      </w:r>
      <w:r w:rsidR="006719B2">
        <w:t>identified</w:t>
      </w:r>
      <w:r w:rsidRPr="00681C0B">
        <w:t>) Members:</w:t>
      </w:r>
      <w:r w:rsidRPr="00681C0B">
        <w:rPr>
          <w:vertAlign w:val="superscript"/>
        </w:rPr>
        <w:footnoteReference w:id="37"/>
      </w:r>
    </w:p>
    <w:p w14:paraId="5FF6C115" w14:textId="77777777" w:rsidR="00393768" w:rsidRPr="00681C0B" w:rsidRDefault="00393768" w:rsidP="00681C0B">
      <w:pPr>
        <w:numPr>
          <w:ilvl w:val="0"/>
          <w:numId w:val="1"/>
        </w:numPr>
      </w:pPr>
      <w:r w:rsidRPr="00681C0B">
        <w:t>Persons wanted for extradition (Article 26 – SIS II Dec.)</w:t>
      </w:r>
    </w:p>
    <w:p w14:paraId="185A3978" w14:textId="77777777" w:rsidR="00393768" w:rsidRPr="00681C0B" w:rsidRDefault="00393768" w:rsidP="00681C0B">
      <w:pPr>
        <w:numPr>
          <w:ilvl w:val="0"/>
          <w:numId w:val="1"/>
        </w:numPr>
      </w:pPr>
      <w:r w:rsidRPr="00681C0B">
        <w:t>Missing persons (Article 32 SIS II Dec.)</w:t>
      </w:r>
    </w:p>
    <w:p w14:paraId="585B6737" w14:textId="77777777" w:rsidR="00393768" w:rsidRPr="00681C0B" w:rsidRDefault="00393768" w:rsidP="00681C0B">
      <w:pPr>
        <w:numPr>
          <w:ilvl w:val="0"/>
          <w:numId w:val="1"/>
        </w:numPr>
      </w:pPr>
      <w:r w:rsidRPr="00681C0B">
        <w:t>People wanted for judicial purposes (Article 34 – SIS II Dec.)</w:t>
      </w:r>
    </w:p>
    <w:p w14:paraId="459392C7" w14:textId="77777777" w:rsidR="00393768" w:rsidRPr="00681C0B" w:rsidRDefault="00393768" w:rsidP="00681C0B">
      <w:pPr>
        <w:numPr>
          <w:ilvl w:val="0"/>
          <w:numId w:val="1"/>
        </w:numPr>
      </w:pPr>
      <w:r w:rsidRPr="00681C0B">
        <w:t>People or vehicles requiring discreet checks (Article 36(2) and (3) – SIS II Dec.)</w:t>
      </w:r>
    </w:p>
    <w:p w14:paraId="4972C86A" w14:textId="77777777" w:rsidR="00393768" w:rsidRPr="00681C0B" w:rsidRDefault="00393768" w:rsidP="00681C0B">
      <w:pPr>
        <w:numPr>
          <w:ilvl w:val="0"/>
          <w:numId w:val="1"/>
        </w:numPr>
      </w:pPr>
      <w:r w:rsidRPr="00681C0B">
        <w:t>Misappropriated, lost or stolen objects sought for the purposes of seizure or evidential purposes (Article 38 – SIS II Dec.).</w:t>
      </w:r>
      <w:r w:rsidRPr="00681C0B">
        <w:rPr>
          <w:vertAlign w:val="superscript"/>
        </w:rPr>
        <w:footnoteReference w:id="38"/>
      </w:r>
    </w:p>
    <w:p w14:paraId="7F410251" w14:textId="77777777" w:rsidR="006719B2" w:rsidRDefault="006719B2" w:rsidP="00681C0B"/>
    <w:p w14:paraId="3E77CBBD" w14:textId="1BBB65E7" w:rsidR="00393768" w:rsidRPr="00681C0B" w:rsidRDefault="00393768" w:rsidP="00D337C2">
      <w:pPr>
        <w:spacing w:line="360" w:lineRule="auto"/>
      </w:pPr>
      <w:r w:rsidRPr="00681C0B">
        <w:t xml:space="preserve">The purpose of SIS is ultimately to make Europe safer, by assisting the competent authorities to preserve internal security (specifically aimed at an EU – which has open </w:t>
      </w:r>
      <w:proofErr w:type="gramStart"/>
      <w:r w:rsidRPr="00681C0B">
        <w:t>borders</w:t>
      </w:r>
      <w:proofErr w:type="gramEnd"/>
      <w:r w:rsidRPr="00681C0B">
        <w:t xml:space="preserve"> and which therefore facilitates the ease of free movement – persons, services and goods).</w:t>
      </w:r>
    </w:p>
    <w:p w14:paraId="2F858367" w14:textId="77777777" w:rsidR="00C92CAD" w:rsidRDefault="00C92CAD" w:rsidP="00681C0B"/>
    <w:p w14:paraId="14CFF47E" w14:textId="1444D3FE" w:rsidR="00393768" w:rsidRPr="00681C0B" w:rsidRDefault="00393768" w:rsidP="00681C0B">
      <w:r w:rsidRPr="00681C0B">
        <w:t>The scope of SIS is defined by three legislative instruments:</w:t>
      </w:r>
    </w:p>
    <w:p w14:paraId="08E34FA8" w14:textId="77777777" w:rsidR="00393768" w:rsidRPr="00681C0B" w:rsidRDefault="00393768" w:rsidP="00681C0B">
      <w:pPr>
        <w:numPr>
          <w:ilvl w:val="0"/>
          <w:numId w:val="2"/>
        </w:numPr>
      </w:pPr>
      <w:r w:rsidRPr="00681C0B">
        <w:t>Border Control cooperation</w:t>
      </w:r>
      <w:r w:rsidRPr="00681C0B">
        <w:rPr>
          <w:vertAlign w:val="superscript"/>
        </w:rPr>
        <w:footnoteReference w:id="39"/>
      </w:r>
    </w:p>
    <w:p w14:paraId="13739742" w14:textId="77777777" w:rsidR="00393768" w:rsidRPr="00681C0B" w:rsidRDefault="00393768" w:rsidP="00681C0B">
      <w:pPr>
        <w:numPr>
          <w:ilvl w:val="0"/>
          <w:numId w:val="2"/>
        </w:numPr>
      </w:pPr>
      <w:r w:rsidRPr="00681C0B">
        <w:lastRenderedPageBreak/>
        <w:t>Law enforcement cooperation</w:t>
      </w:r>
      <w:r w:rsidRPr="00681C0B">
        <w:rPr>
          <w:vertAlign w:val="superscript"/>
        </w:rPr>
        <w:footnoteReference w:id="40"/>
      </w:r>
    </w:p>
    <w:p w14:paraId="547E6D6E" w14:textId="77777777" w:rsidR="00393768" w:rsidRPr="00681C0B" w:rsidRDefault="00393768" w:rsidP="00681C0B">
      <w:pPr>
        <w:numPr>
          <w:ilvl w:val="0"/>
          <w:numId w:val="2"/>
        </w:numPr>
      </w:pPr>
      <w:r w:rsidRPr="00681C0B">
        <w:t>Cooperation on vehicle registrations</w:t>
      </w:r>
      <w:r w:rsidRPr="00681C0B">
        <w:rPr>
          <w:vertAlign w:val="superscript"/>
        </w:rPr>
        <w:footnoteReference w:id="41"/>
      </w:r>
    </w:p>
    <w:p w14:paraId="1139067B" w14:textId="1DE6263A" w:rsidR="00393768" w:rsidRDefault="00393768" w:rsidP="00681C0B">
      <w:pPr>
        <w:jc w:val="center"/>
      </w:pPr>
    </w:p>
    <w:p w14:paraId="21554F52" w14:textId="77777777" w:rsidR="00D337C2" w:rsidRPr="00681C0B" w:rsidRDefault="00D337C2" w:rsidP="00681C0B">
      <w:pPr>
        <w:jc w:val="center"/>
      </w:pPr>
    </w:p>
    <w:p w14:paraId="70CDB002" w14:textId="339ECFAA" w:rsidR="00D337C2" w:rsidRDefault="00393768" w:rsidP="00516754">
      <w:pPr>
        <w:pStyle w:val="ListParagraph"/>
        <w:numPr>
          <w:ilvl w:val="0"/>
          <w:numId w:val="27"/>
        </w:numPr>
        <w:spacing w:line="360" w:lineRule="auto"/>
        <w:rPr>
          <w:b/>
          <w:bCs/>
        </w:rPr>
      </w:pPr>
      <w:r w:rsidRPr="00D337C2">
        <w:rPr>
          <w:b/>
          <w:bCs/>
        </w:rPr>
        <w:t>The European Union</w:t>
      </w:r>
    </w:p>
    <w:p w14:paraId="6E9175E3" w14:textId="77777777" w:rsidR="00516754" w:rsidRPr="00516754" w:rsidRDefault="00516754" w:rsidP="00516754">
      <w:pPr>
        <w:spacing w:line="360" w:lineRule="auto"/>
        <w:rPr>
          <w:b/>
          <w:bCs/>
        </w:rPr>
      </w:pPr>
    </w:p>
    <w:p w14:paraId="2EB31A48" w14:textId="3192800A" w:rsidR="00393768" w:rsidRPr="008257CA" w:rsidRDefault="00393768" w:rsidP="00D337C2">
      <w:pPr>
        <w:spacing w:line="360" w:lineRule="auto"/>
        <w:rPr>
          <w:i/>
          <w:iCs/>
        </w:rPr>
      </w:pPr>
      <w:r w:rsidRPr="00681C0B">
        <w:t xml:space="preserve">Police Cooperation sits within the Migration and Home Affairs </w:t>
      </w:r>
      <w:r>
        <w:t>(MHA</w:t>
      </w:r>
      <w:r w:rsidR="00173EA8">
        <w:rPr>
          <w:rStyle w:val="FootnoteReference"/>
        </w:rPr>
        <w:footnoteReference w:id="42"/>
      </w:r>
      <w:r>
        <w:t xml:space="preserve">) </w:t>
      </w:r>
      <w:r w:rsidRPr="00681C0B">
        <w:t>Directorate General (DG) at the European Commission</w:t>
      </w:r>
      <w:r>
        <w:t>, which</w:t>
      </w:r>
      <w:r w:rsidRPr="00681C0B">
        <w:t xml:space="preserve"> covers a number of </w:t>
      </w:r>
      <w:r>
        <w:t xml:space="preserve">(related) </w:t>
      </w:r>
      <w:r w:rsidRPr="00681C0B">
        <w:t>areas</w:t>
      </w:r>
      <w:r>
        <w:rPr>
          <w:rStyle w:val="FootnoteReference"/>
        </w:rPr>
        <w:footnoteReference w:id="43"/>
      </w:r>
      <w:r>
        <w:t xml:space="preserve"> (many aspects of which are be discussed/touched on in the context of this paper in respect to cooperation). The</w:t>
      </w:r>
      <w:r w:rsidRPr="00681C0B">
        <w:t xml:space="preserve"> remit</w:t>
      </w:r>
      <w:r>
        <w:t xml:space="preserve"> and focus</w:t>
      </w:r>
      <w:r w:rsidRPr="00681C0B">
        <w:t xml:space="preserve"> </w:t>
      </w:r>
      <w:r>
        <w:t xml:space="preserve">of the DG </w:t>
      </w:r>
      <w:proofErr w:type="gramStart"/>
      <w:r w:rsidRPr="00681C0B">
        <w:t>is</w:t>
      </w:r>
      <w:proofErr w:type="gramEnd"/>
      <w:r w:rsidRPr="00681C0B">
        <w:t xml:space="preserve"> to</w:t>
      </w:r>
      <w:r>
        <w:t>,</w:t>
      </w:r>
      <w:r w:rsidRPr="00681C0B">
        <w:t xml:space="preserve"> “</w:t>
      </w:r>
      <w:r w:rsidRPr="00681C0B">
        <w:rPr>
          <w:i/>
          <w:iCs/>
        </w:rPr>
        <w:t xml:space="preserve">manage policies that aim at ensuring that all activities necessary and beneficial to the economic, cultural and social growth of the EU may develop in a stable, lawful and secure environment. More specifically </w:t>
      </w:r>
      <w:proofErr w:type="gramStart"/>
      <w:r w:rsidR="00A044DD">
        <w:rPr>
          <w:i/>
          <w:iCs/>
        </w:rPr>
        <w:t>…..</w:t>
      </w:r>
      <w:proofErr w:type="gramEnd"/>
      <w:r w:rsidRPr="00681C0B">
        <w:rPr>
          <w:i/>
          <w:iCs/>
        </w:rPr>
        <w:t xml:space="preserve"> to build an open and safer Europe</w:t>
      </w:r>
      <w:r w:rsidRPr="00681C0B">
        <w:t>.”</w:t>
      </w:r>
      <w:r w:rsidRPr="00681C0B">
        <w:rPr>
          <w:vertAlign w:val="superscript"/>
        </w:rPr>
        <w:footnoteReference w:id="44"/>
      </w:r>
      <w:r w:rsidRPr="00681C0B">
        <w:t xml:space="preserve"> Whilst reference is made to safety this obviously has an overlap into the area of security;</w:t>
      </w:r>
      <w:r w:rsidRPr="00681C0B">
        <w:rPr>
          <w:vertAlign w:val="superscript"/>
        </w:rPr>
        <w:footnoteReference w:id="45"/>
      </w:r>
      <w:r w:rsidRPr="00681C0B">
        <w:t xml:space="preserve"> recognising also, that policing and security, by their very nature, cross into other </w:t>
      </w:r>
      <w:r w:rsidRPr="00681C0B">
        <w:lastRenderedPageBreak/>
        <w:t>policy areas of the EU (for example, transport</w:t>
      </w:r>
      <w:r w:rsidRPr="00681C0B">
        <w:rPr>
          <w:vertAlign w:val="superscript"/>
        </w:rPr>
        <w:footnoteReference w:id="46"/>
      </w:r>
      <w:r w:rsidRPr="00681C0B">
        <w:t xml:space="preserve"> and free movement</w:t>
      </w:r>
      <w:r w:rsidRPr="00681C0B">
        <w:rPr>
          <w:vertAlign w:val="superscript"/>
        </w:rPr>
        <w:footnoteReference w:id="47"/>
      </w:r>
      <w:r w:rsidR="00B45F78">
        <w:t xml:space="preserve"> as previously discussed</w:t>
      </w:r>
      <w:r w:rsidRPr="00681C0B">
        <w:t xml:space="preserve">). </w:t>
      </w:r>
    </w:p>
    <w:p w14:paraId="28040DAE" w14:textId="77777777" w:rsidR="00393768" w:rsidRPr="00681C0B" w:rsidRDefault="00393768" w:rsidP="00681C0B"/>
    <w:p w14:paraId="0D6EA559" w14:textId="20511D47" w:rsidR="00393768" w:rsidRDefault="00393768" w:rsidP="00D337C2">
      <w:pPr>
        <w:spacing w:line="360" w:lineRule="auto"/>
      </w:pPr>
      <w:r>
        <w:t>The origins of police cooperation are traceable back to 1976 and what was known as the ‘</w:t>
      </w:r>
      <w:proofErr w:type="spellStart"/>
      <w:r>
        <w:t>Trevi</w:t>
      </w:r>
      <w:proofErr w:type="spellEnd"/>
      <w:r>
        <w:t xml:space="preserve"> Group.’ This was based on an intergovernmental network and approach and was later followed under the </w:t>
      </w:r>
      <w:proofErr w:type="spellStart"/>
      <w:r>
        <w:t>Prüm</w:t>
      </w:r>
      <w:proofErr w:type="spellEnd"/>
      <w:r>
        <w:t xml:space="preserve"> Treaty.</w:t>
      </w:r>
      <w:r>
        <w:rPr>
          <w:rStyle w:val="FootnoteReference"/>
        </w:rPr>
        <w:footnoteReference w:id="48"/>
      </w:r>
      <w:r>
        <w:t xml:space="preserve"> </w:t>
      </w:r>
    </w:p>
    <w:p w14:paraId="62DCE390" w14:textId="77777777" w:rsidR="00393768" w:rsidRPr="00681C0B" w:rsidRDefault="00393768" w:rsidP="00D337C2">
      <w:pPr>
        <w:spacing w:line="360" w:lineRule="auto"/>
      </w:pPr>
    </w:p>
    <w:p w14:paraId="38267AEC" w14:textId="0A7F4643" w:rsidR="00393768" w:rsidRPr="00681C0B" w:rsidRDefault="00393768" w:rsidP="00D337C2">
      <w:pPr>
        <w:spacing w:line="360" w:lineRule="auto"/>
      </w:pPr>
      <w:r w:rsidRPr="00681C0B">
        <w:t>Prior to the Treaty of Lisbon</w:t>
      </w:r>
      <w:r>
        <w:rPr>
          <w:rStyle w:val="FootnoteReference"/>
        </w:rPr>
        <w:footnoteReference w:id="49"/>
      </w:r>
      <w:r w:rsidRPr="00681C0B">
        <w:t xml:space="preserve"> there had been a three-pillar system:</w:t>
      </w:r>
      <w:r>
        <w:rPr>
          <w:rStyle w:val="FootnoteReference"/>
        </w:rPr>
        <w:footnoteReference w:id="50"/>
      </w:r>
      <w:r w:rsidRPr="00681C0B">
        <w:t xml:space="preserve"> (</w:t>
      </w:r>
      <w:r w:rsidR="008278EF">
        <w:t>Figure</w:t>
      </w:r>
      <w:r w:rsidRPr="00681C0B">
        <w:t xml:space="preserve"> </w:t>
      </w:r>
      <w:r w:rsidR="00193552">
        <w:t>3</w:t>
      </w:r>
      <w:r w:rsidRPr="00681C0B">
        <w:t>: EU structure before Lisbon). Under the Maastricht Treaty</w:t>
      </w:r>
      <w:r w:rsidRPr="00681C0B">
        <w:rPr>
          <w:vertAlign w:val="superscript"/>
        </w:rPr>
        <w:footnoteReference w:id="51"/>
      </w:r>
      <w:r w:rsidRPr="00681C0B">
        <w:t xml:space="preserve"> pillar-three related to the Communities external borders; combating terrorism, serious crime, drug trafficking and international fraud.  It also </w:t>
      </w:r>
      <w:r>
        <w:t>encompassed</w:t>
      </w:r>
      <w:r w:rsidRPr="00681C0B">
        <w:t xml:space="preserve"> judicial cooperation in both criminal and civil </w:t>
      </w:r>
      <w:proofErr w:type="gramStart"/>
      <w:r w:rsidRPr="00681C0B">
        <w:t>matters;</w:t>
      </w:r>
      <w:proofErr w:type="gramEnd"/>
      <w:r w:rsidRPr="00681C0B">
        <w:t xml:space="preserve"> controlling illegal immigration and a common asylum policy. </w:t>
      </w:r>
      <w:r>
        <w:t xml:space="preserve"> Over time this, cooperative basis has been further strengthened – including by related (EU) legislative acts. </w:t>
      </w:r>
    </w:p>
    <w:p w14:paraId="4CFEFC54" w14:textId="38D11884" w:rsidR="00393768" w:rsidRPr="005745EE" w:rsidRDefault="00393768" w:rsidP="005745EE">
      <w:pPr>
        <w:jc w:val="center"/>
      </w:pPr>
      <w:r w:rsidRPr="005745EE">
        <w:rPr>
          <w:noProof/>
        </w:rPr>
        <w:drawing>
          <wp:inline distT="0" distB="0" distL="0" distR="0" wp14:anchorId="5F91A8F2" wp14:editId="0D4E06DE">
            <wp:extent cx="4140724" cy="3450756"/>
            <wp:effectExtent l="0" t="0" r="0" b="381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67197" cy="3472818"/>
                    </a:xfrm>
                    <a:prstGeom prst="rect">
                      <a:avLst/>
                    </a:prstGeom>
                  </pic:spPr>
                </pic:pic>
              </a:graphicData>
            </a:graphic>
          </wp:inline>
        </w:drawing>
      </w:r>
    </w:p>
    <w:p w14:paraId="5CE9F1CC" w14:textId="41524003" w:rsidR="00393768" w:rsidRDefault="008278EF" w:rsidP="00FE63B7">
      <w:pPr>
        <w:jc w:val="center"/>
        <w:rPr>
          <w:sz w:val="21"/>
          <w:szCs w:val="21"/>
        </w:rPr>
      </w:pPr>
      <w:r>
        <w:rPr>
          <w:b/>
          <w:bCs/>
          <w:sz w:val="21"/>
          <w:szCs w:val="21"/>
        </w:rPr>
        <w:lastRenderedPageBreak/>
        <w:t>Figure</w:t>
      </w:r>
      <w:r w:rsidR="00393768" w:rsidRPr="00681C0B">
        <w:rPr>
          <w:b/>
          <w:bCs/>
          <w:sz w:val="21"/>
          <w:szCs w:val="21"/>
        </w:rPr>
        <w:t xml:space="preserve"> </w:t>
      </w:r>
      <w:r w:rsidR="00193552">
        <w:rPr>
          <w:b/>
          <w:bCs/>
          <w:sz w:val="21"/>
          <w:szCs w:val="21"/>
        </w:rPr>
        <w:t>3</w:t>
      </w:r>
      <w:r w:rsidR="00393768" w:rsidRPr="00681C0B">
        <w:rPr>
          <w:sz w:val="21"/>
          <w:szCs w:val="21"/>
        </w:rPr>
        <w:t>: Three-Pillar EU system (prior to Lisbon)</w:t>
      </w:r>
    </w:p>
    <w:p w14:paraId="551D2DD9" w14:textId="1BC73188" w:rsidR="002B0374" w:rsidRPr="00FE63B7" w:rsidRDefault="002B0374" w:rsidP="002B0374">
      <w:pPr>
        <w:rPr>
          <w:sz w:val="21"/>
          <w:szCs w:val="21"/>
        </w:rPr>
      </w:pPr>
      <w:r>
        <w:rPr>
          <w:sz w:val="21"/>
          <w:szCs w:val="21"/>
        </w:rPr>
        <w:tab/>
      </w:r>
      <w:r>
        <w:rPr>
          <w:sz w:val="21"/>
          <w:szCs w:val="21"/>
        </w:rPr>
        <w:tab/>
      </w:r>
      <w:r>
        <w:rPr>
          <w:sz w:val="21"/>
          <w:szCs w:val="21"/>
        </w:rPr>
        <w:tab/>
      </w:r>
      <w:r>
        <w:rPr>
          <w:sz w:val="21"/>
          <w:szCs w:val="21"/>
        </w:rPr>
        <w:tab/>
        <w:t xml:space="preserve">         (Source: author)</w:t>
      </w:r>
    </w:p>
    <w:p w14:paraId="48439CF6" w14:textId="77777777" w:rsidR="00934A38" w:rsidRDefault="00934A38" w:rsidP="009039FB">
      <w:pPr>
        <w:pStyle w:val="NormalWeb"/>
        <w:spacing w:before="0" w:beforeAutospacing="0" w:after="0" w:afterAutospacing="0" w:line="480" w:lineRule="auto"/>
      </w:pPr>
    </w:p>
    <w:p w14:paraId="78179D96" w14:textId="7AB68CC7" w:rsidR="00393768" w:rsidRPr="00E34EF1" w:rsidRDefault="00393768" w:rsidP="00D337C2">
      <w:pPr>
        <w:pStyle w:val="NormalWeb"/>
        <w:spacing w:before="0" w:beforeAutospacing="0" w:after="0" w:afterAutospacing="0" w:line="360" w:lineRule="auto"/>
        <w:rPr>
          <w:color w:val="1E1E1F"/>
        </w:rPr>
      </w:pPr>
      <w:r w:rsidRPr="00681C0B">
        <w:t xml:space="preserve">The Amsterdam </w:t>
      </w:r>
      <w:r w:rsidRPr="009039FB">
        <w:t>Treaty</w:t>
      </w:r>
      <w:r w:rsidRPr="009039FB">
        <w:rPr>
          <w:rStyle w:val="FootnoteReference"/>
        </w:rPr>
        <w:footnoteReference w:id="52"/>
      </w:r>
      <w:r w:rsidRPr="009039FB">
        <w:t xml:space="preserve"> resulted in (amongst other changes) revisions and movements across pillars. </w:t>
      </w:r>
      <w:r w:rsidRPr="009039FB">
        <w:rPr>
          <w:color w:val="1E1E1F"/>
        </w:rPr>
        <w:t xml:space="preserve">The Community method now applied to some major areas which had previously been within the third pillar, such as asylum, immigration, crossing external borders, combating fraud, customs cooperation and judicial cooperation in civil matters. Additionally, some of the cooperation </w:t>
      </w:r>
      <w:r>
        <w:rPr>
          <w:color w:val="1E1E1F"/>
        </w:rPr>
        <w:t xml:space="preserve">arrangements </w:t>
      </w:r>
      <w:r w:rsidRPr="009039FB">
        <w:rPr>
          <w:color w:val="1E1E1F"/>
        </w:rPr>
        <w:t xml:space="preserve">under the Schengen Agreement, </w:t>
      </w:r>
      <w:r w:rsidRPr="00E34EF1">
        <w:rPr>
          <w:color w:val="1E1E1F"/>
        </w:rPr>
        <w:t xml:space="preserve">which </w:t>
      </w:r>
      <w:r>
        <w:rPr>
          <w:color w:val="1E1E1F"/>
        </w:rPr>
        <w:t>had been endorsed by the</w:t>
      </w:r>
      <w:r w:rsidRPr="00E34EF1">
        <w:rPr>
          <w:color w:val="1E1E1F"/>
        </w:rPr>
        <w:t xml:space="preserve"> EU and Communities w</w:t>
      </w:r>
      <w:r>
        <w:rPr>
          <w:color w:val="1E1E1F"/>
        </w:rPr>
        <w:t>ere</w:t>
      </w:r>
      <w:r w:rsidRPr="00E34EF1">
        <w:rPr>
          <w:color w:val="1E1E1F"/>
        </w:rPr>
        <w:t xml:space="preserve"> </w:t>
      </w:r>
      <w:r>
        <w:rPr>
          <w:color w:val="1E1E1F"/>
        </w:rPr>
        <w:t xml:space="preserve">also </w:t>
      </w:r>
      <w:r w:rsidRPr="00E34EF1">
        <w:rPr>
          <w:color w:val="1E1E1F"/>
        </w:rPr>
        <w:t xml:space="preserve">transferred. Intergovernmental cooperation in the areas of </w:t>
      </w:r>
      <w:r>
        <w:rPr>
          <w:color w:val="1E1E1F"/>
        </w:rPr>
        <w:t>P</w:t>
      </w:r>
      <w:r w:rsidRPr="00E34EF1">
        <w:rPr>
          <w:color w:val="1E1E1F"/>
        </w:rPr>
        <w:t xml:space="preserve">olice and </w:t>
      </w:r>
      <w:r>
        <w:rPr>
          <w:color w:val="1E1E1F"/>
        </w:rPr>
        <w:t>J</w:t>
      </w:r>
      <w:r w:rsidRPr="00E34EF1">
        <w:rPr>
          <w:color w:val="1E1E1F"/>
        </w:rPr>
        <w:t xml:space="preserve">udicial </w:t>
      </w:r>
      <w:r>
        <w:rPr>
          <w:color w:val="1E1E1F"/>
        </w:rPr>
        <w:t>C</w:t>
      </w:r>
      <w:r w:rsidRPr="00E34EF1">
        <w:rPr>
          <w:color w:val="1E1E1F"/>
        </w:rPr>
        <w:t>ooperation</w:t>
      </w:r>
      <w:r>
        <w:rPr>
          <w:color w:val="1E1E1F"/>
        </w:rPr>
        <w:t xml:space="preserve"> (PJCC - becoming the newer/revised name)</w:t>
      </w:r>
      <w:r w:rsidRPr="00E34EF1">
        <w:rPr>
          <w:color w:val="1E1E1F"/>
        </w:rPr>
        <w:t xml:space="preserve"> was also further strengthened by defining objectives and precise tasks and creating a new legal instrument similar to a directive. </w:t>
      </w:r>
      <w:r>
        <w:rPr>
          <w:color w:val="1E1E1F"/>
        </w:rPr>
        <w:t>For the first time also, general provisions were included which allowed Member States to take advantage of common institutions so as to develop closer cooperation between themselves ‘</w:t>
      </w:r>
      <w:r w:rsidRPr="00120F63">
        <w:rPr>
          <w:i/>
          <w:iCs/>
          <w:color w:val="1E1E1F"/>
        </w:rPr>
        <w:t>should they wish</w:t>
      </w:r>
      <w:r>
        <w:rPr>
          <w:color w:val="1E1E1F"/>
        </w:rPr>
        <w:t xml:space="preserve">’ (or be willing to do so). </w:t>
      </w:r>
    </w:p>
    <w:p w14:paraId="14BD5CF4" w14:textId="6F10F3F7" w:rsidR="00393768" w:rsidRDefault="00393768" w:rsidP="0000500B"/>
    <w:p w14:paraId="1436A3AC" w14:textId="423F13EE" w:rsidR="00393768" w:rsidRDefault="00393768" w:rsidP="00B51040">
      <w:pPr>
        <w:spacing w:line="360" w:lineRule="auto"/>
      </w:pPr>
      <w:r>
        <w:t xml:space="preserve">The Lisbon Treaty removed the three-pillar structure. The legal basis for police cooperation is now Article 33 </w:t>
      </w:r>
      <w:r w:rsidRPr="001A33B2">
        <w:rPr>
          <w:color w:val="000000" w:themeColor="text1"/>
        </w:rPr>
        <w:t>(customs cooperation) 87, 88 and 89 of the Treaty on the Functioning of the European Union.</w:t>
      </w:r>
      <w:r w:rsidRPr="001A33B2">
        <w:rPr>
          <w:rStyle w:val="FootnoteReference"/>
          <w:color w:val="000000" w:themeColor="text1"/>
        </w:rPr>
        <w:footnoteReference w:id="53"/>
      </w:r>
      <w:r w:rsidRPr="001A33B2">
        <w:rPr>
          <w:color w:val="000000" w:themeColor="text1"/>
        </w:rPr>
        <w:t xml:space="preserve">  </w:t>
      </w:r>
      <w:r>
        <w:t xml:space="preserve">Effective police cooperation remains an essential part in making the Union an Area of Freedom, Security and Justice </w:t>
      </w:r>
      <w:r w:rsidR="00A044DD">
        <w:t>–</w:t>
      </w:r>
      <w:r>
        <w:t xml:space="preserve"> </w:t>
      </w:r>
      <w:r w:rsidR="00A044DD">
        <w:t>‘</w:t>
      </w:r>
      <w:r>
        <w:t>FSJ</w:t>
      </w:r>
      <w:r w:rsidR="00A044DD">
        <w:t>’</w:t>
      </w:r>
      <w:r>
        <w:t xml:space="preserve"> (which also respects the key area of fundamental rights). Noting, according to Article 4 TFEU, FSJ is a shared competence between the EU and the Member States.</w:t>
      </w:r>
      <w:r>
        <w:rPr>
          <w:rStyle w:val="FootnoteReference"/>
        </w:rPr>
        <w:footnoteReference w:id="54"/>
      </w:r>
    </w:p>
    <w:p w14:paraId="01A3706E" w14:textId="77777777" w:rsidR="00393768" w:rsidRDefault="00393768" w:rsidP="00B51040">
      <w:pPr>
        <w:spacing w:line="360" w:lineRule="auto"/>
      </w:pPr>
    </w:p>
    <w:p w14:paraId="77D05625" w14:textId="63E16225" w:rsidR="00393768" w:rsidRDefault="00393768" w:rsidP="00B51040">
      <w:pPr>
        <w:spacing w:line="360" w:lineRule="auto"/>
      </w:pPr>
      <w:r>
        <w:t>This said, cross-border law enforcement cooperation involves really more players than just the police, it also concerns customs and border force agencies as well as other law enforcement</w:t>
      </w:r>
      <w:r w:rsidRPr="00112754">
        <w:t>/security</w:t>
      </w:r>
      <w:r>
        <w:t xml:space="preserve"> services. The cooperation largely relates to serious crimes – such as organised crime, drug trafficking, trafficking in humans, modern day slavery, terrorism and cybercrimes. The cooperation extends across the areas of prevention, detection and investigation of offences across the EU – effectively the focus remains on safety and security.</w:t>
      </w:r>
    </w:p>
    <w:p w14:paraId="6E83C87F" w14:textId="77777777" w:rsidR="00393768" w:rsidRDefault="00393768" w:rsidP="00B51040">
      <w:pPr>
        <w:spacing w:line="360" w:lineRule="auto"/>
      </w:pPr>
    </w:p>
    <w:p w14:paraId="786C2B89" w14:textId="2BF30479" w:rsidR="00393768" w:rsidRDefault="00393768" w:rsidP="00B51040">
      <w:pPr>
        <w:spacing w:line="360" w:lineRule="auto"/>
      </w:pPr>
      <w:r>
        <w:lastRenderedPageBreak/>
        <w:t>In this vein, recently (</w:t>
      </w:r>
      <w:proofErr w:type="gramStart"/>
      <w:r>
        <w:t>July,</w:t>
      </w:r>
      <w:proofErr w:type="gramEnd"/>
      <w:r>
        <w:t xml:space="preserve"> 2020) the EU has updated its Security Strategy</w:t>
      </w:r>
      <w:r>
        <w:rPr>
          <w:rStyle w:val="FootnoteReference"/>
        </w:rPr>
        <w:footnoteReference w:id="55"/>
      </w:r>
      <w:r>
        <w:t xml:space="preserve"> (for the period 2020-2025). Within it, four strategic priorities (pillars) are identified - namely:</w:t>
      </w:r>
    </w:p>
    <w:p w14:paraId="5B800B10" w14:textId="77777777" w:rsidR="009918AA" w:rsidRDefault="00393768" w:rsidP="009918AA">
      <w:pPr>
        <w:pStyle w:val="ListParagraph"/>
        <w:numPr>
          <w:ilvl w:val="0"/>
          <w:numId w:val="7"/>
        </w:numPr>
        <w:spacing w:line="360" w:lineRule="auto"/>
      </w:pPr>
      <w:r w:rsidRPr="00205DF0">
        <w:rPr>
          <w:b/>
          <w:bCs/>
        </w:rPr>
        <w:t>A future-proof security environment:</w:t>
      </w:r>
      <w:r>
        <w:t xml:space="preserve"> this area recognises that key infrastructure is vital – identifying in this regards, travel and public services, which need to be protected (physical and digital). Reference is made to the need to protect public spaces, identifying transport hubs and places of worship which have been the focus of many recent terrorist attacks.</w:t>
      </w:r>
      <w:r>
        <w:rPr>
          <w:rStyle w:val="FootnoteReference"/>
        </w:rPr>
        <w:footnoteReference w:id="56"/>
      </w:r>
    </w:p>
    <w:p w14:paraId="10B54FE6" w14:textId="04F8E544" w:rsidR="00393768" w:rsidRDefault="00393768" w:rsidP="009918AA">
      <w:pPr>
        <w:pStyle w:val="ListParagraph"/>
        <w:numPr>
          <w:ilvl w:val="0"/>
          <w:numId w:val="7"/>
        </w:numPr>
        <w:spacing w:line="360" w:lineRule="auto"/>
      </w:pPr>
      <w:r w:rsidRPr="009918AA">
        <w:rPr>
          <w:b/>
          <w:bCs/>
        </w:rPr>
        <w:t>Tackling evolving threats</w:t>
      </w:r>
      <w:r w:rsidRPr="00205DF0">
        <w:t>:</w:t>
      </w:r>
      <w:r>
        <w:t xml:space="preserve"> in this respect it is identified that the Commission intends to revisit existing rules in place relating to cybercrime. Identity theft is particularly singled out, and it is said that measures should be taken to enhance law enforcement capacity in respect to digital investigations with the Commission having already put forward a strategy to enhance more effective ‘fighting’ against child sexual abuse (again online). ‘</w:t>
      </w:r>
      <w:r w:rsidRPr="009918AA">
        <w:rPr>
          <w:i/>
          <w:iCs/>
        </w:rPr>
        <w:t>Hybrid threats</w:t>
      </w:r>
      <w:r>
        <w:t>’ are also identified within this area.</w:t>
      </w:r>
    </w:p>
    <w:p w14:paraId="6085AA71" w14:textId="6D7F24E2" w:rsidR="00393768" w:rsidRDefault="00393768" w:rsidP="009918AA">
      <w:pPr>
        <w:pStyle w:val="ListParagraph"/>
        <w:numPr>
          <w:ilvl w:val="0"/>
          <w:numId w:val="7"/>
        </w:numPr>
        <w:spacing w:line="360" w:lineRule="auto"/>
      </w:pPr>
      <w:r>
        <w:rPr>
          <w:b/>
          <w:bCs/>
        </w:rPr>
        <w:t>Protecting European from terrorism and organised crime</w:t>
      </w:r>
      <w:r w:rsidRPr="001101CB">
        <w:t>:</w:t>
      </w:r>
      <w:r>
        <w:t xml:space="preserve"> Anti-radicalisation is a prominent factor in this area – which will focus on early detection, resilience building and disengagement as well as rehabilitation and reintegration of those identified back into society. In addition to fighting what are seen as root causes – this pillar also aims to increase effective prosecution of terrorist (including those from outside the EU). </w:t>
      </w:r>
    </w:p>
    <w:p w14:paraId="7383ACD6" w14:textId="483C1989" w:rsidR="00393768" w:rsidRDefault="00393768" w:rsidP="00B51040">
      <w:pPr>
        <w:pStyle w:val="ListParagraph"/>
        <w:spacing w:line="360" w:lineRule="auto"/>
        <w:ind w:left="0"/>
      </w:pPr>
      <w:r>
        <w:lastRenderedPageBreak/>
        <w:t>In respect to organised crime – an Agenda for tackling such has been created</w:t>
      </w:r>
      <w:r w:rsidR="00367C4C">
        <w:t>,</w:t>
      </w:r>
      <w:r>
        <w:t xml:space="preserve"> which includes a sub-agenda specifically aimed at strengthening efforts to tackle drugs (demand and supply) and an agenda to tackle firearms trafficking (which has obvious links to terrorism).</w:t>
      </w:r>
    </w:p>
    <w:p w14:paraId="4C29F47C" w14:textId="7C803FFC" w:rsidR="00393768" w:rsidRDefault="00393768" w:rsidP="00B51040">
      <w:pPr>
        <w:pStyle w:val="ListParagraph"/>
        <w:spacing w:line="360" w:lineRule="auto"/>
        <w:ind w:left="0"/>
      </w:pPr>
      <w:r>
        <w:t xml:space="preserve">Also </w:t>
      </w:r>
      <w:r w:rsidRPr="00351167">
        <w:t>targeted</w:t>
      </w:r>
      <w:r>
        <w:t xml:space="preserve"> under this pillar is migrant smuggling and criminal asset seizure.</w:t>
      </w:r>
    </w:p>
    <w:p w14:paraId="6A191ECC" w14:textId="080FDA9A" w:rsidR="00393768" w:rsidRDefault="00393768" w:rsidP="009918AA">
      <w:pPr>
        <w:pStyle w:val="ListParagraph"/>
        <w:numPr>
          <w:ilvl w:val="0"/>
          <w:numId w:val="7"/>
        </w:numPr>
        <w:spacing w:line="360" w:lineRule="auto"/>
      </w:pPr>
      <w:r>
        <w:rPr>
          <w:b/>
          <w:bCs/>
        </w:rPr>
        <w:t xml:space="preserve">A strong European Security ecosystem: </w:t>
      </w:r>
      <w:r>
        <w:t>within this it is stressed that security needs to be viewed as everyone in Europe’s common goal and responsibility (not just LEA’s).</w:t>
      </w:r>
    </w:p>
    <w:p w14:paraId="3786E81F" w14:textId="77777777" w:rsidR="00F94314" w:rsidRDefault="00F94314" w:rsidP="00B51040">
      <w:pPr>
        <w:spacing w:line="360" w:lineRule="auto"/>
      </w:pPr>
    </w:p>
    <w:p w14:paraId="50CA97C8" w14:textId="432DA719" w:rsidR="00393768" w:rsidRDefault="00393768" w:rsidP="00B51040">
      <w:pPr>
        <w:spacing w:line="360" w:lineRule="auto"/>
      </w:pPr>
      <w:r>
        <w:t xml:space="preserve">Throughout the Strategy (and </w:t>
      </w:r>
      <w:r w:rsidR="00084C7D">
        <w:t xml:space="preserve">threaded </w:t>
      </w:r>
      <w:r>
        <w:t xml:space="preserve">within all pillars) – cooperation is </w:t>
      </w:r>
      <w:r w:rsidR="00084C7D">
        <w:t>acknowledged</w:t>
      </w:r>
      <w:r>
        <w:t xml:space="preserve"> as </w:t>
      </w:r>
      <w:r w:rsidR="00084C7D">
        <w:t xml:space="preserve">being a </w:t>
      </w:r>
      <w:r>
        <w:t>key</w:t>
      </w:r>
      <w:r w:rsidR="00084C7D">
        <w:t xml:space="preserve"> component</w:t>
      </w:r>
      <w:r>
        <w:t xml:space="preserve">, which includes the extension outside of the EU including with other ‘partners,’ such as Interpol. </w:t>
      </w:r>
    </w:p>
    <w:p w14:paraId="00261EA3" w14:textId="77777777" w:rsidR="00393768" w:rsidRDefault="00393768" w:rsidP="00B51040">
      <w:pPr>
        <w:spacing w:line="360" w:lineRule="auto"/>
      </w:pPr>
    </w:p>
    <w:p w14:paraId="1794A489" w14:textId="1C723286" w:rsidR="004F6380" w:rsidRDefault="00815C9B" w:rsidP="00B51040">
      <w:pPr>
        <w:spacing w:line="360" w:lineRule="auto"/>
      </w:pPr>
      <w:r w:rsidRPr="000570C9">
        <w:t>This</w:t>
      </w:r>
      <w:r w:rsidR="00393768" w:rsidRPr="000570C9">
        <w:t xml:space="preserve"> </w:t>
      </w:r>
      <w:r w:rsidR="00F94314" w:rsidRPr="000570C9">
        <w:t>S</w:t>
      </w:r>
      <w:r w:rsidR="00393768" w:rsidRPr="000570C9">
        <w:t xml:space="preserve">trategy </w:t>
      </w:r>
      <w:r w:rsidR="00084C7D" w:rsidRPr="000570C9">
        <w:t>identifies</w:t>
      </w:r>
      <w:r w:rsidR="00393768" w:rsidRPr="000570C9">
        <w:t xml:space="preserve"> the importance of</w:t>
      </w:r>
      <w:r w:rsidR="00F94314" w:rsidRPr="000570C9">
        <w:t xml:space="preserve"> </w:t>
      </w:r>
      <w:r w:rsidR="00393768" w:rsidRPr="000570C9">
        <w:t>transport</w:t>
      </w:r>
      <w:r w:rsidR="00084C7D" w:rsidRPr="000570C9">
        <w:t xml:space="preserve"> </w:t>
      </w:r>
      <w:r w:rsidR="00187012" w:rsidRPr="000570C9">
        <w:t>– the modes and hubs</w:t>
      </w:r>
      <w:r w:rsidR="00F94314" w:rsidRPr="000570C9">
        <w:t>,</w:t>
      </w:r>
      <w:r w:rsidR="00084C7D" w:rsidRPr="000570C9">
        <w:t xml:space="preserve"> and the risk to these systems,</w:t>
      </w:r>
      <w:r w:rsidR="00F94314" w:rsidRPr="000570C9">
        <w:t xml:space="preserve"> as well as other valuable but vulnerable critical national and regional infrastructure(s) and open spaces.</w:t>
      </w:r>
      <w:r w:rsidR="00187012" w:rsidRPr="000570C9">
        <w:t xml:space="preserve"> It reinforces th</w:t>
      </w:r>
      <w:r w:rsidR="00F94314" w:rsidRPr="000570C9">
        <w:t>is</w:t>
      </w:r>
      <w:r w:rsidR="00187012" w:rsidRPr="000570C9">
        <w:t xml:space="preserve"> link and synergy in </w:t>
      </w:r>
      <w:r w:rsidR="00C67210" w:rsidRPr="000570C9">
        <w:t>respect</w:t>
      </w:r>
      <w:r w:rsidR="00187012" w:rsidRPr="000570C9">
        <w:t xml:space="preserve"> of </w:t>
      </w:r>
      <w:r w:rsidR="00F94314" w:rsidRPr="000570C9">
        <w:t xml:space="preserve">the need to protect the users and general public – in terms of </w:t>
      </w:r>
      <w:r w:rsidR="004F6380" w:rsidRPr="000570C9">
        <w:t xml:space="preserve">keeping them </w:t>
      </w:r>
      <w:r w:rsidR="00F94314" w:rsidRPr="000570C9">
        <w:t>safe</w:t>
      </w:r>
      <w:r w:rsidR="004F6380" w:rsidRPr="000570C9">
        <w:t xml:space="preserve"> from</w:t>
      </w:r>
      <w:r w:rsidR="00F94314" w:rsidRPr="000570C9">
        <w:t xml:space="preserve"> </w:t>
      </w:r>
      <w:r w:rsidR="004F6380" w:rsidRPr="000570C9">
        <w:t>terrorism</w:t>
      </w:r>
      <w:r w:rsidR="00F94314" w:rsidRPr="000570C9">
        <w:t xml:space="preserve"> or </w:t>
      </w:r>
      <w:r w:rsidR="004F6380" w:rsidRPr="000570C9">
        <w:t>other security</w:t>
      </w:r>
      <w:r w:rsidR="00F94314" w:rsidRPr="000570C9">
        <w:t xml:space="preserve"> threats.</w:t>
      </w:r>
      <w:r w:rsidR="00084C7D">
        <w:t xml:space="preserve"> </w:t>
      </w:r>
      <w:r w:rsidR="00393768">
        <w:t>This obviously extends into the realms of the cyber dimension, whereby contemporary, as well as more familiar risks (i.e. drugs and weapons) are clearly identified and articulated – however, the reference to ‘</w:t>
      </w:r>
      <w:r w:rsidR="00393768" w:rsidRPr="001634C4">
        <w:rPr>
          <w:i/>
          <w:iCs/>
        </w:rPr>
        <w:t>hybrid threats</w:t>
      </w:r>
      <w:r w:rsidR="00393768">
        <w:t xml:space="preserve">’ identifies that the physical world and cyber world will invariable begin to further link and merge – child sexual exploitation and extremism being perhaps the more obvious areas we are currently witnessing, but with the developing areas of artificial intelligence and the </w:t>
      </w:r>
      <w:r w:rsidR="004F6380">
        <w:t>Internet of Things (</w:t>
      </w:r>
      <w:r w:rsidR="00393768">
        <w:t>IoT</w:t>
      </w:r>
      <w:r w:rsidR="004F6380">
        <w:t>)</w:t>
      </w:r>
      <w:r w:rsidR="00393768">
        <w:t xml:space="preserve"> this threat is set to grow, as are the challenges to the police/LEA’s and society in general. </w:t>
      </w:r>
    </w:p>
    <w:p w14:paraId="05BB6722" w14:textId="77777777" w:rsidR="004F6380" w:rsidRDefault="004F6380" w:rsidP="00B51040">
      <w:pPr>
        <w:spacing w:line="360" w:lineRule="auto"/>
      </w:pPr>
    </w:p>
    <w:p w14:paraId="2D3BDA6B" w14:textId="28622AB6" w:rsidR="00393768" w:rsidRDefault="002B2905" w:rsidP="00B51040">
      <w:pPr>
        <w:spacing w:line="360" w:lineRule="auto"/>
      </w:pPr>
      <w:r w:rsidRPr="00095551">
        <w:t xml:space="preserve">This Strategy should be viewed as warning of the challenges that further technology advancements, together with travel/movements may, </w:t>
      </w:r>
      <w:r w:rsidRPr="00095551">
        <w:rPr>
          <w:i/>
          <w:iCs/>
        </w:rPr>
        <w:t>or inevitably, ‘will’</w:t>
      </w:r>
      <w:r w:rsidRPr="00095551">
        <w:t xml:space="preserve"> lead to</w:t>
      </w:r>
      <w:r w:rsidR="0005795E" w:rsidRPr="00095551">
        <w:t>,</w:t>
      </w:r>
      <w:r w:rsidRPr="00095551">
        <w:t xml:space="preserve"> and should be seen as asserting the need for more cooperation and agreements – in order th</w:t>
      </w:r>
      <w:r w:rsidR="001D73BE" w:rsidRPr="00095551">
        <w:t>at</w:t>
      </w:r>
      <w:r w:rsidRPr="00095551">
        <w:t xml:space="preserve"> policing can be more proactive – rather than responsive.</w:t>
      </w:r>
      <w:r w:rsidR="00393768" w:rsidRPr="00095551">
        <w:rPr>
          <w:rStyle w:val="FootnoteReference"/>
        </w:rPr>
        <w:footnoteReference w:id="57"/>
      </w:r>
      <w:r w:rsidR="00393768">
        <w:t xml:space="preserve">  </w:t>
      </w:r>
    </w:p>
    <w:p w14:paraId="1396302B" w14:textId="77777777" w:rsidR="00393768" w:rsidRDefault="00393768" w:rsidP="00B51040">
      <w:pPr>
        <w:spacing w:line="360" w:lineRule="auto"/>
      </w:pPr>
    </w:p>
    <w:p w14:paraId="2BFF4E99" w14:textId="78DC9B0B" w:rsidR="00393768" w:rsidRPr="00047B9B" w:rsidRDefault="00A044DD" w:rsidP="00B51040">
      <w:pPr>
        <w:spacing w:line="360" w:lineRule="auto"/>
        <w:rPr>
          <w:b/>
          <w:bCs/>
          <w:i/>
          <w:iCs/>
        </w:rPr>
      </w:pPr>
      <w:r>
        <w:rPr>
          <w:b/>
          <w:bCs/>
          <w:i/>
          <w:iCs/>
        </w:rPr>
        <w:lastRenderedPageBreak/>
        <w:t xml:space="preserve">3.1. </w:t>
      </w:r>
      <w:r w:rsidR="00393768" w:rsidRPr="00047B9B">
        <w:rPr>
          <w:b/>
          <w:bCs/>
          <w:i/>
          <w:iCs/>
        </w:rPr>
        <w:t>Communications and data exchange developments</w:t>
      </w:r>
    </w:p>
    <w:p w14:paraId="61072723" w14:textId="1CCDA675" w:rsidR="00393768" w:rsidRDefault="00393768" w:rsidP="00B51040">
      <w:pPr>
        <w:spacing w:line="360" w:lineRule="auto"/>
      </w:pPr>
      <w:r>
        <w:t>More than ever, communications and the willingness to share and coordinate (cooperate) – particularly, across borders and jurisdictions, is crucial to our developing world, and our safety</w:t>
      </w:r>
      <w:r w:rsidR="00A044DD">
        <w:t xml:space="preserve"> and security</w:t>
      </w:r>
      <w:r>
        <w:t xml:space="preserve">. </w:t>
      </w:r>
    </w:p>
    <w:p w14:paraId="461BAC16" w14:textId="23A577DF" w:rsidR="00393768" w:rsidRDefault="00393768" w:rsidP="00B51040">
      <w:pPr>
        <w:spacing w:line="360" w:lineRule="auto"/>
      </w:pPr>
    </w:p>
    <w:p w14:paraId="0FC2E6DD" w14:textId="1319B49A" w:rsidR="00393768" w:rsidRPr="007345B6" w:rsidRDefault="00393768" w:rsidP="00B51040">
      <w:pPr>
        <w:spacing w:line="360" w:lineRule="auto"/>
      </w:pPr>
      <w:r>
        <w:t xml:space="preserve">Whilst cooperation is key, that is not to say, that it is not </w:t>
      </w:r>
      <w:r w:rsidRPr="007345B6">
        <w:t>a complex system</w:t>
      </w:r>
      <w:r>
        <w:rPr>
          <w:rStyle w:val="FootnoteReference"/>
        </w:rPr>
        <w:footnoteReference w:id="58"/>
      </w:r>
      <w:r w:rsidRPr="007345B6">
        <w:t xml:space="preserve"> </w:t>
      </w:r>
      <w:r>
        <w:t>“</w:t>
      </w:r>
      <w:r w:rsidRPr="00A044DD">
        <w:rPr>
          <w:i/>
          <w:iCs/>
        </w:rPr>
        <w:t>of rules and actions that require competent bodies to have a broad knowledge of the EU acquis, nation- al legislations, and the legislations of individual states that directly participate</w:t>
      </w:r>
      <w:r w:rsidR="00A044DD">
        <w:t>.</w:t>
      </w:r>
      <w:r>
        <w:t>”</w:t>
      </w:r>
      <w:r w:rsidR="00A044DD">
        <w:rPr>
          <w:rStyle w:val="FootnoteReference"/>
        </w:rPr>
        <w:footnoteReference w:id="59"/>
      </w:r>
      <w:r>
        <w:t xml:space="preserve"> </w:t>
      </w:r>
    </w:p>
    <w:p w14:paraId="4D9F816C" w14:textId="431F7723" w:rsidR="00393768" w:rsidRDefault="00393768" w:rsidP="00B51040">
      <w:pPr>
        <w:spacing w:line="360" w:lineRule="auto"/>
      </w:pPr>
    </w:p>
    <w:p w14:paraId="1DF45D9C" w14:textId="239FF1BD" w:rsidR="00393768" w:rsidRDefault="00393768" w:rsidP="00B51040">
      <w:pPr>
        <w:spacing w:line="360" w:lineRule="auto"/>
      </w:pPr>
      <w:r>
        <w:t>Over the last 25-years, there has been</w:t>
      </w:r>
      <w:r w:rsidRPr="00DB13BA">
        <w:t xml:space="preserve"> continuous improvement</w:t>
      </w:r>
      <w:r>
        <w:t>s</w:t>
      </w:r>
      <w:r w:rsidRPr="00DB13BA">
        <w:t xml:space="preserve"> </w:t>
      </w:r>
      <w:r>
        <w:t>to facilitate the</w:t>
      </w:r>
      <w:r w:rsidRPr="00DB13BA">
        <w:t xml:space="preserve"> exchange of police information and data</w:t>
      </w:r>
      <w:r>
        <w:t>.</w:t>
      </w:r>
      <w:r>
        <w:rPr>
          <w:rStyle w:val="FootnoteReference"/>
        </w:rPr>
        <w:footnoteReference w:id="60"/>
      </w:r>
      <w:r w:rsidRPr="00DB13BA">
        <w:t xml:space="preserve"> </w:t>
      </w:r>
      <w:r>
        <w:t xml:space="preserve"> Hence cooperation extends, now, further, to include legislative ‘requirements’ to facilitate this across some areas, </w:t>
      </w:r>
      <w:proofErr w:type="gramStart"/>
      <w:r>
        <w:t>i.e.</w:t>
      </w:r>
      <w:proofErr w:type="gramEnd"/>
      <w:r>
        <w:t xml:space="preserve"> to ensure that data and information is shared. Most of these interventions are in the form of Regulations which become binding (as written) to EU Member States, for example:</w:t>
      </w:r>
    </w:p>
    <w:p w14:paraId="0FA32B7A" w14:textId="39269F04" w:rsidR="00393768" w:rsidRDefault="00CE25B3" w:rsidP="00F4122A">
      <w:pPr>
        <w:pStyle w:val="ListParagraph"/>
        <w:numPr>
          <w:ilvl w:val="0"/>
          <w:numId w:val="10"/>
        </w:numPr>
        <w:spacing w:line="360" w:lineRule="auto"/>
      </w:pPr>
      <w:r>
        <w:t xml:space="preserve">Europol: </w:t>
      </w:r>
      <w:r w:rsidR="00393768">
        <w:t>Reinforcing the role and coordination responsibilities of Europol</w:t>
      </w:r>
      <w:r w:rsidR="00393768">
        <w:rPr>
          <w:rStyle w:val="FootnoteReference"/>
        </w:rPr>
        <w:footnoteReference w:id="61"/>
      </w:r>
      <w:r w:rsidR="00393768">
        <w:t xml:space="preserve"> - specifically: ‘</w:t>
      </w:r>
      <w:r w:rsidR="00393768">
        <w:rPr>
          <w:i/>
          <w:iCs/>
        </w:rPr>
        <w:t xml:space="preserve">supporting and strengthening’ </w:t>
      </w:r>
      <w:r w:rsidR="00393768" w:rsidRPr="00612AF1">
        <w:t>– including,</w:t>
      </w:r>
      <w:r w:rsidR="00393768">
        <w:t xml:space="preserve"> the remit to, ‘</w:t>
      </w:r>
      <w:r w:rsidR="00393768" w:rsidRPr="00612AF1">
        <w:rPr>
          <w:i/>
          <w:iCs/>
        </w:rPr>
        <w:t>collect, store, process, analyse and exchange information, including criminal intelligence</w:t>
      </w:r>
      <w:r w:rsidR="00393768">
        <w:t>’ (Article 4.1.).</w:t>
      </w:r>
    </w:p>
    <w:p w14:paraId="4C4A94E1" w14:textId="1287407F" w:rsidR="00393768" w:rsidRDefault="00393768" w:rsidP="00F4122A">
      <w:pPr>
        <w:pStyle w:val="ListParagraph"/>
        <w:numPr>
          <w:ilvl w:val="0"/>
          <w:numId w:val="10"/>
        </w:numPr>
        <w:spacing w:line="360" w:lineRule="auto"/>
      </w:pPr>
      <w:r>
        <w:t>The Schengen Information System (SIS) – as previously identified above.</w:t>
      </w:r>
      <w:r>
        <w:rPr>
          <w:rStyle w:val="FootnoteReference"/>
        </w:rPr>
        <w:footnoteReference w:id="62"/>
      </w:r>
    </w:p>
    <w:p w14:paraId="5B1AA9D2" w14:textId="2F56296F" w:rsidR="00AA0857" w:rsidRDefault="00393768" w:rsidP="00F4122A">
      <w:pPr>
        <w:pStyle w:val="ListParagraph"/>
        <w:numPr>
          <w:ilvl w:val="0"/>
          <w:numId w:val="10"/>
        </w:numPr>
        <w:spacing w:line="360" w:lineRule="auto"/>
      </w:pPr>
      <w:r>
        <w:t xml:space="preserve">Operational Management of other Large-Scale IT Systems in the area of </w:t>
      </w:r>
      <w:r w:rsidR="0018358A">
        <w:t>Freedom, Security</w:t>
      </w:r>
      <w:r w:rsidR="001545CB">
        <w:t xml:space="preserve"> and Justice</w:t>
      </w:r>
      <w:r w:rsidR="0018358A">
        <w:t xml:space="preserve"> - </w:t>
      </w:r>
      <w:r>
        <w:t>FSJ (</w:t>
      </w:r>
      <w:proofErr w:type="spellStart"/>
      <w:r>
        <w:t>eu</w:t>
      </w:r>
      <w:proofErr w:type="spellEnd"/>
      <w:r>
        <w:t>-LISA).</w:t>
      </w:r>
      <w:r>
        <w:rPr>
          <w:rStyle w:val="FootnoteReference"/>
        </w:rPr>
        <w:footnoteReference w:id="63"/>
      </w:r>
      <w:r>
        <w:t xml:space="preserve"> </w:t>
      </w:r>
    </w:p>
    <w:p w14:paraId="5C6B3EDF" w14:textId="62FF071D" w:rsidR="00393768" w:rsidRDefault="009453C7" w:rsidP="00B51040">
      <w:pPr>
        <w:spacing w:line="360" w:lineRule="auto"/>
      </w:pPr>
      <w:proofErr w:type="spellStart"/>
      <w:r>
        <w:lastRenderedPageBreak/>
        <w:t>e</w:t>
      </w:r>
      <w:r w:rsidR="00393768">
        <w:t>u</w:t>
      </w:r>
      <w:proofErr w:type="spellEnd"/>
      <w:r w:rsidR="00393768">
        <w:t>-LISA is</w:t>
      </w:r>
      <w:r w:rsidR="00393768" w:rsidRPr="00826BAB">
        <w:t xml:space="preserve"> an agency responsible for managing and promoting information and communication technology (ICT)</w:t>
      </w:r>
      <w:r w:rsidR="00393768">
        <w:t>.</w:t>
      </w:r>
      <w:r w:rsidR="00785167">
        <w:rPr>
          <w:rStyle w:val="FootnoteReference"/>
        </w:rPr>
        <w:footnoteReference w:id="64"/>
      </w:r>
      <w:r w:rsidR="00393768" w:rsidRPr="00826BAB">
        <w:t xml:space="preserve"> </w:t>
      </w:r>
      <w:r w:rsidR="00AA0857">
        <w:t>It</w:t>
      </w:r>
      <w:r w:rsidR="00393768">
        <w:t xml:space="preserve"> is viewed as being</w:t>
      </w:r>
      <w:r w:rsidR="00393768" w:rsidRPr="00826BAB">
        <w:t xml:space="preserve"> </w:t>
      </w:r>
      <w:r w:rsidR="00CE25B3">
        <w:t>pivotal</w:t>
      </w:r>
      <w:r w:rsidR="00393768" w:rsidRPr="00826BAB">
        <w:t xml:space="preserve"> </w:t>
      </w:r>
      <w:r w:rsidR="00393768">
        <w:t xml:space="preserve">to the </w:t>
      </w:r>
      <w:r w:rsidR="00393768" w:rsidRPr="00826BAB">
        <w:t xml:space="preserve">success factor for the implementation of </w:t>
      </w:r>
      <w:r w:rsidR="00F06FE8">
        <w:t>FSJ</w:t>
      </w:r>
      <w:r w:rsidR="00393768" w:rsidRPr="00826BAB">
        <w:t xml:space="preserve">. </w:t>
      </w:r>
      <w:r w:rsidR="00393768">
        <w:t xml:space="preserve">Recognition is clearly accorded to the </w:t>
      </w:r>
      <w:r w:rsidR="00393768" w:rsidRPr="00826BAB">
        <w:t>transformation</w:t>
      </w:r>
      <w:r w:rsidR="00393768">
        <w:t xml:space="preserve"> that is occurring in terms of threats and challenges, that is, </w:t>
      </w:r>
      <w:r w:rsidR="00393768">
        <w:rPr>
          <w:i/>
          <w:iCs/>
        </w:rPr>
        <w:t xml:space="preserve">hybrid threats </w:t>
      </w:r>
      <w:r w:rsidR="00393768">
        <w:t>and the</w:t>
      </w:r>
      <w:r w:rsidR="00393768" w:rsidRPr="00826BAB">
        <w:t xml:space="preserve"> virtual world. </w:t>
      </w:r>
      <w:proofErr w:type="spellStart"/>
      <w:r>
        <w:t>e</w:t>
      </w:r>
      <w:r w:rsidR="00393768">
        <w:t>u</w:t>
      </w:r>
      <w:proofErr w:type="spellEnd"/>
      <w:r w:rsidR="00393768">
        <w:t xml:space="preserve">-LISA </w:t>
      </w:r>
      <w:r w:rsidR="00B7096B">
        <w:t>identifies</w:t>
      </w:r>
      <w:r w:rsidR="00393768">
        <w:t xml:space="preserve"> that, more than ever,</w:t>
      </w:r>
      <w:r w:rsidR="00393768" w:rsidRPr="00826BAB">
        <w:t xml:space="preserve"> data and information</w:t>
      </w:r>
      <w:r w:rsidR="00393768">
        <w:t xml:space="preserve"> needs to be coordinated and shared, a necessity in</w:t>
      </w:r>
      <w:r w:rsidR="00393768" w:rsidRPr="00826BAB">
        <w:t xml:space="preserve"> today’s globalised world</w:t>
      </w:r>
      <w:r w:rsidR="00393768">
        <w:t xml:space="preserve">.  </w:t>
      </w:r>
    </w:p>
    <w:p w14:paraId="1362D7E5" w14:textId="52012E0D" w:rsidR="00393768" w:rsidRDefault="00393768" w:rsidP="00B51040">
      <w:pPr>
        <w:spacing w:line="360" w:lineRule="auto"/>
      </w:pPr>
    </w:p>
    <w:p w14:paraId="4FB864C9" w14:textId="7F98B40F" w:rsidR="00393768" w:rsidRDefault="00393768" w:rsidP="00B51040">
      <w:pPr>
        <w:spacing w:line="360" w:lineRule="auto"/>
      </w:pPr>
      <w:r>
        <w:t xml:space="preserve">The </w:t>
      </w:r>
      <w:proofErr w:type="spellStart"/>
      <w:r>
        <w:t>Prüm</w:t>
      </w:r>
      <w:proofErr w:type="spellEnd"/>
      <w:r>
        <w:t xml:space="preserve"> Decision</w:t>
      </w:r>
      <w:r>
        <w:rPr>
          <w:rStyle w:val="FootnoteReference"/>
        </w:rPr>
        <w:footnoteReference w:id="65"/>
      </w:r>
      <w:r>
        <w:t xml:space="preserve"> </w:t>
      </w:r>
      <w:r w:rsidR="00AA0857">
        <w:t>clearly realised</w:t>
      </w:r>
      <w:r>
        <w:t xml:space="preserve"> </w:t>
      </w:r>
      <w:r w:rsidR="00AA0857">
        <w:t>the need for</w:t>
      </w:r>
      <w:r w:rsidRPr="00805482">
        <w:t xml:space="preserve"> stepping up cross-border cooperation, particularly in combating terrorism and cross-border crime</w:t>
      </w:r>
      <w:r>
        <w:t>.</w:t>
      </w:r>
      <w:r w:rsidRPr="00805482">
        <w:t xml:space="preserve"> </w:t>
      </w:r>
      <w:r>
        <w:t>I</w:t>
      </w:r>
      <w:r w:rsidRPr="00AB120D">
        <w:t xml:space="preserve">n 2012, the Commission adopted a Communication </w:t>
      </w:r>
      <w:r>
        <w:t>relating to</w:t>
      </w:r>
      <w:r w:rsidRPr="00AB120D">
        <w:t xml:space="preserve"> the European Information Exchange Model (EIXM). EIXM </w:t>
      </w:r>
      <w:r>
        <w:t xml:space="preserve">reviewed the </w:t>
      </w:r>
      <w:r w:rsidRPr="00AB120D">
        <w:t xml:space="preserve">exchange landscape and recommended concrete steps </w:t>
      </w:r>
      <w:r>
        <w:t>to</w:t>
      </w:r>
      <w:r w:rsidRPr="00AB120D">
        <w:t xml:space="preserve"> increase the efficiency and improve the application of existing cooperation instruments.</w:t>
      </w:r>
      <w:r>
        <w:rPr>
          <w:rStyle w:val="FootnoteReference"/>
        </w:rPr>
        <w:footnoteReference w:id="66"/>
      </w:r>
      <w:r>
        <w:t xml:space="preserve"> </w:t>
      </w:r>
    </w:p>
    <w:p w14:paraId="1CEF5E17" w14:textId="77777777" w:rsidR="00393768" w:rsidRDefault="00393768" w:rsidP="00B51040">
      <w:pPr>
        <w:spacing w:line="360" w:lineRule="auto"/>
      </w:pPr>
    </w:p>
    <w:p w14:paraId="67993C3C" w14:textId="5EE39825" w:rsidR="00393768" w:rsidRDefault="00393768" w:rsidP="00B51040">
      <w:pPr>
        <w:spacing w:line="360" w:lineRule="auto"/>
      </w:pPr>
      <w:r>
        <w:t xml:space="preserve">An important point to return to at this juncture is that whilst data exchange is viewed as highly significant to fight crime – including terrorism, this nevertheless, also remains a </w:t>
      </w:r>
      <w:r>
        <w:lastRenderedPageBreak/>
        <w:t>challenge for Police to Police (</w:t>
      </w:r>
      <w:proofErr w:type="gramStart"/>
      <w:r>
        <w:t>LEA’s</w:t>
      </w:r>
      <w:proofErr w:type="gramEnd"/>
      <w:r>
        <w:t xml:space="preserve"> to LEA’s) cooperation.</w:t>
      </w:r>
      <w:r>
        <w:rPr>
          <w:rStyle w:val="FootnoteReference"/>
        </w:rPr>
        <w:footnoteReference w:id="67"/>
      </w:r>
      <w:r>
        <w:t xml:space="preserve"> </w:t>
      </w:r>
      <w:r w:rsidRPr="007C06E9">
        <w:t>Invariably, there remains a fine line between sharing data and information for safety and security reasons and overstepping into the boundaries of compromising human rights and other entitlements, such as privacy.</w:t>
      </w:r>
      <w:r>
        <w:t xml:space="preserve"> </w:t>
      </w:r>
    </w:p>
    <w:p w14:paraId="440CEF9A" w14:textId="77777777" w:rsidR="00393768" w:rsidRDefault="00393768" w:rsidP="00B51040">
      <w:pPr>
        <w:spacing w:line="360" w:lineRule="auto"/>
      </w:pPr>
    </w:p>
    <w:p w14:paraId="5E66533F" w14:textId="652E874C" w:rsidR="00393768" w:rsidRDefault="00393768" w:rsidP="00B51040">
      <w:pPr>
        <w:spacing w:line="360" w:lineRule="auto"/>
      </w:pPr>
      <w:r>
        <w:t>Telephone data and data retention has particularly proved problematic. I</w:t>
      </w:r>
      <w:r w:rsidRPr="003D0AB5">
        <w:t xml:space="preserve">n the aftermath of the terrorist attacks in Madrid in 2004 and London in 2005, </w:t>
      </w:r>
      <w:r>
        <w:t>a Data Retention Directive</w:t>
      </w:r>
      <w:r>
        <w:rPr>
          <w:rStyle w:val="FootnoteReference"/>
        </w:rPr>
        <w:footnoteReference w:id="68"/>
      </w:r>
      <w:r w:rsidRPr="003D0AB5">
        <w:t xml:space="preserve"> </w:t>
      </w:r>
      <w:r>
        <w:t xml:space="preserve">was </w:t>
      </w:r>
      <w:r w:rsidRPr="003D0AB5">
        <w:t>adopted to harmoni</w:t>
      </w:r>
      <w:r>
        <w:t>s</w:t>
      </w:r>
      <w:r w:rsidRPr="003D0AB5">
        <w:t>e EU efforts in</w:t>
      </w:r>
      <w:r>
        <w:t>to</w:t>
      </w:r>
      <w:r w:rsidRPr="003D0AB5">
        <w:t xml:space="preserve"> the investigation and prosecution of </w:t>
      </w:r>
      <w:r>
        <w:t>such</w:t>
      </w:r>
      <w:r w:rsidRPr="003D0AB5">
        <w:t xml:space="preserve"> serious crimes. </w:t>
      </w:r>
      <w:r>
        <w:t>Part of the Directive required</w:t>
      </w:r>
      <w:r w:rsidRPr="003D0AB5">
        <w:t xml:space="preserve"> operators to retain certain categories of communications data, </w:t>
      </w:r>
      <w:proofErr w:type="gramStart"/>
      <w:r w:rsidRPr="003D0AB5">
        <w:t>i.e.</w:t>
      </w:r>
      <w:proofErr w:type="gramEnd"/>
      <w:r w:rsidRPr="003D0AB5">
        <w:t xml:space="preserve"> traffic and location data (</w:t>
      </w:r>
      <w:r>
        <w:t>however, noting, this did not include the</w:t>
      </w:r>
      <w:r w:rsidRPr="003D0AB5">
        <w:t xml:space="preserve"> content of th</w:t>
      </w:r>
      <w:r>
        <w:t>e</w:t>
      </w:r>
      <w:r w:rsidRPr="003D0AB5">
        <w:t xml:space="preserve"> communications) for a period </w:t>
      </w:r>
      <w:r>
        <w:t xml:space="preserve">of </w:t>
      </w:r>
      <w:r w:rsidRPr="003D0AB5">
        <w:t xml:space="preserve">between </w:t>
      </w:r>
      <w:r>
        <w:t xml:space="preserve">six month and </w:t>
      </w:r>
      <w:r w:rsidRPr="003D0AB5">
        <w:t xml:space="preserve">two years </w:t>
      </w:r>
      <w:r>
        <w:t>in order to be able to</w:t>
      </w:r>
      <w:r w:rsidRPr="003D0AB5">
        <w:t xml:space="preserve"> make </w:t>
      </w:r>
      <w:r>
        <w:t>it</w:t>
      </w:r>
      <w:r w:rsidRPr="003D0AB5">
        <w:t xml:space="preserve"> available, on request, to law enforcement authorities</w:t>
      </w:r>
      <w:r>
        <w:t>,</w:t>
      </w:r>
      <w:r w:rsidRPr="003D0AB5">
        <w:t xml:space="preserve"> </w:t>
      </w:r>
      <w:r>
        <w:t>in order to assist with the</w:t>
      </w:r>
      <w:r w:rsidRPr="003D0AB5">
        <w:t xml:space="preserve"> investigati</w:t>
      </w:r>
      <w:r>
        <w:t xml:space="preserve">on, </w:t>
      </w:r>
      <w:r w:rsidRPr="003D0AB5">
        <w:t>detecti</w:t>
      </w:r>
      <w:r>
        <w:t>on</w:t>
      </w:r>
      <w:r w:rsidRPr="003D0AB5">
        <w:t xml:space="preserve"> and prosecuti</w:t>
      </w:r>
      <w:r>
        <w:t>on of</w:t>
      </w:r>
      <w:r w:rsidRPr="003D0AB5">
        <w:t xml:space="preserve"> serious crime</w:t>
      </w:r>
      <w:r>
        <w:t>s</w:t>
      </w:r>
      <w:r w:rsidRPr="003D0AB5">
        <w:t xml:space="preserve"> and terrorism.</w:t>
      </w:r>
      <w:r>
        <w:t xml:space="preserve"> Whilst the </w:t>
      </w:r>
      <w:r w:rsidRPr="003D0AB5">
        <w:t xml:space="preserve">data provided valuable leads and evidence that resulted in convictions for criminal offences </w:t>
      </w:r>
      <w:r>
        <w:t>(plus also the</w:t>
      </w:r>
      <w:r w:rsidRPr="003D0AB5">
        <w:t xml:space="preserve"> acquittals of innocent suspects in relation to </w:t>
      </w:r>
      <w:r>
        <w:t xml:space="preserve">offences) it was not without criticism. In </w:t>
      </w:r>
      <w:r w:rsidRPr="00825893">
        <w:t xml:space="preserve">April 2011, </w:t>
      </w:r>
      <w:r>
        <w:t>the EU Commission published a report</w:t>
      </w:r>
      <w:r>
        <w:rPr>
          <w:rStyle w:val="FootnoteReference"/>
        </w:rPr>
        <w:footnoteReference w:id="69"/>
      </w:r>
      <w:r>
        <w:t xml:space="preserve"> and while it </w:t>
      </w:r>
      <w:r w:rsidRPr="00825893">
        <w:t xml:space="preserve">concluded that </w:t>
      </w:r>
      <w:r>
        <w:t>it would</w:t>
      </w:r>
      <w:r w:rsidRPr="00825893">
        <w:t xml:space="preserve"> continue to support and regulate the storage of, access to and use of telecommunications data</w:t>
      </w:r>
      <w:r>
        <w:t>, the r</w:t>
      </w:r>
      <w:r w:rsidRPr="00825893">
        <w:t xml:space="preserve">eport also concluded that EU rules in this area needed to be improved to prevent </w:t>
      </w:r>
      <w:r>
        <w:t>operators with</w:t>
      </w:r>
      <w:r w:rsidRPr="00825893">
        <w:t xml:space="preserve"> unfair obstacles in the Internal Market and to ensure that high levels of respect for privacy and the protection of personal data are applied consistently.</w:t>
      </w:r>
      <w:r>
        <w:t xml:space="preserve"> </w:t>
      </w:r>
    </w:p>
    <w:p w14:paraId="6F07BC85" w14:textId="16D836B3" w:rsidR="00393768" w:rsidRDefault="00393768" w:rsidP="00B51040">
      <w:pPr>
        <w:spacing w:line="360" w:lineRule="auto"/>
      </w:pPr>
    </w:p>
    <w:p w14:paraId="53EFD463" w14:textId="02F00953" w:rsidR="00393768" w:rsidRPr="007F2209" w:rsidRDefault="00393768" w:rsidP="00B51040">
      <w:pPr>
        <w:spacing w:line="360" w:lineRule="auto"/>
      </w:pPr>
      <w:r>
        <w:t xml:space="preserve">This was taken a step further, in 2014, by a </w:t>
      </w:r>
      <w:r w:rsidRPr="007F2209">
        <w:t xml:space="preserve">Court of Justice of the European Union </w:t>
      </w:r>
      <w:r>
        <w:t>(CJEU) case</w:t>
      </w:r>
      <w:r>
        <w:rPr>
          <w:rStyle w:val="FootnoteReference"/>
        </w:rPr>
        <w:footnoteReference w:id="70"/>
      </w:r>
      <w:r>
        <w:t xml:space="preserve"> wherein, it was </w:t>
      </w:r>
      <w:r w:rsidRPr="007F2209">
        <w:t xml:space="preserve">declared </w:t>
      </w:r>
      <w:r>
        <w:t xml:space="preserve">that </w:t>
      </w:r>
      <w:r w:rsidRPr="007F2209">
        <w:t xml:space="preserve">the </w:t>
      </w:r>
      <w:r w:rsidRPr="00443403">
        <w:t>Data Retention Directive</w:t>
      </w:r>
      <w:r>
        <w:t xml:space="preserve"> was invalid, with the </w:t>
      </w:r>
      <w:r w:rsidRPr="007F2209">
        <w:t xml:space="preserve">Court </w:t>
      </w:r>
      <w:r>
        <w:t>adopting</w:t>
      </w:r>
      <w:r w:rsidRPr="007F2209">
        <w:t xml:space="preserve"> the view that the Directive d</w:t>
      </w:r>
      <w:r>
        <w:t>id</w:t>
      </w:r>
      <w:r w:rsidRPr="007F2209">
        <w:t xml:space="preserve"> not meet the principle of proportionality and should have provided more safeguards to protect the fundamental rights to respect for private life </w:t>
      </w:r>
      <w:r w:rsidRPr="007F2209">
        <w:lastRenderedPageBreak/>
        <w:t>and to the protection of personal data.</w:t>
      </w:r>
      <w:r>
        <w:rPr>
          <w:rStyle w:val="FootnoteReference"/>
        </w:rPr>
        <w:footnoteReference w:id="71"/>
      </w:r>
      <w:r w:rsidRPr="007F2209">
        <w:t xml:space="preserve"> Following th</w:t>
      </w:r>
      <w:r>
        <w:t>e</w:t>
      </w:r>
      <w:r w:rsidRPr="007F2209">
        <w:t xml:space="preserve"> judgment, the Commission </w:t>
      </w:r>
      <w:r>
        <w:t>began</w:t>
      </w:r>
      <w:r w:rsidRPr="007F2209">
        <w:t xml:space="preserve"> to monitor developments</w:t>
      </w:r>
      <w:r>
        <w:t xml:space="preserve"> of data retention practices also</w:t>
      </w:r>
      <w:r w:rsidRPr="007F2209">
        <w:t xml:space="preserve"> at national level.</w:t>
      </w:r>
    </w:p>
    <w:p w14:paraId="7A3906A4" w14:textId="77777777" w:rsidR="00393768" w:rsidRDefault="00393768" w:rsidP="00B51040">
      <w:pPr>
        <w:spacing w:line="360" w:lineRule="auto"/>
      </w:pPr>
    </w:p>
    <w:p w14:paraId="3CB4646B" w14:textId="4FFD8B03" w:rsidR="00393768" w:rsidRDefault="00393768" w:rsidP="00B51040">
      <w:pPr>
        <w:spacing w:line="360" w:lineRule="auto"/>
      </w:pPr>
      <w:r>
        <w:t xml:space="preserve">It is interesting to note that part of the </w:t>
      </w:r>
      <w:proofErr w:type="spellStart"/>
      <w:r>
        <w:t>Prüm</w:t>
      </w:r>
      <w:proofErr w:type="spellEnd"/>
      <w:r>
        <w:t xml:space="preserve"> Decision </w:t>
      </w:r>
      <w:r w:rsidR="005953F0">
        <w:t>also identifies the need</w:t>
      </w:r>
      <w:r>
        <w:t xml:space="preserve"> </w:t>
      </w:r>
      <w:r w:rsidR="005953F0">
        <w:t>for</w:t>
      </w:r>
      <w:r w:rsidRPr="0067455A">
        <w:t xml:space="preserve"> rules for </w:t>
      </w:r>
      <w:r>
        <w:t xml:space="preserve">more physical </w:t>
      </w:r>
      <w:r w:rsidRPr="0067455A">
        <w:t>operational</w:t>
      </w:r>
      <w:r>
        <w:t>,</w:t>
      </w:r>
      <w:r w:rsidRPr="0067455A">
        <w:t xml:space="preserve"> police cooperation </w:t>
      </w:r>
      <w:r>
        <w:t xml:space="preserve">– </w:t>
      </w:r>
      <w:r w:rsidRPr="0067455A">
        <w:t>such as joint patrols</w:t>
      </w:r>
      <w:r>
        <w:t xml:space="preserve">. The </w:t>
      </w:r>
      <w:proofErr w:type="spellStart"/>
      <w:r w:rsidRPr="0067455A">
        <w:t>Prüm</w:t>
      </w:r>
      <w:proofErr w:type="spellEnd"/>
      <w:r w:rsidRPr="0067455A">
        <w:t xml:space="preserve"> framework </w:t>
      </w:r>
      <w:r>
        <w:t xml:space="preserve">also </w:t>
      </w:r>
      <w:r w:rsidRPr="0067455A">
        <w:t>lays down provisions under which EU Member States grant each other access to their automated DNA analysis files</w:t>
      </w:r>
      <w:r>
        <w:t>,</w:t>
      </w:r>
      <w:r>
        <w:rPr>
          <w:rStyle w:val="FootnoteReference"/>
        </w:rPr>
        <w:footnoteReference w:id="72"/>
      </w:r>
      <w:r w:rsidRPr="0067455A">
        <w:t xml:space="preserve"> automated fingerprint identification systems and vehicle registration data. </w:t>
      </w:r>
      <w:r>
        <w:t xml:space="preserve"> The</w:t>
      </w:r>
      <w:r w:rsidRPr="00ED3D81">
        <w:t xml:space="preserve"> </w:t>
      </w:r>
      <w:proofErr w:type="spellStart"/>
      <w:r w:rsidRPr="00ED3D81">
        <w:t>Prüm</w:t>
      </w:r>
      <w:proofErr w:type="spellEnd"/>
      <w:r w:rsidRPr="00ED3D81">
        <w:t xml:space="preserve"> Council Decisions</w:t>
      </w:r>
      <w:r>
        <w:t xml:space="preserve"> also</w:t>
      </w:r>
      <w:r w:rsidRPr="00ED3D81">
        <w:t xml:space="preserve"> regulate</w:t>
      </w:r>
      <w:r>
        <w:t>s</w:t>
      </w:r>
      <w:r w:rsidRPr="00ED3D81">
        <w:t xml:space="preserve"> the exchange</w:t>
      </w:r>
      <w:r>
        <w:t>/sharing</w:t>
      </w:r>
      <w:r w:rsidRPr="00ED3D81">
        <w:t xml:space="preserve"> of vehicle and owner/holder information</w:t>
      </w:r>
      <w:r>
        <w:t xml:space="preserve"> – including c</w:t>
      </w:r>
      <w:r w:rsidRPr="0067455A">
        <w:t xml:space="preserve">ar registration </w:t>
      </w:r>
      <w:r>
        <w:t>information</w:t>
      </w:r>
      <w:r w:rsidRPr="0067455A">
        <w:t xml:space="preserve"> (including licence plates and chassis numbers) </w:t>
      </w:r>
      <w:r>
        <w:t>which are</w:t>
      </w:r>
      <w:r w:rsidRPr="0067455A">
        <w:t xml:space="preserve"> exchanged through national platforms that are linked to the online application </w:t>
      </w:r>
      <w:r>
        <w:t>– called “</w:t>
      </w:r>
      <w:r w:rsidRPr="0067455A">
        <w:t>EUCARIS</w:t>
      </w:r>
      <w:r>
        <w:t>.</w:t>
      </w:r>
      <w:r>
        <w:rPr>
          <w:rStyle w:val="FootnoteReference"/>
        </w:rPr>
        <w:footnoteReference w:id="73"/>
      </w:r>
      <w:r>
        <w:t xml:space="preserve">”  </w:t>
      </w:r>
    </w:p>
    <w:p w14:paraId="33AB3EA4" w14:textId="77777777" w:rsidR="00393768" w:rsidRDefault="00393768" w:rsidP="00B51040">
      <w:pPr>
        <w:spacing w:line="360" w:lineRule="auto"/>
      </w:pPr>
    </w:p>
    <w:p w14:paraId="5CDF007C" w14:textId="37603472" w:rsidR="00393768" w:rsidRPr="0067455A" w:rsidRDefault="00393768" w:rsidP="00B51040">
      <w:pPr>
        <w:spacing w:line="360" w:lineRule="auto"/>
      </w:pPr>
      <w:r>
        <w:t>Again, the EUCARIS platform only too clearly demonstrates the significance of transport and movement monitoring and the sharing of information in order to keep citizens safe and secure. It also evidences the clear cross-over into the realms of the EU Transport Chapter – noting that the legislative basis for EUCARIS</w:t>
      </w:r>
      <w:r>
        <w:rPr>
          <w:rStyle w:val="FootnoteReference"/>
        </w:rPr>
        <w:footnoteReference w:id="74"/>
      </w:r>
      <w:r>
        <w:t xml:space="preserve"> overlaps both </w:t>
      </w:r>
      <w:r w:rsidR="001507CC">
        <w:t>M</w:t>
      </w:r>
      <w:r>
        <w:t xml:space="preserve">HA </w:t>
      </w:r>
      <w:r w:rsidR="001507CC">
        <w:t xml:space="preserve">(formally Justice and Home Affairs </w:t>
      </w:r>
      <w:r w:rsidR="00720D2F">
        <w:t xml:space="preserve">EU Directorate </w:t>
      </w:r>
      <w:r w:rsidR="001507CC">
        <w:t>– JHA</w:t>
      </w:r>
      <w:r w:rsidR="00720D2F">
        <w:rPr>
          <w:rStyle w:val="FootnoteReference"/>
        </w:rPr>
        <w:footnoteReference w:id="75"/>
      </w:r>
      <w:r w:rsidR="001507CC">
        <w:t xml:space="preserve">) </w:t>
      </w:r>
      <w:r>
        <w:t>and transport. Thus, the transport chapter (and legislative basis) is a significant factor utilised in fighting crime and particularly terrorism; and, has been shown, there has been a need to look outside the area of JHA in the past.</w:t>
      </w:r>
      <w:r>
        <w:rPr>
          <w:rStyle w:val="FootnoteReference"/>
        </w:rPr>
        <w:footnoteReference w:id="76"/>
      </w:r>
      <w:r>
        <w:t xml:space="preserve"> This </w:t>
      </w:r>
      <w:r>
        <w:lastRenderedPageBreak/>
        <w:t>therefore identifies and highlights some of the weaknesses in terms of a cooperative approach which can lack a commitment from all Member States to act in unison and with the same assertion, inevitable being more subject to State will.</w:t>
      </w:r>
    </w:p>
    <w:p w14:paraId="56009EA0" w14:textId="77777777" w:rsidR="00393768" w:rsidRDefault="00393768" w:rsidP="00B51040">
      <w:pPr>
        <w:spacing w:line="360" w:lineRule="auto"/>
      </w:pPr>
    </w:p>
    <w:p w14:paraId="62840D12" w14:textId="77777777" w:rsidR="00D73915" w:rsidRPr="0046259D" w:rsidRDefault="00393768" w:rsidP="00BD20D1">
      <w:pPr>
        <w:spacing w:line="360" w:lineRule="auto"/>
      </w:pPr>
      <w:r w:rsidRPr="00E60761">
        <w:t xml:space="preserve">An </w:t>
      </w:r>
      <w:r w:rsidR="00B50CC3" w:rsidRPr="00E60761">
        <w:t>important area and development relating to policing and coordination, particularly, across the area of transportation, relates to aviation security and terrorist attacks, both regionally – that is within the EU, and internationally</w:t>
      </w:r>
      <w:r w:rsidRPr="00E60761">
        <w:t>.</w:t>
      </w:r>
      <w:r w:rsidRPr="00E60761">
        <w:rPr>
          <w:rStyle w:val="FootnoteReference"/>
        </w:rPr>
        <w:footnoteReference w:id="77"/>
      </w:r>
      <w:r w:rsidRPr="00E60761">
        <w:t xml:space="preserve"> </w:t>
      </w:r>
      <w:r w:rsidR="00B50CC3" w:rsidRPr="00E60761">
        <w:t>What should be borne in</w:t>
      </w:r>
      <w:r w:rsidRPr="00E60761">
        <w:t xml:space="preserve"> mind, </w:t>
      </w:r>
      <w:r w:rsidR="00B50CC3" w:rsidRPr="00E60761">
        <w:t xml:space="preserve">is that, </w:t>
      </w:r>
      <w:r w:rsidRPr="00E60761">
        <w:rPr>
          <w:lang w:val="en-US"/>
        </w:rPr>
        <w:t>prio</w:t>
      </w:r>
      <w:r w:rsidRPr="00AC6F95">
        <w:rPr>
          <w:lang w:val="en-US"/>
        </w:rPr>
        <w:t>r to 9/11, cooperation in the field of counter-terrorism was largely informal and ad-hoc</w:t>
      </w:r>
      <w:r>
        <w:rPr>
          <w:lang w:val="en-US"/>
        </w:rPr>
        <w:t>;</w:t>
      </w:r>
      <w:r>
        <w:rPr>
          <w:rStyle w:val="FootnoteReference"/>
          <w:lang w:val="en-US"/>
        </w:rPr>
        <w:footnoteReference w:id="78"/>
      </w:r>
      <w:r w:rsidRPr="00AC6F95">
        <w:t xml:space="preserve"> </w:t>
      </w:r>
      <w:r>
        <w:t>and after 9/11, the then structure of the EU presented challenges in terms of taking collaborative and coordinated measures in the EU (under the pillar of JHA/FSJ). Ultimately, it was via the transport chapter that measures were initially taken and adopted</w:t>
      </w:r>
      <w:r w:rsidRPr="00BE21CC">
        <w:t>.</w:t>
      </w:r>
      <w:r w:rsidRPr="00BE21CC">
        <w:rPr>
          <w:rStyle w:val="FootnoteReference"/>
        </w:rPr>
        <w:footnoteReference w:id="79"/>
      </w:r>
      <w:r>
        <w:t xml:space="preserve">  </w:t>
      </w:r>
      <w:r w:rsidRPr="0020746A">
        <w:t>This said, in 2016, a Directive relating to obtaining passenger name record (PNR) data for the prevention, detection, investigation and prosecution of terrorist offences and serious crime</w:t>
      </w:r>
      <w:r>
        <w:t xml:space="preserve"> had as a legislative basis </w:t>
      </w:r>
      <w:r w:rsidRPr="0020746A">
        <w:t>Article 82(1) and point (a) of Article 87(2)</w:t>
      </w:r>
      <w:r>
        <w:t xml:space="preserve"> – which relates to </w:t>
      </w:r>
      <w:r w:rsidRPr="0020746A">
        <w:t>judicial cooperation in criminal matters</w:t>
      </w:r>
      <w:r>
        <w:t xml:space="preserve"> and police cooperation respectively.</w:t>
      </w:r>
      <w:r>
        <w:rPr>
          <w:rStyle w:val="FootnoteReference"/>
        </w:rPr>
        <w:footnoteReference w:id="80"/>
      </w:r>
      <w:r w:rsidRPr="0020746A">
        <w:t xml:space="preserve"> </w:t>
      </w:r>
      <w:r>
        <w:t>This has been an intensely controversial subject matter in terms of transferring information, particular outside of the EU.</w:t>
      </w:r>
      <w:r>
        <w:rPr>
          <w:rStyle w:val="FootnoteReference"/>
        </w:rPr>
        <w:footnoteReference w:id="81"/>
      </w:r>
      <w:r>
        <w:t xml:space="preserve"> Only on 16 July 2020 did the </w:t>
      </w:r>
      <w:r w:rsidRPr="00815635">
        <w:t xml:space="preserve">judgement of the </w:t>
      </w:r>
      <w:r>
        <w:t>CJEU,</w:t>
      </w:r>
      <w:r w:rsidRPr="00815635">
        <w:t xml:space="preserve"> in the </w:t>
      </w:r>
      <w:proofErr w:type="spellStart"/>
      <w:r w:rsidRPr="00AD19C4">
        <w:rPr>
          <w:i/>
          <w:iCs/>
        </w:rPr>
        <w:t>Schrems</w:t>
      </w:r>
      <w:proofErr w:type="spellEnd"/>
      <w:r w:rsidRPr="00AD19C4">
        <w:rPr>
          <w:i/>
          <w:iCs/>
        </w:rPr>
        <w:t xml:space="preserve"> II</w:t>
      </w:r>
      <w:r w:rsidRPr="00815635">
        <w:t xml:space="preserve"> case</w:t>
      </w:r>
      <w:r>
        <w:t>,</w:t>
      </w:r>
      <w:r>
        <w:rPr>
          <w:rStyle w:val="FootnoteReference"/>
        </w:rPr>
        <w:footnoteReference w:id="82"/>
      </w:r>
      <w:r>
        <w:t xml:space="preserve"> </w:t>
      </w:r>
      <w:r w:rsidRPr="00815635">
        <w:t>declare that th</w:t>
      </w:r>
      <w:r>
        <w:t>e existing</w:t>
      </w:r>
      <w:r w:rsidRPr="00815635">
        <w:t xml:space="preserve"> framework </w:t>
      </w:r>
      <w:r>
        <w:t>was</w:t>
      </w:r>
      <w:r w:rsidRPr="00815635">
        <w:t xml:space="preserve"> no longer a valid mechanism to transfer personal data from the European Union to the United States.</w:t>
      </w:r>
      <w:r>
        <w:t xml:space="preserve"> </w:t>
      </w:r>
      <w:r w:rsidR="00AD19C4" w:rsidRPr="0046259D">
        <w:t>The</w:t>
      </w:r>
      <w:r w:rsidR="00AD19C4" w:rsidRPr="0046259D">
        <w:rPr>
          <w:i/>
          <w:iCs/>
        </w:rPr>
        <w:t xml:space="preserve"> </w:t>
      </w:r>
      <w:proofErr w:type="spellStart"/>
      <w:r w:rsidR="00AD19C4" w:rsidRPr="0046259D">
        <w:rPr>
          <w:i/>
          <w:iCs/>
        </w:rPr>
        <w:t>Schrems</w:t>
      </w:r>
      <w:proofErr w:type="spellEnd"/>
      <w:r w:rsidR="00AD19C4" w:rsidRPr="0046259D">
        <w:rPr>
          <w:i/>
          <w:iCs/>
        </w:rPr>
        <w:t xml:space="preserve"> II</w:t>
      </w:r>
      <w:r w:rsidR="00AD19C4" w:rsidRPr="0046259D">
        <w:t xml:space="preserve"> case remains an </w:t>
      </w:r>
      <w:r w:rsidR="00AD19C4" w:rsidRPr="0046259D">
        <w:lastRenderedPageBreak/>
        <w:t xml:space="preserve">important constitutional judgment with profound implications. Not least, it </w:t>
      </w:r>
      <w:r w:rsidRPr="0046259D">
        <w:t xml:space="preserve">has led to the U.S. Department of Commerce and the European Commission re-initiating discussions to evaluate the potential for an enhanced EU-U.S. Privacy Shield framework. </w:t>
      </w:r>
    </w:p>
    <w:p w14:paraId="48DBEB65" w14:textId="77777777" w:rsidR="00D73915" w:rsidRPr="0046259D" w:rsidRDefault="00D73915" w:rsidP="00BD20D1">
      <w:pPr>
        <w:spacing w:line="360" w:lineRule="auto"/>
      </w:pPr>
    </w:p>
    <w:p w14:paraId="2449FB1B" w14:textId="3B4154E1" w:rsidR="00BD20D1" w:rsidRPr="0046259D" w:rsidRDefault="00AD19C4" w:rsidP="00BD20D1">
      <w:pPr>
        <w:spacing w:line="360" w:lineRule="auto"/>
        <w:rPr>
          <w:i/>
          <w:iCs/>
        </w:rPr>
      </w:pPr>
      <w:r w:rsidRPr="0046259D">
        <w:t xml:space="preserve">Further afield, </w:t>
      </w:r>
      <w:proofErr w:type="spellStart"/>
      <w:r w:rsidRPr="0046259D">
        <w:rPr>
          <w:i/>
          <w:iCs/>
        </w:rPr>
        <w:t>Schrems</w:t>
      </w:r>
      <w:proofErr w:type="spellEnd"/>
      <w:r w:rsidRPr="0046259D">
        <w:rPr>
          <w:i/>
          <w:iCs/>
        </w:rPr>
        <w:t xml:space="preserve"> II </w:t>
      </w:r>
      <w:r w:rsidRPr="0046259D">
        <w:t>creates a lot of uncertainties about the future of data transfers outside the EU</w:t>
      </w:r>
      <w:r w:rsidR="008652A1" w:rsidRPr="0046259D">
        <w:t xml:space="preserve"> to other third countries</w:t>
      </w:r>
      <w:r w:rsidR="00976C87" w:rsidRPr="0046259D">
        <w:t xml:space="preserve">. It remains a stark reminder of the </w:t>
      </w:r>
      <w:r w:rsidR="00C204C1" w:rsidRPr="0046259D">
        <w:t xml:space="preserve">continuing </w:t>
      </w:r>
      <w:r w:rsidR="00976C87" w:rsidRPr="0046259D">
        <w:t>conflict and tension between maintaining human rights and transferring mass data</w:t>
      </w:r>
      <w:r w:rsidR="001B73D5" w:rsidRPr="0046259D">
        <w:t>,</w:t>
      </w:r>
      <w:r w:rsidR="00976C87" w:rsidRPr="0046259D">
        <w:t xml:space="preserve"> that </w:t>
      </w:r>
      <w:r w:rsidR="001B73D5" w:rsidRPr="0046259D">
        <w:t xml:space="preserve">could </w:t>
      </w:r>
      <w:r w:rsidR="00976C87" w:rsidRPr="0046259D">
        <w:t xml:space="preserve">lead to </w:t>
      </w:r>
      <w:r w:rsidR="00C204C1" w:rsidRPr="0046259D">
        <w:t>policy and competence creep</w:t>
      </w:r>
      <w:r w:rsidR="001B73D5" w:rsidRPr="0046259D">
        <w:t>,</w:t>
      </w:r>
      <w:r w:rsidR="00976C87" w:rsidRPr="0046259D">
        <w:t xml:space="preserve"> in terms of creating </w:t>
      </w:r>
      <w:r w:rsidR="00BD20D1" w:rsidRPr="0046259D">
        <w:t xml:space="preserve">(or the potential to create) a surveillance system, the over monitoring of society or the misuse of information. </w:t>
      </w:r>
      <w:r w:rsidR="006D0325" w:rsidRPr="0046259D">
        <w:t>Inevitably</w:t>
      </w:r>
      <w:r w:rsidR="001B73D5" w:rsidRPr="0046259D">
        <w:t>,</w:t>
      </w:r>
      <w:r w:rsidR="006D0325" w:rsidRPr="0046259D">
        <w:t xml:space="preserve"> </w:t>
      </w:r>
      <w:r w:rsidR="001B73D5" w:rsidRPr="0046259D">
        <w:t>this calls into</w:t>
      </w:r>
      <w:r w:rsidR="006D0325" w:rsidRPr="0046259D">
        <w:t xml:space="preserve"> question </w:t>
      </w:r>
      <w:r w:rsidR="001B73D5" w:rsidRPr="0046259D">
        <w:t xml:space="preserve">the aspect of </w:t>
      </w:r>
      <w:r w:rsidR="006D0325" w:rsidRPr="0046259D">
        <w:t>trust</w:t>
      </w:r>
      <w:r w:rsidR="001B73D5" w:rsidRPr="0046259D">
        <w:t xml:space="preserve"> and cooperation</w:t>
      </w:r>
      <w:r w:rsidR="006D0325" w:rsidRPr="0046259D">
        <w:t xml:space="preserve">; </w:t>
      </w:r>
      <w:r w:rsidR="00727B63" w:rsidRPr="0046259D">
        <w:t>but</w:t>
      </w:r>
      <w:r w:rsidR="006D0325" w:rsidRPr="0046259D">
        <w:t xml:space="preserve"> i</w:t>
      </w:r>
      <w:r w:rsidR="00BD20D1" w:rsidRPr="0046259D">
        <w:t xml:space="preserve">nvariably, the </w:t>
      </w:r>
      <w:r w:rsidR="001B73D5" w:rsidRPr="0046259D">
        <w:t xml:space="preserve">willingness to ensure </w:t>
      </w:r>
      <w:r w:rsidR="00BD20D1" w:rsidRPr="0046259D">
        <w:t>adequacy</w:t>
      </w:r>
      <w:r w:rsidR="001B73D5" w:rsidRPr="0046259D">
        <w:t>, particularly</w:t>
      </w:r>
      <w:r w:rsidR="00BD20D1" w:rsidRPr="0046259D">
        <w:t xml:space="preserve"> </w:t>
      </w:r>
      <w:r w:rsidR="001B73D5" w:rsidRPr="0046259D">
        <w:t>the adequacy</w:t>
      </w:r>
      <w:r w:rsidR="00BD20D1" w:rsidRPr="0046259D">
        <w:t xml:space="preserve"> level of protection afforded by a third country</w:t>
      </w:r>
      <w:r w:rsidR="001B73D5" w:rsidRPr="0046259D">
        <w:t>, which</w:t>
      </w:r>
      <w:r w:rsidR="00BD20D1" w:rsidRPr="0046259D">
        <w:t xml:space="preserve"> remains a primary questioned to be determined.</w:t>
      </w:r>
    </w:p>
    <w:p w14:paraId="72FD2AAC" w14:textId="453313C0" w:rsidR="00BD20D1" w:rsidRPr="00AE2772" w:rsidRDefault="00BD20D1" w:rsidP="00BD20D1">
      <w:pPr>
        <w:spacing w:line="360" w:lineRule="auto"/>
        <w:rPr>
          <w:i/>
          <w:iCs/>
          <w:highlight w:val="yellow"/>
        </w:rPr>
      </w:pPr>
    </w:p>
    <w:p w14:paraId="2A5FAD52" w14:textId="755AEE89" w:rsidR="00976C87" w:rsidRDefault="00976C87" w:rsidP="00BD20D1">
      <w:pPr>
        <w:spacing w:line="360" w:lineRule="auto"/>
        <w:rPr>
          <w:rFonts w:ascii="Helvetica Neue" w:hAnsi="Helvetica Neue"/>
          <w:color w:val="333333"/>
          <w:sz w:val="27"/>
          <w:szCs w:val="27"/>
          <w:shd w:val="clear" w:color="auto" w:fill="FFFFFF"/>
        </w:rPr>
      </w:pPr>
    </w:p>
    <w:p w14:paraId="25A149D4" w14:textId="7BD04048" w:rsidR="00393768" w:rsidRDefault="00D73915" w:rsidP="00B51040">
      <w:pPr>
        <w:spacing w:line="360" w:lineRule="auto"/>
      </w:pPr>
      <w:r>
        <w:t>The</w:t>
      </w:r>
      <w:r w:rsidR="00393768">
        <w:t xml:space="preserve"> aspect of data transferral</w:t>
      </w:r>
      <w:r>
        <w:t>,</w:t>
      </w:r>
      <w:r w:rsidR="00393768">
        <w:t xml:space="preserve"> </w:t>
      </w:r>
      <w:r>
        <w:t xml:space="preserve">therefore, also </w:t>
      </w:r>
      <w:r w:rsidR="00393768">
        <w:t>continues to remain a challenge to policing and other LEA’s</w:t>
      </w:r>
      <w:r w:rsidR="00393768">
        <w:rPr>
          <w:rStyle w:val="FootnoteReference"/>
        </w:rPr>
        <w:footnoteReference w:id="83"/>
      </w:r>
      <w:r w:rsidR="00393768">
        <w:t xml:space="preserve"> and none more so than in the case of the UK</w:t>
      </w:r>
      <w:r w:rsidR="00AD19C4">
        <w:t xml:space="preserve"> – which now </w:t>
      </w:r>
      <w:r w:rsidR="008652A1">
        <w:t xml:space="preserve">sits outside the bloc of EU </w:t>
      </w:r>
      <w:r>
        <w:t xml:space="preserve">Member </w:t>
      </w:r>
      <w:r w:rsidR="008652A1">
        <w:t>States.</w:t>
      </w:r>
    </w:p>
    <w:p w14:paraId="64D0A42B" w14:textId="235D7814" w:rsidR="00393768" w:rsidRDefault="00393768" w:rsidP="00B51040">
      <w:pPr>
        <w:spacing w:line="360" w:lineRule="auto"/>
      </w:pPr>
    </w:p>
    <w:p w14:paraId="214A8CC5" w14:textId="77777777" w:rsidR="005953F0" w:rsidRDefault="00393768" w:rsidP="00B51040">
      <w:pPr>
        <w:spacing w:line="360" w:lineRule="auto"/>
        <w:rPr>
          <w:b/>
          <w:bCs/>
          <w:i/>
          <w:iCs/>
        </w:rPr>
      </w:pPr>
      <w:r w:rsidRPr="00077DD3">
        <w:rPr>
          <w:b/>
          <w:bCs/>
        </w:rPr>
        <w:t>4.</w:t>
      </w:r>
      <w:r>
        <w:rPr>
          <w:b/>
          <w:bCs/>
        </w:rPr>
        <w:t xml:space="preserve"> </w:t>
      </w:r>
      <w:r w:rsidRPr="00D0500D">
        <w:rPr>
          <w:b/>
          <w:bCs/>
          <w:i/>
          <w:iCs/>
        </w:rPr>
        <w:t>The UK and beyond 202</w:t>
      </w:r>
      <w:r w:rsidR="005953F0">
        <w:rPr>
          <w:b/>
          <w:bCs/>
          <w:i/>
          <w:iCs/>
        </w:rPr>
        <w:t>1</w:t>
      </w:r>
    </w:p>
    <w:p w14:paraId="65885302" w14:textId="77777777" w:rsidR="000B0576" w:rsidRDefault="000B0576" w:rsidP="00B51040">
      <w:pPr>
        <w:spacing w:line="360" w:lineRule="auto"/>
      </w:pPr>
    </w:p>
    <w:p w14:paraId="42F6F47B" w14:textId="376CD731" w:rsidR="00393768" w:rsidRPr="005953F0" w:rsidRDefault="00393768" w:rsidP="00B51040">
      <w:pPr>
        <w:spacing w:line="360" w:lineRule="auto"/>
        <w:rPr>
          <w:b/>
          <w:bCs/>
          <w:i/>
          <w:iCs/>
        </w:rPr>
      </w:pPr>
      <w:r>
        <w:t>The UK has always had somewhat of a precarious and yet privileged position in the EU.</w:t>
      </w:r>
      <w:r>
        <w:rPr>
          <w:rStyle w:val="FootnoteReference"/>
        </w:rPr>
        <w:footnoteReference w:id="84"/>
      </w:r>
      <w:r>
        <w:t xml:space="preserve"> In many ways it has had the best of both worlds – it has been able to ‘cherry pick’; opting in and opting out – including in respect to opening up its borders,</w:t>
      </w:r>
      <w:r>
        <w:rPr>
          <w:rStyle w:val="FootnoteReference"/>
        </w:rPr>
        <w:footnoteReference w:id="85"/>
      </w:r>
      <w:r>
        <w:t xml:space="preserve"> to fully engaging in police </w:t>
      </w:r>
      <w:r>
        <w:lastRenderedPageBreak/>
        <w:t>cooperation</w:t>
      </w:r>
      <w:r>
        <w:rPr>
          <w:rStyle w:val="FootnoteReference"/>
        </w:rPr>
        <w:footnoteReference w:id="86"/>
      </w:r>
      <w:r>
        <w:t xml:space="preserve"> </w:t>
      </w:r>
      <w:r w:rsidRPr="00837EDF">
        <w:rPr>
          <w:i/>
          <w:iCs/>
        </w:rPr>
        <w:t>and even</w:t>
      </w:r>
      <w:r w:rsidRPr="00645A1A">
        <w:rPr>
          <w:i/>
          <w:iCs/>
        </w:rPr>
        <w:t>…. human</w:t>
      </w:r>
      <w:r w:rsidRPr="00837EDF">
        <w:rPr>
          <w:i/>
          <w:iCs/>
        </w:rPr>
        <w:t xml:space="preserve"> rights</w:t>
      </w:r>
      <w:r>
        <w:t>.</w:t>
      </w:r>
      <w:r>
        <w:rPr>
          <w:rStyle w:val="FootnoteReference"/>
        </w:rPr>
        <w:footnoteReference w:id="87"/>
      </w:r>
      <w:r>
        <w:t xml:space="preserve"> It was part of the most successful union of countries that has ever occurred – attested by the simple fact that this alliance has not seen a war in Europe for </w:t>
      </w:r>
      <w:r w:rsidR="0069782A">
        <w:t xml:space="preserve">over </w:t>
      </w:r>
      <w:r>
        <w:t>75-years</w:t>
      </w:r>
      <w:r w:rsidR="00127A8A">
        <w:t xml:space="preserve">. </w:t>
      </w:r>
      <w:r w:rsidR="00127A8A" w:rsidRPr="00127A8A">
        <w:rPr>
          <w:i/>
          <w:iCs/>
        </w:rPr>
        <w:t>Lest we forget</w:t>
      </w:r>
      <w:r w:rsidR="00127A8A" w:rsidRPr="0069782A">
        <w:rPr>
          <w:rStyle w:val="FootnoteReference"/>
        </w:rPr>
        <w:footnoteReference w:id="88"/>
      </w:r>
      <w:r w:rsidRPr="0069782A">
        <w:t xml:space="preserve"> </w:t>
      </w:r>
      <w:r>
        <w:t xml:space="preserve">– </w:t>
      </w:r>
      <w:r w:rsidRPr="001705D3">
        <w:rPr>
          <w:i/>
          <w:iCs/>
        </w:rPr>
        <w:t>the longest period ever.</w:t>
      </w:r>
    </w:p>
    <w:p w14:paraId="1D28A6EA" w14:textId="77777777" w:rsidR="005953F0" w:rsidRDefault="005953F0" w:rsidP="00B51040">
      <w:pPr>
        <w:spacing w:line="360" w:lineRule="auto"/>
      </w:pPr>
    </w:p>
    <w:p w14:paraId="1949F211" w14:textId="67A5375D" w:rsidR="005953F0" w:rsidRDefault="005953F0" w:rsidP="00B51040">
      <w:pPr>
        <w:spacing w:line="360" w:lineRule="auto"/>
      </w:pPr>
      <w:r>
        <w:t xml:space="preserve">Everything we have learnt over time points to the failures of taking a rigid Westphalian </w:t>
      </w:r>
      <w:r w:rsidR="00127A8A">
        <w:t xml:space="preserve">(isolative) </w:t>
      </w:r>
      <w:r>
        <w:t xml:space="preserve">approach. </w:t>
      </w:r>
      <w:r w:rsidR="009D108D">
        <w:t>There is the added danger that this could inevitably shift to a nationalist stance that has no place in today’s globalised world. The UK,</w:t>
      </w:r>
      <w:r>
        <w:t xml:space="preserve"> former Prime Minister</w:t>
      </w:r>
      <w:r w:rsidR="009D108D">
        <w:t>,</w:t>
      </w:r>
      <w:r>
        <w:t xml:space="preserve"> Tony Blair, </w:t>
      </w:r>
      <w:r w:rsidR="002D7453">
        <w:t>identified how key cooperation is and how significance it remains to us,</w:t>
      </w:r>
      <w:r>
        <w:t xml:space="preserve"> when he </w:t>
      </w:r>
      <w:proofErr w:type="gramStart"/>
      <w:r>
        <w:t>said;</w:t>
      </w:r>
      <w:proofErr w:type="gramEnd"/>
    </w:p>
    <w:p w14:paraId="44D8429A" w14:textId="77777777" w:rsidR="005953F0" w:rsidRPr="00045EA9" w:rsidRDefault="005953F0" w:rsidP="00B51040">
      <w:pPr>
        <w:ind w:left="720"/>
        <w:rPr>
          <w:color w:val="000000" w:themeColor="text1"/>
        </w:rPr>
      </w:pPr>
      <w:r w:rsidRPr="00045EA9">
        <w:rPr>
          <w:color w:val="000000" w:themeColor="text1"/>
        </w:rPr>
        <w:t>“</w:t>
      </w:r>
      <w:r w:rsidRPr="00045EA9">
        <w:rPr>
          <w:i/>
          <w:iCs/>
          <w:color w:val="000000" w:themeColor="text1"/>
        </w:rPr>
        <w:t>We live in a world where isolationism has ceased to have a reason to exist. By necessity we have to co-operate with each other across nations. Many of our domestic problems are caused on the other side of the world. …... Poverty in the Caribbean means more drugs on the streets in Washington and London. …… These problems can only be addressed by international co-operation. We are all internationalists now, whether we like it or not. ……... We need new rules for international co-operation and new ways of organising our international institutions</w:t>
      </w:r>
      <w:r w:rsidRPr="00045EA9">
        <w:rPr>
          <w:color w:val="000000" w:themeColor="text1"/>
        </w:rPr>
        <w:t>.”</w:t>
      </w:r>
      <w:r w:rsidRPr="00045EA9">
        <w:rPr>
          <w:rStyle w:val="FootnoteReference"/>
          <w:color w:val="000000" w:themeColor="text1"/>
        </w:rPr>
        <w:footnoteReference w:id="89"/>
      </w:r>
    </w:p>
    <w:p w14:paraId="140B6741" w14:textId="5464669A" w:rsidR="00393768" w:rsidRDefault="00393768" w:rsidP="00B51040">
      <w:pPr>
        <w:spacing w:line="360" w:lineRule="auto"/>
        <w:rPr>
          <w:i/>
          <w:iCs/>
        </w:rPr>
      </w:pPr>
    </w:p>
    <w:p w14:paraId="4BF65122" w14:textId="098E1FD2" w:rsidR="00393768" w:rsidRDefault="009D108D" w:rsidP="00B51040">
      <w:pPr>
        <w:spacing w:line="360" w:lineRule="auto"/>
      </w:pPr>
      <w:r>
        <w:t xml:space="preserve">Clearly this extends to close neighbours and regional cooperation. </w:t>
      </w:r>
      <w:r w:rsidR="00393768">
        <w:t>The EU recognises that, “</w:t>
      </w:r>
      <w:r w:rsidR="00393768" w:rsidRPr="00E61252">
        <w:rPr>
          <w:i/>
          <w:iCs/>
        </w:rPr>
        <w:t>No man is an island: …</w:t>
      </w:r>
      <w:proofErr w:type="gramStart"/>
      <w:r w:rsidR="00393768" w:rsidRPr="00E61252">
        <w:rPr>
          <w:i/>
          <w:iCs/>
        </w:rPr>
        <w:t>….No</w:t>
      </w:r>
      <w:proofErr w:type="gramEnd"/>
      <w:r w:rsidR="00393768" w:rsidRPr="00E61252">
        <w:rPr>
          <w:i/>
          <w:iCs/>
        </w:rPr>
        <w:t xml:space="preserve"> one country can protect all </w:t>
      </w:r>
      <w:r w:rsidR="00393768">
        <w:rPr>
          <w:i/>
          <w:iCs/>
        </w:rPr>
        <w:t>[</w:t>
      </w:r>
      <w:r w:rsidR="00393768" w:rsidRPr="00045892">
        <w:t>its</w:t>
      </w:r>
      <w:r w:rsidR="00393768">
        <w:rPr>
          <w:i/>
          <w:iCs/>
        </w:rPr>
        <w:t>]</w:t>
      </w:r>
      <w:r w:rsidR="00393768" w:rsidRPr="00E61252">
        <w:rPr>
          <w:i/>
          <w:iCs/>
        </w:rPr>
        <w:t xml:space="preserve"> external borders – it’s a joint effort</w:t>
      </w:r>
      <w:r w:rsidR="00393768" w:rsidRPr="00E61252">
        <w:t>.</w:t>
      </w:r>
      <w:r w:rsidR="00393768">
        <w:t>”</w:t>
      </w:r>
      <w:r w:rsidR="00393768">
        <w:rPr>
          <w:rStyle w:val="FootnoteReference"/>
        </w:rPr>
        <w:footnoteReference w:id="90"/>
      </w:r>
      <w:r w:rsidR="00393768">
        <w:t xml:space="preserve"> Whilst the UK is, without doubt, an island, </w:t>
      </w:r>
      <w:r w:rsidR="0069782A">
        <w:t>it did build a ‘</w:t>
      </w:r>
      <w:r w:rsidR="0069782A" w:rsidRPr="0069782A">
        <w:rPr>
          <w:i/>
          <w:iCs/>
        </w:rPr>
        <w:t>bridge</w:t>
      </w:r>
      <w:r w:rsidR="0069782A" w:rsidRPr="0069782A">
        <w:rPr>
          <w:rStyle w:val="FootnoteReference"/>
        </w:rPr>
        <w:footnoteReference w:id="91"/>
      </w:r>
      <w:r w:rsidR="0069782A">
        <w:t>’ metaphorically to connect to neighbouring nations and it did chose to join this cooperative alliance of countries. D</w:t>
      </w:r>
      <w:r w:rsidR="00393768">
        <w:t xml:space="preserve">oes it really mean that it wants to be </w:t>
      </w:r>
      <w:proofErr w:type="gramStart"/>
      <w:r w:rsidR="00393768">
        <w:t>separated….</w:t>
      </w:r>
      <w:proofErr w:type="gramEnd"/>
      <w:r w:rsidR="00393768">
        <w:t xml:space="preserve"> </w:t>
      </w:r>
      <w:r>
        <w:t>s</w:t>
      </w:r>
      <w:r w:rsidR="00393768">
        <w:t>eparated from progression, unity and arguably, through such segregation, lack the best of means to protect its citizens?</w:t>
      </w:r>
    </w:p>
    <w:p w14:paraId="6BBEAB6B" w14:textId="77777777" w:rsidR="00393768" w:rsidRDefault="00393768" w:rsidP="00B51040">
      <w:pPr>
        <w:spacing w:line="360" w:lineRule="auto"/>
      </w:pPr>
    </w:p>
    <w:p w14:paraId="560B81C4" w14:textId="0C47DC1E" w:rsidR="002D7453" w:rsidRDefault="00393768" w:rsidP="00B51040">
      <w:pPr>
        <w:spacing w:line="360" w:lineRule="auto"/>
      </w:pPr>
      <w:r>
        <w:t>Globalisation has led to a different world (different to when the UK joined the EU in 1973</w:t>
      </w:r>
      <w:r>
        <w:rPr>
          <w:rStyle w:val="FootnoteReference"/>
        </w:rPr>
        <w:footnoteReference w:id="92"/>
      </w:r>
      <w:r>
        <w:t xml:space="preserve">) – where challenges come externally but also internally. </w:t>
      </w:r>
      <w:r w:rsidR="002D7453">
        <w:t>From 1973 until 2021 the UK ‘</w:t>
      </w:r>
      <w:r w:rsidR="002D7453" w:rsidRPr="002D7453">
        <w:rPr>
          <w:i/>
          <w:iCs/>
        </w:rPr>
        <w:t>stood</w:t>
      </w:r>
      <w:r w:rsidR="002D7453">
        <w:rPr>
          <w:i/>
          <w:iCs/>
        </w:rPr>
        <w:t>’</w:t>
      </w:r>
      <w:r w:rsidR="002D7453" w:rsidRPr="002D7453">
        <w:rPr>
          <w:i/>
          <w:iCs/>
        </w:rPr>
        <w:t xml:space="preserve"> </w:t>
      </w:r>
      <w:r w:rsidR="002D7453">
        <w:t>as a Member of one of the most progression models of unity across nations.</w:t>
      </w:r>
    </w:p>
    <w:p w14:paraId="449A98E3" w14:textId="77777777" w:rsidR="002D7453" w:rsidRDefault="002D7453" w:rsidP="00B51040">
      <w:pPr>
        <w:spacing w:line="360" w:lineRule="auto"/>
      </w:pPr>
    </w:p>
    <w:p w14:paraId="62A5D7AD" w14:textId="7AD8E7B8" w:rsidR="00393768" w:rsidRDefault="002D7453" w:rsidP="00B51040">
      <w:pPr>
        <w:spacing w:line="360" w:lineRule="auto"/>
      </w:pPr>
      <w:r>
        <w:lastRenderedPageBreak/>
        <w:t>Given this, should the UK really</w:t>
      </w:r>
      <w:r w:rsidR="00393768">
        <w:t xml:space="preserve"> </w:t>
      </w:r>
      <w:r w:rsidR="005953F0">
        <w:t>have aimed to go</w:t>
      </w:r>
      <w:r w:rsidR="00393768">
        <w:t xml:space="preserve"> back</w:t>
      </w:r>
      <w:r w:rsidR="005953F0">
        <w:t xml:space="preserve"> to the 1970’s?</w:t>
      </w:r>
      <w:r w:rsidR="00393768">
        <w:t xml:space="preserve"> </w:t>
      </w:r>
      <w:r w:rsidR="009D108D">
        <w:t>In</w:t>
      </w:r>
      <w:r w:rsidR="00393768">
        <w:t xml:space="preserve"> many ways, </w:t>
      </w:r>
      <w:r>
        <w:t>‘</w:t>
      </w:r>
      <w:r w:rsidR="00393768" w:rsidRPr="002D7453">
        <w:rPr>
          <w:i/>
          <w:iCs/>
        </w:rPr>
        <w:t>we</w:t>
      </w:r>
      <w:r>
        <w:t>’</w:t>
      </w:r>
      <w:r>
        <w:rPr>
          <w:rStyle w:val="FootnoteReference"/>
        </w:rPr>
        <w:footnoteReference w:id="93"/>
      </w:r>
      <w:r w:rsidR="00393768">
        <w:t xml:space="preserve"> </w:t>
      </w:r>
      <w:r>
        <w:t xml:space="preserve"> </w:t>
      </w:r>
      <w:r w:rsidR="00393768">
        <w:t>ha</w:t>
      </w:r>
      <w:r>
        <w:t>s</w:t>
      </w:r>
      <w:r w:rsidR="00393768">
        <w:t xml:space="preserve"> evolved so much that it is difficult to contemplate and impossible to achieve. So,</w:t>
      </w:r>
      <w:r w:rsidR="00393768" w:rsidRPr="00837EDF">
        <w:t xml:space="preserve"> it is with some irony, that in an ever</w:t>
      </w:r>
      <w:r w:rsidR="00393768">
        <w:t>-</w:t>
      </w:r>
      <w:r w:rsidR="00393768" w:rsidRPr="00837EDF">
        <w:t xml:space="preserve">globalised world (taking the current environment with regards to Covid-19 out of the equation) that the UK – has taken this backwards </w:t>
      </w:r>
      <w:r w:rsidR="00393768">
        <w:t xml:space="preserve">(devolutionary) regressive </w:t>
      </w:r>
      <w:r w:rsidR="00393768" w:rsidRPr="00837EDF">
        <w:t xml:space="preserve">step – to minimise opportunities </w:t>
      </w:r>
      <w:r w:rsidR="00393768">
        <w:t>of free movement</w:t>
      </w:r>
      <w:r w:rsidR="00393768" w:rsidRPr="00837EDF">
        <w:t xml:space="preserve"> and </w:t>
      </w:r>
      <w:r w:rsidR="00393768">
        <w:t xml:space="preserve">ultimately to </w:t>
      </w:r>
      <w:r w:rsidR="00645A1A">
        <w:t xml:space="preserve">risk the ability to </w:t>
      </w:r>
      <w:r w:rsidR="00393768">
        <w:t>share and coordinate – including in respects to data sharing and</w:t>
      </w:r>
      <w:r w:rsidR="009D108D">
        <w:t xml:space="preserve"> </w:t>
      </w:r>
      <w:r w:rsidR="00393768">
        <w:t xml:space="preserve">police cooperation. </w:t>
      </w:r>
    </w:p>
    <w:p w14:paraId="7E3F0F0F" w14:textId="67E0391E" w:rsidR="00393768" w:rsidRDefault="00393768" w:rsidP="00B51040">
      <w:pPr>
        <w:spacing w:line="360" w:lineRule="auto"/>
      </w:pPr>
    </w:p>
    <w:p w14:paraId="1FFC1EF9" w14:textId="149AA7D2" w:rsidR="005953F0" w:rsidRPr="005953F0" w:rsidRDefault="005953F0" w:rsidP="00B51040">
      <w:pPr>
        <w:spacing w:line="360" w:lineRule="auto"/>
        <w:rPr>
          <w:b/>
          <w:bCs/>
          <w:i/>
          <w:iCs/>
        </w:rPr>
      </w:pPr>
      <w:r>
        <w:rPr>
          <w:b/>
          <w:bCs/>
        </w:rPr>
        <w:t xml:space="preserve">4.1. </w:t>
      </w:r>
      <w:r>
        <w:rPr>
          <w:b/>
          <w:bCs/>
          <w:i/>
          <w:iCs/>
        </w:rPr>
        <w:t xml:space="preserve">The UK where it currently </w:t>
      </w:r>
      <w:r w:rsidR="002D7453">
        <w:rPr>
          <w:b/>
          <w:bCs/>
          <w:i/>
          <w:iCs/>
        </w:rPr>
        <w:t>‘</w:t>
      </w:r>
      <w:r>
        <w:rPr>
          <w:b/>
          <w:bCs/>
          <w:i/>
          <w:iCs/>
        </w:rPr>
        <w:t>sits!</w:t>
      </w:r>
      <w:r w:rsidR="002D7453">
        <w:rPr>
          <w:b/>
          <w:bCs/>
          <w:i/>
          <w:iCs/>
        </w:rPr>
        <w:t>’</w:t>
      </w:r>
    </w:p>
    <w:p w14:paraId="7194B7D4" w14:textId="519AA0DD" w:rsidR="007424E5" w:rsidRPr="007424E5" w:rsidRDefault="007424E5" w:rsidP="007424E5">
      <w:pPr>
        <w:spacing w:line="360" w:lineRule="auto"/>
      </w:pPr>
      <w:r w:rsidRPr="007424E5">
        <w:t xml:space="preserve">At the beginning of 2019 the EU produced a document </w:t>
      </w:r>
      <w:r>
        <w:t>warning of the</w:t>
      </w:r>
      <w:r w:rsidRPr="007424E5">
        <w:t xml:space="preserve"> </w:t>
      </w:r>
      <w:r>
        <w:t>potential to the</w:t>
      </w:r>
      <w:r w:rsidRPr="007424E5">
        <w:t xml:space="preserve"> UK after withdrawal from the Union;</w:t>
      </w:r>
      <w:r w:rsidRPr="007424E5">
        <w:rPr>
          <w:vertAlign w:val="superscript"/>
        </w:rPr>
        <w:footnoteReference w:id="94"/>
      </w:r>
      <w:r w:rsidRPr="007424E5">
        <w:t xml:space="preserve"> </w:t>
      </w:r>
    </w:p>
    <w:p w14:paraId="213B63D7" w14:textId="70ACABFA" w:rsidR="007424E5" w:rsidRDefault="007424E5" w:rsidP="00506DBB">
      <w:pPr>
        <w:ind w:left="720"/>
      </w:pPr>
      <w:r w:rsidRPr="007424E5">
        <w:t>“</w:t>
      </w:r>
      <w:r w:rsidRPr="007424E5">
        <w:rPr>
          <w:i/>
          <w:iCs/>
        </w:rPr>
        <w:t xml:space="preserve">Unless otherwise provided </w:t>
      </w:r>
      <w:r w:rsidR="00BB7ED5">
        <w:rPr>
          <w:i/>
          <w:iCs/>
        </w:rPr>
        <w:t>……</w:t>
      </w:r>
      <w:r w:rsidRPr="007424E5">
        <w:rPr>
          <w:i/>
          <w:iCs/>
        </w:rPr>
        <w:t xml:space="preserve"> at the end of the transition period the United Kingdom shall cease to be entitled to access any network, any information system and any database established on the basis of Union law. The United Kingdom shall take appropriate measures to ensure that it does not access a network, information system or database which it is no longer entitled to access</w:t>
      </w:r>
      <w:r w:rsidRPr="007424E5">
        <w:t>” (Article 8).</w:t>
      </w:r>
    </w:p>
    <w:p w14:paraId="1907828D" w14:textId="77777777" w:rsidR="00BB7ED5" w:rsidRDefault="00BB7ED5" w:rsidP="00B51040">
      <w:pPr>
        <w:spacing w:line="360" w:lineRule="auto"/>
      </w:pPr>
    </w:p>
    <w:p w14:paraId="5FEE94AE" w14:textId="0F7C6386" w:rsidR="008F3609" w:rsidRPr="008F3609" w:rsidRDefault="00BB7ED5" w:rsidP="008F3609">
      <w:pPr>
        <w:spacing w:line="360" w:lineRule="auto"/>
      </w:pPr>
      <w:r>
        <w:t xml:space="preserve">As of 1 </w:t>
      </w:r>
      <w:proofErr w:type="gramStart"/>
      <w:r>
        <w:t>January,</w:t>
      </w:r>
      <w:proofErr w:type="gramEnd"/>
      <w:r>
        <w:t xml:space="preserve"> 2021</w:t>
      </w:r>
      <w:r w:rsidR="0068054D">
        <w:t xml:space="preserve"> </w:t>
      </w:r>
      <w:r>
        <w:t xml:space="preserve">the UK’s </w:t>
      </w:r>
      <w:r w:rsidRPr="001023DE">
        <w:rPr>
          <w:i/>
          <w:iCs/>
        </w:rPr>
        <w:t>standing</w:t>
      </w:r>
      <w:r>
        <w:t xml:space="preserve"> in Europe is noticeably different. It no longer is a Member of the EU and that means it </w:t>
      </w:r>
      <w:r w:rsidR="008F3609">
        <w:t>stands to lose</w:t>
      </w:r>
      <w:r>
        <w:t xml:space="preserve"> the majority of mechanisms for coordination and cooperation that it availed itself of previously (as of 2020) with its neighbours in this European bloc.</w:t>
      </w:r>
      <w:r w:rsidR="008F3609">
        <w:t xml:space="preserve">  </w:t>
      </w:r>
      <w:r w:rsidR="0068054D" w:rsidRPr="00882474">
        <w:t xml:space="preserve">This also will affect linked policy areas, such as transport and free movement. </w:t>
      </w:r>
      <w:r w:rsidR="008F3609" w:rsidRPr="00882474">
        <w:t>Currently there</w:t>
      </w:r>
      <w:r w:rsidR="008F3609">
        <w:t xml:space="preserve"> is a 6-months window which allows </w:t>
      </w:r>
      <w:r w:rsidR="008F3609" w:rsidRPr="008F3609">
        <w:t>personal data to continue to flow</w:t>
      </w:r>
      <w:r w:rsidR="008F3609">
        <w:t>,</w:t>
      </w:r>
      <w:r w:rsidR="008F3609" w:rsidRPr="008F3609">
        <w:t xml:space="preserve"> as it did before the end of the Brexit transition period, while the EU completes the adequacy process.</w:t>
      </w:r>
      <w:r w:rsidR="00386F2A">
        <w:rPr>
          <w:rStyle w:val="FootnoteReference"/>
        </w:rPr>
        <w:footnoteReference w:id="95"/>
      </w:r>
    </w:p>
    <w:p w14:paraId="62E2FC80" w14:textId="77777777" w:rsidR="008F3609" w:rsidRDefault="008F3609" w:rsidP="00B51040">
      <w:pPr>
        <w:spacing w:line="360" w:lineRule="auto"/>
      </w:pPr>
    </w:p>
    <w:p w14:paraId="25910713" w14:textId="6CAC0FAB" w:rsidR="00710728" w:rsidRDefault="00710728" w:rsidP="00B51040">
      <w:pPr>
        <w:spacing w:line="360" w:lineRule="auto"/>
      </w:pPr>
      <w:r>
        <w:t xml:space="preserve">The UK still has its </w:t>
      </w:r>
      <w:r w:rsidR="004C2DD7">
        <w:t>‘</w:t>
      </w:r>
      <w:r>
        <w:t>National</w:t>
      </w:r>
      <w:r w:rsidR="004C2DD7">
        <w:t xml:space="preserve">’ </w:t>
      </w:r>
      <w:r>
        <w:t>Police Computer (PNC) which has evolved in terms of data held and capabilities since its original concept and inception</w:t>
      </w:r>
      <w:r w:rsidR="004C2DD7">
        <w:t xml:space="preserve"> in the 1970’s</w:t>
      </w:r>
      <w:r>
        <w:t xml:space="preserve">. </w:t>
      </w:r>
      <w:r w:rsidR="001C596F">
        <w:t>Noting, that this</w:t>
      </w:r>
      <w:r>
        <w:t xml:space="preserve"> was complemented by the</w:t>
      </w:r>
      <w:r w:rsidRPr="00710728">
        <w:t xml:space="preserve"> Police National Database</w:t>
      </w:r>
      <w:r>
        <w:t xml:space="preserve"> (PND)</w:t>
      </w:r>
      <w:r w:rsidRPr="00710728">
        <w:t xml:space="preserve"> introduced in 2009, which receives intelligence data from predominantly police forces</w:t>
      </w:r>
      <w:r>
        <w:t xml:space="preserve"> (and some other LEA’s</w:t>
      </w:r>
      <w:r w:rsidRPr="00710728">
        <w:t xml:space="preserve">) on a </w:t>
      </w:r>
      <w:r w:rsidRPr="00710728">
        <w:lastRenderedPageBreak/>
        <w:t xml:space="preserve">daily basis </w:t>
      </w:r>
      <w:r>
        <w:t xml:space="preserve">relating to </w:t>
      </w:r>
      <w:r w:rsidRPr="00710728">
        <w:t xml:space="preserve">persons, events, locations, organisations (including criminal) and </w:t>
      </w:r>
      <w:r>
        <w:t>other related matters.</w:t>
      </w:r>
    </w:p>
    <w:p w14:paraId="7D90A8ED" w14:textId="31AD7DB1" w:rsidR="00231DA3" w:rsidRDefault="00231DA3" w:rsidP="00B51040">
      <w:pPr>
        <w:spacing w:line="360" w:lineRule="auto"/>
      </w:pPr>
    </w:p>
    <w:p w14:paraId="1C6E0C11" w14:textId="22DC863F" w:rsidR="007202CF" w:rsidRDefault="00231DA3" w:rsidP="00B51040">
      <w:pPr>
        <w:spacing w:line="360" w:lineRule="auto"/>
      </w:pPr>
      <w:r>
        <w:t>In 2016, the same year as the Referendum which saw the UK start its journey to leave the EU, it was announced that a replacement for both the PNC and PND would occur.</w:t>
      </w:r>
      <w:r w:rsidR="007202CF">
        <w:t xml:space="preserve"> </w:t>
      </w:r>
      <w:r w:rsidR="007202CF" w:rsidRPr="007202CF">
        <w:rPr>
          <w:bCs/>
        </w:rPr>
        <w:t xml:space="preserve">The National Law Enforcement Data Programme </w:t>
      </w:r>
      <w:r w:rsidR="007202CF" w:rsidRPr="007202CF">
        <w:t xml:space="preserve">(NLEDP) </w:t>
      </w:r>
      <w:r w:rsidR="007202CF">
        <w:t xml:space="preserve">declared the </w:t>
      </w:r>
      <w:r w:rsidR="007202CF" w:rsidRPr="007202CF">
        <w:t xml:space="preserve">aim to relocate </w:t>
      </w:r>
      <w:r w:rsidR="007202CF">
        <w:t>both</w:t>
      </w:r>
      <w:r w:rsidR="007202CF" w:rsidRPr="007202CF">
        <w:t xml:space="preserve"> systems onto a single technology platform the Law Enforcement Data Service (LEDS). </w:t>
      </w:r>
    </w:p>
    <w:p w14:paraId="23808352" w14:textId="56C96205" w:rsidR="007202CF" w:rsidRPr="007202CF" w:rsidRDefault="007202CF" w:rsidP="00B51040">
      <w:pPr>
        <w:spacing w:line="360" w:lineRule="auto"/>
      </w:pPr>
      <w:r w:rsidRPr="007202CF">
        <w:t xml:space="preserve">The intention </w:t>
      </w:r>
      <w:r>
        <w:t>was said to support the police and other LEA’S</w:t>
      </w:r>
      <w:r w:rsidRPr="007202CF">
        <w:t xml:space="preserve"> with </w:t>
      </w:r>
      <w:r>
        <w:t>‘</w:t>
      </w:r>
      <w:r w:rsidRPr="007202CF">
        <w:t>current and joined up information, on-demand and at the point of need</w:t>
      </w:r>
      <w:r>
        <w:t>.’ It was argued that this would</w:t>
      </w:r>
      <w:r w:rsidRPr="007202CF">
        <w:t xml:space="preserve"> </w:t>
      </w:r>
      <w:r>
        <w:t>‘</w:t>
      </w:r>
      <w:r w:rsidRPr="007202CF">
        <w:rPr>
          <w:i/>
          <w:iCs/>
        </w:rPr>
        <w:t>prevent crime and better safeguard the public</w:t>
      </w:r>
      <w:r w:rsidRPr="007202CF">
        <w:t>.</w:t>
      </w:r>
      <w:r>
        <w:t>’</w:t>
      </w:r>
      <w:r>
        <w:rPr>
          <w:rStyle w:val="FootnoteReference"/>
        </w:rPr>
        <w:footnoteReference w:id="96"/>
      </w:r>
      <w:r w:rsidRPr="007202CF">
        <w:t xml:space="preserve"> </w:t>
      </w:r>
    </w:p>
    <w:p w14:paraId="3DB560C2" w14:textId="77777777" w:rsidR="00B51040" w:rsidRDefault="00B51040" w:rsidP="00B51040">
      <w:pPr>
        <w:spacing w:line="360" w:lineRule="auto"/>
      </w:pPr>
    </w:p>
    <w:p w14:paraId="110F4136" w14:textId="786B0BEC" w:rsidR="004A06E5" w:rsidRPr="00C9692E" w:rsidRDefault="0093091B" w:rsidP="00B51040">
      <w:pPr>
        <w:spacing w:line="360" w:lineRule="auto"/>
        <w:rPr>
          <w:color w:val="000000" w:themeColor="text1"/>
          <w:shd w:val="clear" w:color="auto" w:fill="FFFFFF"/>
        </w:rPr>
      </w:pPr>
      <w:r>
        <w:t>Currently</w:t>
      </w:r>
      <w:r w:rsidR="001C596F">
        <w:t>,</w:t>
      </w:r>
      <w:r w:rsidR="001C596F" w:rsidRPr="001C596F">
        <w:t xml:space="preserve"> </w:t>
      </w:r>
      <w:r w:rsidR="001C596F" w:rsidRPr="007202CF">
        <w:t>NLEDP</w:t>
      </w:r>
      <w:r w:rsidR="001C596F">
        <w:t xml:space="preserve"> </w:t>
      </w:r>
      <w:r>
        <w:t xml:space="preserve">is behind the schedule anticipated and is </w:t>
      </w:r>
      <w:r w:rsidRPr="001C596F">
        <w:rPr>
          <w:color w:val="000000" w:themeColor="text1"/>
        </w:rPr>
        <w:t xml:space="preserve">continuing to incur heavy costs, with the programme overspend </w:t>
      </w:r>
      <w:r w:rsidR="001C596F">
        <w:rPr>
          <w:color w:val="000000" w:themeColor="text1"/>
        </w:rPr>
        <w:t xml:space="preserve">being reported as </w:t>
      </w:r>
      <w:r w:rsidR="00C9692E">
        <w:rPr>
          <w:color w:val="000000" w:themeColor="text1"/>
        </w:rPr>
        <w:t xml:space="preserve">being </w:t>
      </w:r>
      <w:r w:rsidRPr="001C596F">
        <w:rPr>
          <w:color w:val="000000" w:themeColor="text1"/>
        </w:rPr>
        <w:t>in excess of over £45m.</w:t>
      </w:r>
      <w:r w:rsidRPr="001C596F">
        <w:rPr>
          <w:rStyle w:val="FootnoteReference"/>
          <w:color w:val="000000" w:themeColor="text1"/>
        </w:rPr>
        <w:footnoteReference w:id="97"/>
      </w:r>
      <w:r w:rsidRPr="001C596F">
        <w:rPr>
          <w:rFonts w:ascii="Arial" w:hAnsi="Arial" w:cs="Arial"/>
          <w:color w:val="000000" w:themeColor="text1"/>
          <w:sz w:val="27"/>
          <w:szCs w:val="27"/>
          <w:shd w:val="clear" w:color="auto" w:fill="FFFFFF"/>
        </w:rPr>
        <w:t xml:space="preserve"> </w:t>
      </w:r>
      <w:r w:rsidR="00C9692E">
        <w:rPr>
          <w:color w:val="000000" w:themeColor="text1"/>
          <w:shd w:val="clear" w:color="auto" w:fill="FFFFFF"/>
        </w:rPr>
        <w:t>Concerns have also been raised</w:t>
      </w:r>
      <w:r w:rsidR="00D024C3">
        <w:rPr>
          <w:color w:val="000000" w:themeColor="text1"/>
          <w:shd w:val="clear" w:color="auto" w:fill="FFFFFF"/>
        </w:rPr>
        <w:t xml:space="preserve"> within the UK that the system-merger could lead to over-policing</w:t>
      </w:r>
      <w:r w:rsidR="004A06E5">
        <w:rPr>
          <w:color w:val="000000" w:themeColor="text1"/>
          <w:shd w:val="clear" w:color="auto" w:fill="FFFFFF"/>
        </w:rPr>
        <w:t xml:space="preserve"> and that</w:t>
      </w:r>
      <w:r w:rsidR="00C9692E">
        <w:rPr>
          <w:color w:val="000000" w:themeColor="text1"/>
          <w:shd w:val="clear" w:color="auto" w:fill="FFFFFF"/>
        </w:rPr>
        <w:t xml:space="preserve"> extra data collection could compromise liberties as well as be a security risk</w:t>
      </w:r>
      <w:r w:rsidR="004A06E5">
        <w:rPr>
          <w:color w:val="000000" w:themeColor="text1"/>
          <w:shd w:val="clear" w:color="auto" w:fill="FFFFFF"/>
        </w:rPr>
        <w:t xml:space="preserve"> </w:t>
      </w:r>
      <w:r w:rsidR="00C9692E">
        <w:rPr>
          <w:color w:val="000000" w:themeColor="text1"/>
          <w:shd w:val="clear" w:color="auto" w:fill="FFFFFF"/>
        </w:rPr>
        <w:t>through the data processing mechanisms</w:t>
      </w:r>
      <w:r w:rsidR="004A06E5">
        <w:rPr>
          <w:color w:val="000000" w:themeColor="text1"/>
          <w:shd w:val="clear" w:color="auto" w:fill="FFFFFF"/>
        </w:rPr>
        <w:t>.</w:t>
      </w:r>
      <w:r w:rsidR="00D024C3">
        <w:rPr>
          <w:rStyle w:val="FootnoteReference"/>
          <w:color w:val="000000" w:themeColor="text1"/>
          <w:shd w:val="clear" w:color="auto" w:fill="FFFFFF"/>
        </w:rPr>
        <w:footnoteReference w:id="98"/>
      </w:r>
      <w:r w:rsidR="00D024C3">
        <w:rPr>
          <w:color w:val="000000" w:themeColor="text1"/>
          <w:shd w:val="clear" w:color="auto" w:fill="FFFFFF"/>
        </w:rPr>
        <w:t xml:space="preserve"> </w:t>
      </w:r>
      <w:r w:rsidR="004A06E5">
        <w:rPr>
          <w:color w:val="000000" w:themeColor="text1"/>
          <w:shd w:val="clear" w:color="auto" w:fill="FFFFFF"/>
        </w:rPr>
        <w:t>This said, in January 2021, as the UK left the EU</w:t>
      </w:r>
      <w:r w:rsidR="00C9692E">
        <w:rPr>
          <w:color w:val="000000" w:themeColor="text1"/>
          <w:shd w:val="clear" w:color="auto" w:fill="FFFFFF"/>
        </w:rPr>
        <w:t>,</w:t>
      </w:r>
      <w:r w:rsidR="004A06E5">
        <w:rPr>
          <w:color w:val="000000" w:themeColor="text1"/>
          <w:shd w:val="clear" w:color="auto" w:fill="FFFFFF"/>
        </w:rPr>
        <w:t xml:space="preserve"> reports circulated of a technical issue which resulted in </w:t>
      </w:r>
      <w:r w:rsidR="004A06E5" w:rsidRPr="004A06E5">
        <w:rPr>
          <w:bCs/>
          <w:color w:val="000000" w:themeColor="text1"/>
          <w:shd w:val="clear" w:color="auto" w:fill="FFFFFF"/>
        </w:rPr>
        <w:t xml:space="preserve">150,000 records being deleted from </w:t>
      </w:r>
      <w:r w:rsidR="00681C45">
        <w:rPr>
          <w:bCs/>
          <w:color w:val="000000" w:themeColor="text1"/>
          <w:shd w:val="clear" w:color="auto" w:fill="FFFFFF"/>
        </w:rPr>
        <w:t xml:space="preserve">the </w:t>
      </w:r>
      <w:r w:rsidR="004A06E5">
        <w:rPr>
          <w:bCs/>
          <w:color w:val="000000" w:themeColor="text1"/>
          <w:shd w:val="clear" w:color="auto" w:fill="FFFFFF"/>
        </w:rPr>
        <w:t xml:space="preserve">UK </w:t>
      </w:r>
      <w:r w:rsidR="00681C45">
        <w:rPr>
          <w:bCs/>
          <w:color w:val="000000" w:themeColor="text1"/>
          <w:shd w:val="clear" w:color="auto" w:fill="FFFFFF"/>
        </w:rPr>
        <w:t>PNC</w:t>
      </w:r>
      <w:r w:rsidR="004A06E5" w:rsidRPr="004A06E5">
        <w:rPr>
          <w:bCs/>
          <w:color w:val="000000" w:themeColor="text1"/>
          <w:shd w:val="clear" w:color="auto" w:fill="FFFFFF"/>
        </w:rPr>
        <w:t xml:space="preserve"> database</w:t>
      </w:r>
      <w:r w:rsidR="007C4942">
        <w:rPr>
          <w:bCs/>
          <w:color w:val="000000" w:themeColor="text1"/>
          <w:shd w:val="clear" w:color="auto" w:fill="FFFFFF"/>
        </w:rPr>
        <w:t xml:space="preserve">. </w:t>
      </w:r>
      <w:r w:rsidR="004A06E5">
        <w:rPr>
          <w:bCs/>
          <w:color w:val="000000" w:themeColor="text1"/>
          <w:shd w:val="clear" w:color="auto" w:fill="FFFFFF"/>
        </w:rPr>
        <w:t xml:space="preserve"> </w:t>
      </w:r>
      <w:r w:rsidR="00C9692E">
        <w:rPr>
          <w:bCs/>
          <w:color w:val="000000" w:themeColor="text1"/>
          <w:shd w:val="clear" w:color="auto" w:fill="FFFFFF"/>
        </w:rPr>
        <w:t>Ironically, as a direct consequence of the UK leaving the EU, some</w:t>
      </w:r>
      <w:r w:rsidR="004A06E5">
        <w:rPr>
          <w:bCs/>
          <w:color w:val="000000" w:themeColor="text1"/>
          <w:shd w:val="clear" w:color="auto" w:fill="FFFFFF"/>
        </w:rPr>
        <w:t xml:space="preserve"> </w:t>
      </w:r>
      <w:r w:rsidR="004A06E5" w:rsidRPr="004A06E5">
        <w:rPr>
          <w:bCs/>
          <w:color w:val="000000" w:themeColor="text1"/>
          <w:shd w:val="clear" w:color="auto" w:fill="FFFFFF"/>
        </w:rPr>
        <w:t xml:space="preserve">40,000 alerts relating to European criminals </w:t>
      </w:r>
      <w:r w:rsidR="00C9692E">
        <w:rPr>
          <w:bCs/>
          <w:color w:val="000000" w:themeColor="text1"/>
          <w:shd w:val="clear" w:color="auto" w:fill="FFFFFF"/>
        </w:rPr>
        <w:t>were purposely removed.</w:t>
      </w:r>
      <w:r w:rsidR="00C9692E">
        <w:rPr>
          <w:rStyle w:val="FootnoteReference"/>
          <w:bCs/>
          <w:color w:val="000000" w:themeColor="text1"/>
          <w:shd w:val="clear" w:color="auto" w:fill="FFFFFF"/>
        </w:rPr>
        <w:footnoteReference w:id="99"/>
      </w:r>
    </w:p>
    <w:p w14:paraId="11456121" w14:textId="77777777" w:rsidR="004A06E5" w:rsidRPr="004A06E5" w:rsidRDefault="004A06E5" w:rsidP="00B51040">
      <w:pPr>
        <w:spacing w:line="360" w:lineRule="auto"/>
        <w:rPr>
          <w:bCs/>
          <w:color w:val="000000" w:themeColor="text1"/>
          <w:shd w:val="clear" w:color="auto" w:fill="FFFFFF"/>
        </w:rPr>
      </w:pPr>
    </w:p>
    <w:p w14:paraId="0E4E9DF2" w14:textId="3359CBED" w:rsidR="004A06E5" w:rsidRPr="004A06E5" w:rsidRDefault="00C9692E" w:rsidP="00B51040">
      <w:pPr>
        <w:spacing w:line="360" w:lineRule="auto"/>
        <w:rPr>
          <w:color w:val="000000" w:themeColor="text1"/>
          <w:shd w:val="clear" w:color="auto" w:fill="FFFFFF"/>
        </w:rPr>
      </w:pPr>
      <w:r w:rsidRPr="001C596F">
        <w:rPr>
          <w:color w:val="000000" w:themeColor="text1"/>
          <w:shd w:val="clear" w:color="auto" w:fill="FFFFFF"/>
        </w:rPr>
        <w:lastRenderedPageBreak/>
        <w:t>Whilst</w:t>
      </w:r>
      <w:r w:rsidR="00681C45">
        <w:rPr>
          <w:rFonts w:ascii="Arial" w:hAnsi="Arial" w:cs="Arial"/>
          <w:color w:val="000000" w:themeColor="text1"/>
          <w:sz w:val="27"/>
          <w:szCs w:val="27"/>
          <w:shd w:val="clear" w:color="auto" w:fill="FFFFFF"/>
        </w:rPr>
        <w:t xml:space="preserve"> </w:t>
      </w:r>
      <w:r w:rsidR="00681C45" w:rsidRPr="00681C45">
        <w:rPr>
          <w:color w:val="000000" w:themeColor="text1"/>
          <w:shd w:val="clear" w:color="auto" w:fill="FFFFFF"/>
        </w:rPr>
        <w:t>supporters of</w:t>
      </w:r>
      <w:r w:rsidR="00681C45">
        <w:rPr>
          <w:color w:val="000000" w:themeColor="text1"/>
          <w:shd w:val="clear" w:color="auto" w:fill="FFFFFF"/>
        </w:rPr>
        <w:t xml:space="preserve"> LEDS are still hopeful, given the delays</w:t>
      </w:r>
      <w:r>
        <w:rPr>
          <w:color w:val="000000" w:themeColor="text1"/>
          <w:shd w:val="clear" w:color="auto" w:fill="FFFFFF"/>
        </w:rPr>
        <w:t xml:space="preserve">, it will </w:t>
      </w:r>
      <w:r w:rsidR="00681C45">
        <w:rPr>
          <w:color w:val="000000" w:themeColor="text1"/>
          <w:shd w:val="clear" w:color="auto" w:fill="FFFFFF"/>
        </w:rPr>
        <w:t xml:space="preserve">still </w:t>
      </w:r>
      <w:r>
        <w:rPr>
          <w:color w:val="000000" w:themeColor="text1"/>
          <w:shd w:val="clear" w:color="auto" w:fill="FFFFFF"/>
        </w:rPr>
        <w:t>be possible to test part of the LEDS system</w:t>
      </w:r>
      <w:r w:rsidR="00681C45">
        <w:rPr>
          <w:color w:val="000000" w:themeColor="text1"/>
          <w:shd w:val="clear" w:color="auto" w:fill="FFFFFF"/>
        </w:rPr>
        <w:t xml:space="preserve"> in 2021 </w:t>
      </w:r>
      <w:r>
        <w:rPr>
          <w:color w:val="000000" w:themeColor="text1"/>
          <w:shd w:val="clear" w:color="auto" w:fill="FFFFFF"/>
        </w:rPr>
        <w:t>(specifically, identified pilot police forces</w:t>
      </w:r>
      <w:r w:rsidRPr="001C596F">
        <w:rPr>
          <w:color w:val="000000" w:themeColor="text1"/>
          <w:shd w:val="clear" w:color="auto" w:fill="FFFFFF"/>
        </w:rPr>
        <w:t xml:space="preserve"> to access Driving Licence Images at the roadside by Police issued mobile devices</w:t>
      </w:r>
      <w:r>
        <w:rPr>
          <w:color w:val="000000" w:themeColor="text1"/>
          <w:shd w:val="clear" w:color="auto" w:fill="FFFFFF"/>
        </w:rPr>
        <w:t>) there remains so much irony in this project, not least considering the UK’s position in Europe at the end of 2020</w:t>
      </w:r>
      <w:r w:rsidR="008F3609">
        <w:rPr>
          <w:color w:val="000000" w:themeColor="text1"/>
          <w:shd w:val="clear" w:color="auto" w:fill="FFFFFF"/>
        </w:rPr>
        <w:t xml:space="preserve"> and future uncertainty.</w:t>
      </w:r>
    </w:p>
    <w:p w14:paraId="790DF645" w14:textId="77777777" w:rsidR="004A06E5" w:rsidRPr="004A06E5" w:rsidRDefault="004A06E5" w:rsidP="00B51040">
      <w:pPr>
        <w:spacing w:line="360" w:lineRule="auto"/>
        <w:rPr>
          <w:color w:val="000000" w:themeColor="text1"/>
          <w:shd w:val="clear" w:color="auto" w:fill="FFFFFF"/>
        </w:rPr>
      </w:pPr>
    </w:p>
    <w:p w14:paraId="360704D4" w14:textId="5BCD027F" w:rsidR="00295531" w:rsidRDefault="00B9607A" w:rsidP="00B51040">
      <w:pPr>
        <w:spacing w:line="360" w:lineRule="auto"/>
        <w:rPr>
          <w:color w:val="000000" w:themeColor="text1"/>
          <w:shd w:val="clear" w:color="auto" w:fill="FFFFFF"/>
        </w:rPr>
      </w:pPr>
      <w:r>
        <w:rPr>
          <w:color w:val="000000" w:themeColor="text1"/>
          <w:shd w:val="clear" w:color="auto" w:fill="FFFFFF"/>
        </w:rPr>
        <w:t xml:space="preserve">The NLED programme clearly recognised the need to aid the police (and other agencies) by providing up-to-date information which would aid to safeguard the public (as well as frontline officers). Affirmation was accorded to the necessity of ensuring information and intelligence is joined-up and part of this means sharing, coordinating and cooperating.  </w:t>
      </w:r>
      <w:r w:rsidR="00461600">
        <w:rPr>
          <w:color w:val="000000" w:themeColor="text1"/>
          <w:shd w:val="clear" w:color="auto" w:fill="FFFFFF"/>
        </w:rPr>
        <w:t>However, with the UK withdrawing from the EU</w:t>
      </w:r>
      <w:r w:rsidR="00295531">
        <w:rPr>
          <w:color w:val="000000" w:themeColor="text1"/>
          <w:shd w:val="clear" w:color="auto" w:fill="FFFFFF"/>
        </w:rPr>
        <w:t>,</w:t>
      </w:r>
      <w:r w:rsidR="00442647">
        <w:rPr>
          <w:color w:val="000000" w:themeColor="text1"/>
          <w:shd w:val="clear" w:color="auto" w:fill="FFFFFF"/>
        </w:rPr>
        <w:t xml:space="preserve"> the cooperative mechanism to share information held on the PNC (or any replacement) is no longer compatible with the legislative instrument</w:t>
      </w:r>
      <w:r w:rsidR="00D024C3">
        <w:rPr>
          <w:color w:val="000000" w:themeColor="text1"/>
          <w:shd w:val="clear" w:color="auto" w:fill="FFFFFF"/>
        </w:rPr>
        <w:t xml:space="preserve">, which </w:t>
      </w:r>
      <w:r w:rsidR="00153CA4">
        <w:rPr>
          <w:color w:val="000000" w:themeColor="text1"/>
          <w:shd w:val="clear" w:color="auto" w:fill="FFFFFF"/>
        </w:rPr>
        <w:t>recognised the UK</w:t>
      </w:r>
      <w:r w:rsidR="00D024C3">
        <w:rPr>
          <w:color w:val="000000" w:themeColor="text1"/>
          <w:shd w:val="clear" w:color="auto" w:fill="FFFFFF"/>
        </w:rPr>
        <w:t xml:space="preserve"> as being a Member State</w:t>
      </w:r>
      <w:r w:rsidR="00153CA4">
        <w:rPr>
          <w:color w:val="000000" w:themeColor="text1"/>
          <w:shd w:val="clear" w:color="auto" w:fill="FFFFFF"/>
        </w:rPr>
        <w:t xml:space="preserve"> of the Union</w:t>
      </w:r>
      <w:r w:rsidR="00442647">
        <w:rPr>
          <w:color w:val="000000" w:themeColor="text1"/>
          <w:shd w:val="clear" w:color="auto" w:fill="FFFFFF"/>
        </w:rPr>
        <w:t>.</w:t>
      </w:r>
      <w:r w:rsidR="00442647">
        <w:rPr>
          <w:rStyle w:val="FootnoteReference"/>
          <w:color w:val="000000" w:themeColor="text1"/>
          <w:shd w:val="clear" w:color="auto" w:fill="FFFFFF"/>
        </w:rPr>
        <w:footnoteReference w:id="100"/>
      </w:r>
      <w:r w:rsidR="00442647">
        <w:rPr>
          <w:color w:val="000000" w:themeColor="text1"/>
          <w:shd w:val="clear" w:color="auto" w:fill="FFFFFF"/>
        </w:rPr>
        <w:t xml:space="preserve"> </w:t>
      </w:r>
      <w:r w:rsidR="00295531">
        <w:rPr>
          <w:color w:val="000000" w:themeColor="text1"/>
          <w:shd w:val="clear" w:color="auto" w:fill="FFFFFF"/>
        </w:rPr>
        <w:t>In December 2020 a partnership agreement between the EU and UK (of over 1,000 pages</w:t>
      </w:r>
      <w:r w:rsidR="00295531">
        <w:rPr>
          <w:rStyle w:val="FootnoteReference"/>
          <w:color w:val="000000" w:themeColor="text1"/>
          <w:shd w:val="clear" w:color="auto" w:fill="FFFFFF"/>
        </w:rPr>
        <w:footnoteReference w:id="101"/>
      </w:r>
      <w:r w:rsidR="00295531">
        <w:rPr>
          <w:color w:val="000000" w:themeColor="text1"/>
          <w:shd w:val="clear" w:color="auto" w:fill="FFFFFF"/>
        </w:rPr>
        <w:t xml:space="preserve">) was published, whereby security provisions were identified within but were not confirmed specifically. </w:t>
      </w:r>
      <w:r w:rsidR="00D024C3">
        <w:rPr>
          <w:color w:val="000000" w:themeColor="text1"/>
          <w:shd w:val="clear" w:color="auto" w:fill="FFFFFF"/>
        </w:rPr>
        <w:t xml:space="preserve">This puts the UK into somewhat of a precarious position </w:t>
      </w:r>
      <w:r w:rsidR="00295531">
        <w:rPr>
          <w:color w:val="000000" w:themeColor="text1"/>
          <w:shd w:val="clear" w:color="auto" w:fill="FFFFFF"/>
        </w:rPr>
        <w:t>regarding what</w:t>
      </w:r>
      <w:r w:rsidR="00D024C3">
        <w:rPr>
          <w:color w:val="000000" w:themeColor="text1"/>
          <w:shd w:val="clear" w:color="auto" w:fill="FFFFFF"/>
        </w:rPr>
        <w:t xml:space="preserve"> </w:t>
      </w:r>
      <w:r w:rsidR="00153CA4">
        <w:rPr>
          <w:color w:val="000000" w:themeColor="text1"/>
          <w:shd w:val="clear" w:color="auto" w:fill="FFFFFF"/>
        </w:rPr>
        <w:t xml:space="preserve">mechanisms are </w:t>
      </w:r>
      <w:r w:rsidR="00D024C3">
        <w:rPr>
          <w:color w:val="000000" w:themeColor="text1"/>
          <w:shd w:val="clear" w:color="auto" w:fill="FFFFFF"/>
        </w:rPr>
        <w:t xml:space="preserve">actually </w:t>
      </w:r>
      <w:r w:rsidR="00153CA4">
        <w:rPr>
          <w:color w:val="000000" w:themeColor="text1"/>
          <w:shd w:val="clear" w:color="auto" w:fill="FFFFFF"/>
        </w:rPr>
        <w:t>in place</w:t>
      </w:r>
      <w:r w:rsidR="00295531">
        <w:rPr>
          <w:color w:val="000000" w:themeColor="text1"/>
          <w:shd w:val="clear" w:color="auto" w:fill="FFFFFF"/>
        </w:rPr>
        <w:t>.</w:t>
      </w:r>
      <w:r w:rsidR="00D024C3">
        <w:rPr>
          <w:color w:val="000000" w:themeColor="text1"/>
          <w:shd w:val="clear" w:color="auto" w:fill="FFFFFF"/>
        </w:rPr>
        <w:t xml:space="preserve"> </w:t>
      </w:r>
      <w:r w:rsidR="00295531">
        <w:rPr>
          <w:color w:val="000000" w:themeColor="text1"/>
          <w:shd w:val="clear" w:color="auto" w:fill="FFFFFF"/>
        </w:rPr>
        <w:t>The UK however advocates that the partnership ‘</w:t>
      </w:r>
      <w:r w:rsidR="00295531" w:rsidRPr="00295531">
        <w:rPr>
          <w:color w:val="000000" w:themeColor="text1"/>
          <w:shd w:val="clear" w:color="auto" w:fill="FFFFFF"/>
        </w:rPr>
        <w:t xml:space="preserve">agreement </w:t>
      </w:r>
      <w:r w:rsidR="00295531" w:rsidRPr="00295531">
        <w:rPr>
          <w:i/>
          <w:iCs/>
          <w:color w:val="000000" w:themeColor="text1"/>
          <w:shd w:val="clear" w:color="auto" w:fill="FFFFFF"/>
        </w:rPr>
        <w:t>aims</w:t>
      </w:r>
      <w:r w:rsidR="00295531" w:rsidRPr="00295531">
        <w:rPr>
          <w:color w:val="000000" w:themeColor="text1"/>
          <w:shd w:val="clear" w:color="auto" w:fill="FFFFFF"/>
        </w:rPr>
        <w:t xml:space="preserve"> to mitigate the impact of these changes by providing replacement law enforcement tools, and support action against criminal and terrorist activity in the UK and EU.</w:t>
      </w:r>
      <w:r w:rsidR="00295531">
        <w:rPr>
          <w:color w:val="000000" w:themeColor="text1"/>
          <w:shd w:val="clear" w:color="auto" w:fill="FFFFFF"/>
        </w:rPr>
        <w:t>’</w:t>
      </w:r>
      <w:r w:rsidR="00295531" w:rsidRPr="00295531">
        <w:rPr>
          <w:color w:val="000000" w:themeColor="text1"/>
          <w:shd w:val="clear" w:color="auto" w:fill="FFFFFF"/>
        </w:rPr>
        <w:t xml:space="preserve"> </w:t>
      </w:r>
      <w:r w:rsidR="003753B8">
        <w:rPr>
          <w:color w:val="000000" w:themeColor="text1"/>
          <w:shd w:val="clear" w:color="auto" w:fill="FFFFFF"/>
        </w:rPr>
        <w:t>This said</w:t>
      </w:r>
      <w:r w:rsidR="00295531">
        <w:rPr>
          <w:color w:val="000000" w:themeColor="text1"/>
          <w:shd w:val="clear" w:color="auto" w:fill="FFFFFF"/>
        </w:rPr>
        <w:t>, as</w:t>
      </w:r>
      <w:r w:rsidR="00295531" w:rsidRPr="00295531">
        <w:rPr>
          <w:color w:val="000000" w:themeColor="text1"/>
          <w:shd w:val="clear" w:color="auto" w:fill="FFFFFF"/>
        </w:rPr>
        <w:t xml:space="preserve"> of February 2021 – </w:t>
      </w:r>
      <w:r w:rsidR="003753B8">
        <w:rPr>
          <w:color w:val="000000" w:themeColor="text1"/>
          <w:shd w:val="clear" w:color="auto" w:fill="FFFFFF"/>
        </w:rPr>
        <w:t>this</w:t>
      </w:r>
      <w:r w:rsidR="00295531" w:rsidRPr="00295531">
        <w:rPr>
          <w:color w:val="000000" w:themeColor="text1"/>
          <w:shd w:val="clear" w:color="auto" w:fill="FFFFFF"/>
        </w:rPr>
        <w:t xml:space="preserve"> is still not conclusive and sufficiently determined</w:t>
      </w:r>
      <w:r w:rsidR="004A06E5">
        <w:rPr>
          <w:color w:val="000000" w:themeColor="text1"/>
          <w:shd w:val="clear" w:color="auto" w:fill="FFFFFF"/>
        </w:rPr>
        <w:t>,</w:t>
      </w:r>
      <w:r w:rsidR="00295531">
        <w:rPr>
          <w:color w:val="000000" w:themeColor="text1"/>
          <w:shd w:val="clear" w:color="auto" w:fill="FFFFFF"/>
        </w:rPr>
        <w:t xml:space="preserve"> with the UK acknowledging that, it</w:t>
      </w:r>
      <w:r w:rsidR="00295531" w:rsidRPr="00295531">
        <w:rPr>
          <w:color w:val="000000" w:themeColor="text1"/>
          <w:shd w:val="clear" w:color="auto" w:fill="FFFFFF"/>
        </w:rPr>
        <w:t xml:space="preserve"> </w:t>
      </w:r>
      <w:r w:rsidR="00295531">
        <w:rPr>
          <w:color w:val="000000" w:themeColor="text1"/>
          <w:shd w:val="clear" w:color="auto" w:fill="FFFFFF"/>
        </w:rPr>
        <w:t>‘</w:t>
      </w:r>
      <w:r w:rsidR="00295531" w:rsidRPr="00295531">
        <w:rPr>
          <w:i/>
          <w:iCs/>
          <w:color w:val="000000" w:themeColor="text1"/>
          <w:shd w:val="clear" w:color="auto" w:fill="FFFFFF"/>
        </w:rPr>
        <w:t>no longer has access to some databases (SIS II</w:t>
      </w:r>
      <w:r w:rsidR="00324A49" w:rsidRPr="00324A49">
        <w:rPr>
          <w:rStyle w:val="FootnoteReference"/>
          <w:color w:val="000000" w:themeColor="text1"/>
          <w:shd w:val="clear" w:color="auto" w:fill="FFFFFF"/>
        </w:rPr>
        <w:footnoteReference w:id="102"/>
      </w:r>
      <w:r w:rsidR="00295531" w:rsidRPr="00295531">
        <w:rPr>
          <w:i/>
          <w:iCs/>
          <w:color w:val="000000" w:themeColor="text1"/>
          <w:shd w:val="clear" w:color="auto" w:fill="FFFFFF"/>
        </w:rPr>
        <w:t xml:space="preserve"> and ECRIS</w:t>
      </w:r>
      <w:r w:rsidR="004A06E5" w:rsidRPr="0031124A">
        <w:rPr>
          <w:rStyle w:val="FootnoteReference"/>
          <w:color w:val="000000" w:themeColor="text1"/>
          <w:shd w:val="clear" w:color="auto" w:fill="FFFFFF"/>
        </w:rPr>
        <w:footnoteReference w:id="103"/>
      </w:r>
      <w:r w:rsidR="00295531" w:rsidRPr="0031124A">
        <w:rPr>
          <w:i/>
          <w:iCs/>
          <w:color w:val="000000" w:themeColor="text1"/>
          <w:shd w:val="clear" w:color="auto" w:fill="FFFFFF"/>
        </w:rPr>
        <w:t>)</w:t>
      </w:r>
      <w:r w:rsidR="00295531" w:rsidRPr="00295531">
        <w:rPr>
          <w:i/>
          <w:iCs/>
          <w:color w:val="000000" w:themeColor="text1"/>
          <w:shd w:val="clear" w:color="auto" w:fill="FFFFFF"/>
        </w:rPr>
        <w:t xml:space="preserve"> or </w:t>
      </w:r>
      <w:r w:rsidR="00295531" w:rsidRPr="00295531">
        <w:rPr>
          <w:i/>
          <w:iCs/>
          <w:color w:val="000000" w:themeColor="text1"/>
          <w:shd w:val="clear" w:color="auto" w:fill="FFFFFF"/>
        </w:rPr>
        <w:lastRenderedPageBreak/>
        <w:t>law enforcement mechanisms (European Arrest Warrant)</w:t>
      </w:r>
      <w:r w:rsidR="00295531">
        <w:rPr>
          <w:color w:val="000000" w:themeColor="text1"/>
          <w:shd w:val="clear" w:color="auto" w:fill="FFFFFF"/>
        </w:rPr>
        <w:t>’</w:t>
      </w:r>
      <w:r w:rsidR="00113CEF">
        <w:rPr>
          <w:color w:val="000000" w:themeColor="text1"/>
          <w:shd w:val="clear" w:color="auto" w:fill="FFFFFF"/>
        </w:rPr>
        <w:t xml:space="preserve"> (EAW)</w:t>
      </w:r>
      <w:r w:rsidR="00295531" w:rsidRPr="00295531">
        <w:rPr>
          <w:color w:val="000000" w:themeColor="text1"/>
          <w:shd w:val="clear" w:color="auto" w:fill="FFFFFF"/>
        </w:rPr>
        <w:t xml:space="preserve"> </w:t>
      </w:r>
      <w:r w:rsidR="004A06E5">
        <w:rPr>
          <w:color w:val="000000" w:themeColor="text1"/>
          <w:shd w:val="clear" w:color="auto" w:fill="FFFFFF"/>
        </w:rPr>
        <w:t xml:space="preserve">etc., </w:t>
      </w:r>
      <w:r w:rsidR="00295531">
        <w:rPr>
          <w:color w:val="000000" w:themeColor="text1"/>
          <w:shd w:val="clear" w:color="auto" w:fill="FFFFFF"/>
        </w:rPr>
        <w:t>having,</w:t>
      </w:r>
      <w:r w:rsidR="00295531" w:rsidRPr="00295531">
        <w:rPr>
          <w:color w:val="000000" w:themeColor="text1"/>
          <w:shd w:val="clear" w:color="auto" w:fill="FFFFFF"/>
        </w:rPr>
        <w:t xml:space="preserve"> </w:t>
      </w:r>
      <w:r w:rsidR="00295531">
        <w:rPr>
          <w:color w:val="000000" w:themeColor="text1"/>
          <w:shd w:val="clear" w:color="auto" w:fill="FFFFFF"/>
        </w:rPr>
        <w:t>‘</w:t>
      </w:r>
      <w:r w:rsidR="00295531" w:rsidRPr="00295531">
        <w:rPr>
          <w:i/>
          <w:iCs/>
          <w:color w:val="000000" w:themeColor="text1"/>
          <w:shd w:val="clear" w:color="auto" w:fill="FFFFFF"/>
        </w:rPr>
        <w:t>changed its relationship with Europol</w:t>
      </w:r>
      <w:r w:rsidR="00295531">
        <w:rPr>
          <w:color w:val="000000" w:themeColor="text1"/>
          <w:shd w:val="clear" w:color="auto" w:fill="FFFFFF"/>
        </w:rPr>
        <w:t>.’</w:t>
      </w:r>
      <w:r w:rsidR="005B77D4">
        <w:rPr>
          <w:rStyle w:val="FootnoteReference"/>
          <w:color w:val="000000" w:themeColor="text1"/>
          <w:shd w:val="clear" w:color="auto" w:fill="FFFFFF"/>
        </w:rPr>
        <w:footnoteReference w:id="104"/>
      </w:r>
      <w:r w:rsidR="00295531" w:rsidRPr="00295531">
        <w:rPr>
          <w:color w:val="000000" w:themeColor="text1"/>
          <w:shd w:val="clear" w:color="auto" w:fill="FFFFFF"/>
        </w:rPr>
        <w:t xml:space="preserve"> </w:t>
      </w:r>
      <w:r w:rsidR="00B44D5F">
        <w:rPr>
          <w:color w:val="000000" w:themeColor="text1"/>
          <w:shd w:val="clear" w:color="auto" w:fill="FFFFFF"/>
        </w:rPr>
        <w:t>The mention to the UK’s relationship within Europol</w:t>
      </w:r>
      <w:r w:rsidR="004A06E5">
        <w:rPr>
          <w:rStyle w:val="FootnoteReference"/>
          <w:color w:val="000000" w:themeColor="text1"/>
          <w:shd w:val="clear" w:color="auto" w:fill="FFFFFF"/>
        </w:rPr>
        <w:footnoteReference w:id="105"/>
      </w:r>
      <w:r w:rsidR="00B44D5F">
        <w:rPr>
          <w:color w:val="000000" w:themeColor="text1"/>
          <w:shd w:val="clear" w:color="auto" w:fill="FFFFFF"/>
        </w:rPr>
        <w:t xml:space="preserve"> is noticeably stark, i</w:t>
      </w:r>
      <w:r w:rsidR="00B44D5F" w:rsidRPr="00B44D5F">
        <w:rPr>
          <w:color w:val="000000" w:themeColor="text1"/>
          <w:shd w:val="clear" w:color="auto" w:fill="FFFFFF"/>
        </w:rPr>
        <w:t>n other words</w:t>
      </w:r>
      <w:r w:rsidR="004A06E5">
        <w:rPr>
          <w:color w:val="000000" w:themeColor="text1"/>
          <w:shd w:val="clear" w:color="auto" w:fill="FFFFFF"/>
        </w:rPr>
        <w:t xml:space="preserve">, </w:t>
      </w:r>
      <w:r w:rsidR="00593228">
        <w:rPr>
          <w:color w:val="000000" w:themeColor="text1"/>
          <w:shd w:val="clear" w:color="auto" w:fill="FFFFFF"/>
        </w:rPr>
        <w:t>as is</w:t>
      </w:r>
      <w:r w:rsidR="00B44D5F" w:rsidRPr="00B44D5F">
        <w:rPr>
          <w:color w:val="000000" w:themeColor="text1"/>
          <w:shd w:val="clear" w:color="auto" w:fill="FFFFFF"/>
        </w:rPr>
        <w:t xml:space="preserve"> acknowledged by Europol</w:t>
      </w:r>
      <w:r w:rsidR="00593228">
        <w:rPr>
          <w:color w:val="000000" w:themeColor="text1"/>
          <w:shd w:val="clear" w:color="auto" w:fill="FFFFFF"/>
        </w:rPr>
        <w:t>,</w:t>
      </w:r>
      <w:r w:rsidR="00B44D5F" w:rsidRPr="00B44D5F">
        <w:rPr>
          <w:color w:val="000000" w:themeColor="text1"/>
          <w:shd w:val="clear" w:color="auto" w:fill="FFFFFF"/>
        </w:rPr>
        <w:t xml:space="preserve"> agreements still need to be negotiated and finalised.</w:t>
      </w:r>
      <w:r w:rsidR="004A06E5">
        <w:rPr>
          <w:rStyle w:val="FootnoteReference"/>
          <w:color w:val="000000" w:themeColor="text1"/>
          <w:shd w:val="clear" w:color="auto" w:fill="FFFFFF"/>
        </w:rPr>
        <w:footnoteReference w:id="106"/>
      </w:r>
    </w:p>
    <w:p w14:paraId="27BD9716" w14:textId="77777777" w:rsidR="005B77D4" w:rsidRDefault="005B77D4" w:rsidP="00B51040">
      <w:pPr>
        <w:spacing w:line="360" w:lineRule="auto"/>
        <w:rPr>
          <w:color w:val="000000" w:themeColor="text1"/>
          <w:shd w:val="clear" w:color="auto" w:fill="FFFFFF"/>
        </w:rPr>
      </w:pPr>
    </w:p>
    <w:p w14:paraId="04B9D308" w14:textId="19027C5B" w:rsidR="00324A49" w:rsidRDefault="00324A49" w:rsidP="00B51040">
      <w:pPr>
        <w:spacing w:line="360" w:lineRule="auto"/>
        <w:rPr>
          <w:color w:val="000000" w:themeColor="text1"/>
          <w:shd w:val="clear" w:color="auto" w:fill="FFFFFF"/>
        </w:rPr>
      </w:pPr>
      <w:r>
        <w:rPr>
          <w:color w:val="000000" w:themeColor="text1"/>
          <w:shd w:val="clear" w:color="auto" w:fill="FFFFFF"/>
        </w:rPr>
        <w:t>The UK is no</w:t>
      </w:r>
      <w:r w:rsidR="0031124A">
        <w:rPr>
          <w:color w:val="000000" w:themeColor="text1"/>
          <w:shd w:val="clear" w:color="auto" w:fill="FFFFFF"/>
        </w:rPr>
        <w:t>w no</w:t>
      </w:r>
      <w:r>
        <w:rPr>
          <w:color w:val="000000" w:themeColor="text1"/>
          <w:shd w:val="clear" w:color="auto" w:fill="FFFFFF"/>
        </w:rPr>
        <w:t>t an EU Member State and currently is not is any type of open and disclosed relationship with Europol in terms of the available and current agreements to other countries:</w:t>
      </w:r>
    </w:p>
    <w:p w14:paraId="102E0A0E" w14:textId="5EDBAA0E" w:rsidR="00324A49" w:rsidRDefault="00324A49" w:rsidP="00324A49">
      <w:pPr>
        <w:pStyle w:val="ListParagraph"/>
        <w:numPr>
          <w:ilvl w:val="0"/>
          <w:numId w:val="33"/>
        </w:numPr>
        <w:spacing w:line="360" w:lineRule="auto"/>
        <w:rPr>
          <w:color w:val="000000" w:themeColor="text1"/>
          <w:shd w:val="clear" w:color="auto" w:fill="FFFFFF"/>
        </w:rPr>
      </w:pPr>
      <w:r>
        <w:rPr>
          <w:color w:val="000000" w:themeColor="text1"/>
          <w:shd w:val="clear" w:color="auto" w:fill="FFFFFF"/>
        </w:rPr>
        <w:t>An Operational Agreements (such as Australia and other have)</w:t>
      </w:r>
    </w:p>
    <w:p w14:paraId="2A9A2DFF" w14:textId="3735DF0F" w:rsidR="00324A49" w:rsidRDefault="00324A49" w:rsidP="00324A49">
      <w:pPr>
        <w:pStyle w:val="ListParagraph"/>
        <w:numPr>
          <w:ilvl w:val="0"/>
          <w:numId w:val="33"/>
        </w:numPr>
        <w:spacing w:line="360" w:lineRule="auto"/>
        <w:rPr>
          <w:color w:val="000000" w:themeColor="text1"/>
          <w:shd w:val="clear" w:color="auto" w:fill="FFFFFF"/>
        </w:rPr>
      </w:pPr>
      <w:r>
        <w:rPr>
          <w:color w:val="000000" w:themeColor="text1"/>
          <w:shd w:val="clear" w:color="auto" w:fill="FFFFFF"/>
        </w:rPr>
        <w:t>A Strategic Agreement (such as with China and others)</w:t>
      </w:r>
    </w:p>
    <w:p w14:paraId="28BB214F" w14:textId="0AF20A79" w:rsidR="00324A49" w:rsidRPr="00324A49" w:rsidRDefault="00324A49" w:rsidP="00324A49">
      <w:pPr>
        <w:pStyle w:val="ListParagraph"/>
        <w:numPr>
          <w:ilvl w:val="0"/>
          <w:numId w:val="33"/>
        </w:numPr>
        <w:spacing w:line="360" w:lineRule="auto"/>
        <w:rPr>
          <w:color w:val="000000" w:themeColor="text1"/>
          <w:shd w:val="clear" w:color="auto" w:fill="FFFFFF"/>
        </w:rPr>
      </w:pPr>
      <w:r>
        <w:rPr>
          <w:color w:val="000000" w:themeColor="text1"/>
          <w:shd w:val="clear" w:color="auto" w:fill="FFFFFF"/>
        </w:rPr>
        <w:t>A Working Agreements (as exists with Japan and others).</w:t>
      </w:r>
    </w:p>
    <w:p w14:paraId="0B4D945C" w14:textId="3A4153EE" w:rsidR="003753B8" w:rsidRDefault="003753B8" w:rsidP="00B51040">
      <w:pPr>
        <w:spacing w:line="360" w:lineRule="auto"/>
        <w:rPr>
          <w:color w:val="000000" w:themeColor="text1"/>
          <w:shd w:val="clear" w:color="auto" w:fill="FFFFFF"/>
        </w:rPr>
      </w:pPr>
    </w:p>
    <w:p w14:paraId="773DA860" w14:textId="771D77C8" w:rsidR="003753B8" w:rsidRDefault="003753B8" w:rsidP="00B51040">
      <w:pPr>
        <w:spacing w:line="360" w:lineRule="auto"/>
        <w:rPr>
          <w:color w:val="000000" w:themeColor="text1"/>
          <w:shd w:val="clear" w:color="auto" w:fill="FFFFFF"/>
        </w:rPr>
      </w:pPr>
      <w:r>
        <w:rPr>
          <w:color w:val="000000" w:themeColor="text1"/>
          <w:shd w:val="clear" w:color="auto" w:fill="FFFFFF"/>
        </w:rPr>
        <w:t>So</w:t>
      </w:r>
      <w:r w:rsidR="00AE2C09">
        <w:rPr>
          <w:color w:val="000000" w:themeColor="text1"/>
          <w:shd w:val="clear" w:color="auto" w:fill="FFFFFF"/>
        </w:rPr>
        <w:t>,</w:t>
      </w:r>
      <w:r>
        <w:rPr>
          <w:color w:val="000000" w:themeColor="text1"/>
          <w:shd w:val="clear" w:color="auto" w:fill="FFFFFF"/>
        </w:rPr>
        <w:t xml:space="preserve"> on the one hand, whilst the UK acknowledges the need to advance its own internal police databases, </w:t>
      </w:r>
      <w:r w:rsidRPr="00381EE9">
        <w:rPr>
          <w:i/>
          <w:iCs/>
          <w:color w:val="000000" w:themeColor="text1"/>
          <w:shd w:val="clear" w:color="auto" w:fill="FFFFFF"/>
        </w:rPr>
        <w:t>to better safeguard the public and reduce crime</w:t>
      </w:r>
      <w:r>
        <w:rPr>
          <w:color w:val="000000" w:themeColor="text1"/>
          <w:shd w:val="clear" w:color="auto" w:fill="FFFFFF"/>
        </w:rPr>
        <w:t>, it lacks the external mechanism, facilities and support to realistically actually do this</w:t>
      </w:r>
      <w:r w:rsidR="00593228">
        <w:rPr>
          <w:color w:val="000000" w:themeColor="text1"/>
          <w:shd w:val="clear" w:color="auto" w:fill="FFFFFF"/>
        </w:rPr>
        <w:t xml:space="preserve"> in today’s globalised world</w:t>
      </w:r>
      <w:r>
        <w:rPr>
          <w:color w:val="000000" w:themeColor="text1"/>
          <w:shd w:val="clear" w:color="auto" w:fill="FFFFFF"/>
        </w:rPr>
        <w:t xml:space="preserve">. Even with regards to the basics (the origins </w:t>
      </w:r>
      <w:r w:rsidR="00AE2C09">
        <w:rPr>
          <w:color w:val="000000" w:themeColor="text1"/>
          <w:shd w:val="clear" w:color="auto" w:fill="FFFFFF"/>
        </w:rPr>
        <w:t>for</w:t>
      </w:r>
      <w:r>
        <w:rPr>
          <w:color w:val="000000" w:themeColor="text1"/>
          <w:shd w:val="clear" w:color="auto" w:fill="FFFFFF"/>
        </w:rPr>
        <w:t xml:space="preserve"> PNC)</w:t>
      </w:r>
      <w:r w:rsidR="00AE2C09">
        <w:rPr>
          <w:color w:val="000000" w:themeColor="text1"/>
          <w:shd w:val="clear" w:color="auto" w:fill="FFFFFF"/>
        </w:rPr>
        <w:t xml:space="preserve"> </w:t>
      </w:r>
      <w:r w:rsidR="00C118C3">
        <w:rPr>
          <w:color w:val="000000" w:themeColor="text1"/>
          <w:shd w:val="clear" w:color="auto" w:fill="FFFFFF"/>
        </w:rPr>
        <w:t xml:space="preserve">- </w:t>
      </w:r>
      <w:r w:rsidR="00AE2C09">
        <w:rPr>
          <w:color w:val="000000" w:themeColor="text1"/>
          <w:shd w:val="clear" w:color="auto" w:fill="FFFFFF"/>
        </w:rPr>
        <w:t>driver checks</w:t>
      </w:r>
      <w:r w:rsidR="00C118C3">
        <w:rPr>
          <w:color w:val="000000" w:themeColor="text1"/>
          <w:shd w:val="clear" w:color="auto" w:fill="FFFFFF"/>
        </w:rPr>
        <w:t>, the UK is restricted from searching and sharing data via tool</w:t>
      </w:r>
      <w:r w:rsidR="00593228">
        <w:rPr>
          <w:color w:val="000000" w:themeColor="text1"/>
          <w:shd w:val="clear" w:color="auto" w:fill="FFFFFF"/>
        </w:rPr>
        <w:t>s</w:t>
      </w:r>
      <w:r w:rsidR="005B328F">
        <w:rPr>
          <w:color w:val="000000" w:themeColor="text1"/>
          <w:shd w:val="clear" w:color="auto" w:fill="FFFFFF"/>
        </w:rPr>
        <w:t>,</w:t>
      </w:r>
      <w:r w:rsidR="00593228">
        <w:rPr>
          <w:color w:val="000000" w:themeColor="text1"/>
          <w:shd w:val="clear" w:color="auto" w:fill="FFFFFF"/>
        </w:rPr>
        <w:t xml:space="preserve"> such as EUCARIS</w:t>
      </w:r>
      <w:r w:rsidR="00C118C3">
        <w:rPr>
          <w:color w:val="000000" w:themeColor="text1"/>
          <w:shd w:val="clear" w:color="auto" w:fill="FFFFFF"/>
        </w:rPr>
        <w:t>.</w:t>
      </w:r>
      <w:r w:rsidR="005B328F">
        <w:rPr>
          <w:rStyle w:val="FootnoteReference"/>
          <w:color w:val="000000" w:themeColor="text1"/>
          <w:shd w:val="clear" w:color="auto" w:fill="FFFFFF"/>
        </w:rPr>
        <w:footnoteReference w:id="107"/>
      </w:r>
      <w:r w:rsidR="00EF4BA1">
        <w:rPr>
          <w:color w:val="000000" w:themeColor="text1"/>
          <w:shd w:val="clear" w:color="auto" w:fill="FFFFFF"/>
        </w:rPr>
        <w:t xml:space="preserve"> </w:t>
      </w:r>
    </w:p>
    <w:p w14:paraId="35347173" w14:textId="37F12AA2" w:rsidR="00EF4BA1" w:rsidRDefault="00EF4BA1" w:rsidP="00B51040">
      <w:pPr>
        <w:spacing w:line="360" w:lineRule="auto"/>
        <w:rPr>
          <w:color w:val="000000" w:themeColor="text1"/>
          <w:shd w:val="clear" w:color="auto" w:fill="FFFFFF"/>
        </w:rPr>
      </w:pPr>
    </w:p>
    <w:p w14:paraId="5E953453" w14:textId="2B3AF7E1" w:rsidR="00EF4BA1" w:rsidRPr="00EF4BA1" w:rsidRDefault="00EF4BA1" w:rsidP="00B51040">
      <w:pPr>
        <w:spacing w:line="360" w:lineRule="auto"/>
        <w:rPr>
          <w:color w:val="000000" w:themeColor="text1"/>
          <w:shd w:val="clear" w:color="auto" w:fill="FFFFFF"/>
        </w:rPr>
      </w:pPr>
      <w:r>
        <w:rPr>
          <w:color w:val="000000" w:themeColor="text1"/>
          <w:shd w:val="clear" w:color="auto" w:fill="FFFFFF"/>
        </w:rPr>
        <w:lastRenderedPageBreak/>
        <w:t>In the meantime, the UK (according to the</w:t>
      </w:r>
      <w:r w:rsidRPr="00EF4BA1">
        <w:rPr>
          <w:color w:val="000000" w:themeColor="text1"/>
          <w:shd w:val="clear" w:color="auto" w:fill="FFFFFF"/>
        </w:rPr>
        <w:t xml:space="preserve"> Home Affairs Committee</w:t>
      </w:r>
      <w:r>
        <w:rPr>
          <w:color w:val="000000" w:themeColor="text1"/>
          <w:shd w:val="clear" w:color="auto" w:fill="FFFFFF"/>
        </w:rPr>
        <w:t xml:space="preserve">) </w:t>
      </w:r>
      <w:r w:rsidR="00593228">
        <w:rPr>
          <w:color w:val="000000" w:themeColor="text1"/>
          <w:shd w:val="clear" w:color="auto" w:fill="FFFFFF"/>
        </w:rPr>
        <w:t>still continues to examine</w:t>
      </w:r>
      <w:r>
        <w:rPr>
          <w:color w:val="000000" w:themeColor="text1"/>
          <w:shd w:val="clear" w:color="auto" w:fill="FFFFFF"/>
        </w:rPr>
        <w:t xml:space="preserve"> “</w:t>
      </w:r>
      <w:r w:rsidRPr="00EF4BA1">
        <w:rPr>
          <w:i/>
          <w:iCs/>
          <w:color w:val="000000" w:themeColor="text1"/>
          <w:shd w:val="clear" w:color="auto" w:fill="FFFFFF"/>
        </w:rPr>
        <w:t xml:space="preserve">the </w:t>
      </w:r>
      <w:r w:rsidRPr="00621BDE">
        <w:rPr>
          <w:b/>
          <w:bCs/>
          <w:i/>
          <w:iCs/>
          <w:color w:val="000000" w:themeColor="text1"/>
          <w:shd w:val="clear" w:color="auto" w:fill="FFFFFF"/>
        </w:rPr>
        <w:t>extent</w:t>
      </w:r>
      <w:r w:rsidRPr="00EF4BA1">
        <w:rPr>
          <w:i/>
          <w:iCs/>
          <w:color w:val="000000" w:themeColor="text1"/>
          <w:shd w:val="clear" w:color="auto" w:fill="FFFFFF"/>
        </w:rPr>
        <w:t xml:space="preserve"> to which the agreement supports security cooperation between the UK and EU, and its consequences for the UK’s law enforcement capability.</w:t>
      </w:r>
      <w:r>
        <w:rPr>
          <w:color w:val="000000" w:themeColor="text1"/>
          <w:shd w:val="clear" w:color="auto" w:fill="FFFFFF"/>
        </w:rPr>
        <w:t>”</w:t>
      </w:r>
      <w:r w:rsidRPr="00EF4BA1">
        <w:rPr>
          <w:color w:val="000000" w:themeColor="text1"/>
          <w:shd w:val="clear" w:color="auto" w:fill="FFFFFF"/>
        </w:rPr>
        <w:t xml:space="preserve"> It also </w:t>
      </w:r>
      <w:r w:rsidR="00593228">
        <w:rPr>
          <w:color w:val="000000" w:themeColor="text1"/>
          <w:shd w:val="clear" w:color="auto" w:fill="FFFFFF"/>
        </w:rPr>
        <w:t xml:space="preserve">continues to </w:t>
      </w:r>
      <w:r w:rsidRPr="00EF4BA1">
        <w:rPr>
          <w:color w:val="000000" w:themeColor="text1"/>
          <w:shd w:val="clear" w:color="auto" w:fill="FFFFFF"/>
        </w:rPr>
        <w:t>examin</w:t>
      </w:r>
      <w:r w:rsidR="00593228">
        <w:rPr>
          <w:color w:val="000000" w:themeColor="text1"/>
          <w:shd w:val="clear" w:color="auto" w:fill="FFFFFF"/>
        </w:rPr>
        <w:t>e</w:t>
      </w:r>
      <w:r w:rsidRPr="00EF4BA1">
        <w:rPr>
          <w:color w:val="000000" w:themeColor="text1"/>
          <w:shd w:val="clear" w:color="auto" w:fill="FFFFFF"/>
        </w:rPr>
        <w:t xml:space="preserve"> </w:t>
      </w:r>
      <w:r>
        <w:rPr>
          <w:color w:val="000000" w:themeColor="text1"/>
          <w:shd w:val="clear" w:color="auto" w:fill="FFFFFF"/>
        </w:rPr>
        <w:t>“</w:t>
      </w:r>
      <w:r w:rsidRPr="00EF4BA1">
        <w:rPr>
          <w:i/>
          <w:iCs/>
          <w:color w:val="000000" w:themeColor="text1"/>
          <w:shd w:val="clear" w:color="auto" w:fill="FFFFFF"/>
        </w:rPr>
        <w:t xml:space="preserve">the </w:t>
      </w:r>
      <w:r w:rsidRPr="00621BDE">
        <w:rPr>
          <w:b/>
          <w:bCs/>
          <w:i/>
          <w:iCs/>
          <w:color w:val="000000" w:themeColor="text1"/>
          <w:shd w:val="clear" w:color="auto" w:fill="FFFFFF"/>
        </w:rPr>
        <w:t>scope</w:t>
      </w:r>
      <w:r w:rsidRPr="00EF4BA1">
        <w:rPr>
          <w:i/>
          <w:iCs/>
          <w:color w:val="000000" w:themeColor="text1"/>
          <w:shd w:val="clear" w:color="auto" w:fill="FFFFFF"/>
        </w:rPr>
        <w:t xml:space="preserve"> for building on the agreement in the future to improve how the UK and EU share information or enable cross-border policing activity</w:t>
      </w:r>
      <w:r>
        <w:rPr>
          <w:color w:val="000000" w:themeColor="text1"/>
          <w:shd w:val="clear" w:color="auto" w:fill="FFFFFF"/>
        </w:rPr>
        <w:t>.”</w:t>
      </w:r>
      <w:r w:rsidR="0070400E">
        <w:rPr>
          <w:rStyle w:val="FootnoteReference"/>
          <w:color w:val="000000" w:themeColor="text1"/>
          <w:shd w:val="clear" w:color="auto" w:fill="FFFFFF"/>
        </w:rPr>
        <w:footnoteReference w:id="108"/>
      </w:r>
      <w:r w:rsidRPr="00EF4BA1">
        <w:rPr>
          <w:color w:val="000000" w:themeColor="text1"/>
          <w:shd w:val="clear" w:color="auto" w:fill="FFFFFF"/>
        </w:rPr>
        <w:t xml:space="preserve"> </w:t>
      </w:r>
    </w:p>
    <w:p w14:paraId="39FD6B3C" w14:textId="04634D4B" w:rsidR="00EF4BA1" w:rsidRDefault="00EF4BA1" w:rsidP="00B51040">
      <w:pPr>
        <w:spacing w:line="360" w:lineRule="auto"/>
        <w:rPr>
          <w:color w:val="000000" w:themeColor="text1"/>
          <w:shd w:val="clear" w:color="auto" w:fill="FFFFFF"/>
        </w:rPr>
      </w:pPr>
    </w:p>
    <w:p w14:paraId="7098E61F" w14:textId="5D30FFA2" w:rsidR="00621BDE" w:rsidRDefault="00621BDE" w:rsidP="00B51040">
      <w:pPr>
        <w:spacing w:line="360" w:lineRule="auto"/>
        <w:rPr>
          <w:color w:val="000000" w:themeColor="text1"/>
          <w:shd w:val="clear" w:color="auto" w:fill="FFFFFF"/>
        </w:rPr>
      </w:pPr>
      <w:r>
        <w:rPr>
          <w:color w:val="000000" w:themeColor="text1"/>
          <w:shd w:val="clear" w:color="auto" w:fill="FFFFFF"/>
        </w:rPr>
        <w:t xml:space="preserve">These are worrying words in terms of ensuring current protections are in place or can be put in place to the same level as the UK previously had post-Brexit. </w:t>
      </w:r>
    </w:p>
    <w:p w14:paraId="3BCBBF1F" w14:textId="77777777" w:rsidR="00621BDE" w:rsidRPr="00295531" w:rsidRDefault="00621BDE" w:rsidP="00B51040">
      <w:pPr>
        <w:spacing w:line="360" w:lineRule="auto"/>
        <w:rPr>
          <w:color w:val="000000" w:themeColor="text1"/>
          <w:shd w:val="clear" w:color="auto" w:fill="FFFFFF"/>
        </w:rPr>
      </w:pPr>
    </w:p>
    <w:p w14:paraId="25EEF662" w14:textId="77777777" w:rsidR="00113CEF" w:rsidRDefault="00113CEF" w:rsidP="00113CEF">
      <w:pPr>
        <w:spacing w:line="360" w:lineRule="auto"/>
        <w:rPr>
          <w:shd w:val="clear" w:color="auto" w:fill="FFFFFF"/>
        </w:rPr>
      </w:pPr>
      <w:r>
        <w:rPr>
          <w:color w:val="000000" w:themeColor="text1"/>
          <w:shd w:val="clear" w:color="auto" w:fill="FFFFFF"/>
        </w:rPr>
        <w:t xml:space="preserve">It should be identified that </w:t>
      </w:r>
      <w:r>
        <w:rPr>
          <w:shd w:val="clear" w:color="auto" w:fill="FFFFFF"/>
        </w:rPr>
        <w:t>i</w:t>
      </w:r>
      <w:r w:rsidRPr="00380186">
        <w:rPr>
          <w:shd w:val="clear" w:color="auto" w:fill="FFFFFF"/>
        </w:rPr>
        <w:t>n 2007 th</w:t>
      </w:r>
      <w:r>
        <w:rPr>
          <w:shd w:val="clear" w:color="auto" w:fill="FFFFFF"/>
        </w:rPr>
        <w:t>e UK’s</w:t>
      </w:r>
      <w:r w:rsidRPr="00380186">
        <w:rPr>
          <w:shd w:val="clear" w:color="auto" w:fill="FFFFFF"/>
        </w:rPr>
        <w:t xml:space="preserve"> right to ‘opt in’ was extended to cooperation in policing and criminal justice</w:t>
      </w:r>
      <w:r>
        <w:rPr>
          <w:shd w:val="clear" w:color="auto" w:fill="FFFFFF"/>
        </w:rPr>
        <w:t>.</w:t>
      </w:r>
      <w:r>
        <w:rPr>
          <w:rStyle w:val="FootnoteReference"/>
          <w:shd w:val="clear" w:color="auto" w:fill="FFFFFF"/>
        </w:rPr>
        <w:footnoteReference w:id="109"/>
      </w:r>
      <w:r w:rsidRPr="00380186">
        <w:rPr>
          <w:shd w:val="clear" w:color="auto" w:fill="FFFFFF"/>
        </w:rPr>
        <w:t xml:space="preserve"> </w:t>
      </w:r>
      <w:r>
        <w:rPr>
          <w:shd w:val="clear" w:color="auto" w:fill="FFFFFF"/>
        </w:rPr>
        <w:t xml:space="preserve"> </w:t>
      </w:r>
      <w:r w:rsidRPr="00113CEF">
        <w:rPr>
          <w:shd w:val="clear" w:color="auto" w:fill="FFFFFF"/>
        </w:rPr>
        <w:t>This mean</w:t>
      </w:r>
      <w:r>
        <w:rPr>
          <w:shd w:val="clear" w:color="auto" w:fill="FFFFFF"/>
        </w:rPr>
        <w:t>t that</w:t>
      </w:r>
      <w:r w:rsidRPr="00113CEF">
        <w:rPr>
          <w:shd w:val="clear" w:color="auto" w:fill="FFFFFF"/>
        </w:rPr>
        <w:t xml:space="preserve"> the UK ha</w:t>
      </w:r>
      <w:r>
        <w:rPr>
          <w:shd w:val="clear" w:color="auto" w:fill="FFFFFF"/>
        </w:rPr>
        <w:t>d</w:t>
      </w:r>
      <w:r w:rsidRPr="00113CEF">
        <w:rPr>
          <w:shd w:val="clear" w:color="auto" w:fill="FFFFFF"/>
        </w:rPr>
        <w:t xml:space="preserve"> the ability to opt into EU JHA measures where the UK determine</w:t>
      </w:r>
      <w:r>
        <w:rPr>
          <w:shd w:val="clear" w:color="auto" w:fill="FFFFFF"/>
        </w:rPr>
        <w:t>d</w:t>
      </w:r>
      <w:r w:rsidRPr="00113CEF">
        <w:rPr>
          <w:shd w:val="clear" w:color="auto" w:fill="FFFFFF"/>
        </w:rPr>
        <w:t xml:space="preserve"> it </w:t>
      </w:r>
      <w:r>
        <w:rPr>
          <w:shd w:val="clear" w:color="auto" w:fill="FFFFFF"/>
        </w:rPr>
        <w:t>was</w:t>
      </w:r>
      <w:r w:rsidRPr="00113CEF">
        <w:rPr>
          <w:shd w:val="clear" w:color="auto" w:fill="FFFFFF"/>
        </w:rPr>
        <w:t xml:space="preserve"> in the national interest to do so</w:t>
      </w:r>
      <w:r>
        <w:rPr>
          <w:shd w:val="clear" w:color="auto" w:fill="FFFFFF"/>
        </w:rPr>
        <w:t>, and quite clearly it exercised this right as a means to ensure safety and security to citizens.</w:t>
      </w:r>
      <w:r>
        <w:rPr>
          <w:rStyle w:val="FootnoteReference"/>
          <w:shd w:val="clear" w:color="auto" w:fill="FFFFFF"/>
        </w:rPr>
        <w:footnoteReference w:id="110"/>
      </w:r>
      <w:r>
        <w:rPr>
          <w:shd w:val="clear" w:color="auto" w:fill="FFFFFF"/>
        </w:rPr>
        <w:t xml:space="preserve"> </w:t>
      </w:r>
      <w:r w:rsidRPr="00113CEF">
        <w:rPr>
          <w:shd w:val="clear" w:color="auto" w:fill="FFFFFF"/>
        </w:rPr>
        <w:t xml:space="preserve"> </w:t>
      </w:r>
      <w:r>
        <w:rPr>
          <w:shd w:val="clear" w:color="auto" w:fill="FFFFFF"/>
        </w:rPr>
        <w:t>This can be evidenced from the simple analysis of the effectiveness of the EAW – in the period 2004-2015:</w:t>
      </w:r>
      <w:r>
        <w:rPr>
          <w:rStyle w:val="FootnoteReference"/>
          <w:shd w:val="clear" w:color="auto" w:fill="FFFFFF"/>
        </w:rPr>
        <w:footnoteReference w:id="111"/>
      </w:r>
      <w:r>
        <w:rPr>
          <w:shd w:val="clear" w:color="auto" w:fill="FFFFFF"/>
        </w:rPr>
        <w:t xml:space="preserve"> </w:t>
      </w:r>
    </w:p>
    <w:p w14:paraId="7219F052" w14:textId="20187747" w:rsidR="00113CEF" w:rsidRPr="00113CEF" w:rsidRDefault="00113CEF" w:rsidP="00113CEF">
      <w:pPr>
        <w:pStyle w:val="ListParagraph"/>
        <w:numPr>
          <w:ilvl w:val="0"/>
          <w:numId w:val="32"/>
        </w:numPr>
        <w:spacing w:line="360" w:lineRule="auto"/>
        <w:rPr>
          <w:shd w:val="clear" w:color="auto" w:fill="FFFFFF"/>
        </w:rPr>
      </w:pPr>
      <w:r w:rsidRPr="00113CEF">
        <w:rPr>
          <w:shd w:val="clear" w:color="auto" w:fill="FFFFFF"/>
        </w:rPr>
        <w:t>Prior to 2004 fewer than 60 individuals a year were extradited from the UK (this figure includes all countries, not just EU Member States). Since 2004 and until 2015, the EAW enabled the UK to extradite over 7,000 individuals accused or convicted of a criminal offence to other Member States.</w:t>
      </w:r>
      <w:r>
        <w:rPr>
          <w:rStyle w:val="FootnoteReference"/>
          <w:shd w:val="clear" w:color="auto" w:fill="FFFFFF"/>
        </w:rPr>
        <w:footnoteReference w:id="112"/>
      </w:r>
      <w:r w:rsidRPr="00113CEF">
        <w:rPr>
          <w:shd w:val="clear" w:color="auto" w:fill="FFFFFF"/>
        </w:rPr>
        <w:t xml:space="preserve"> </w:t>
      </w:r>
    </w:p>
    <w:p w14:paraId="0CD0A456" w14:textId="6174B92D" w:rsidR="00324A49" w:rsidRPr="00324A49" w:rsidRDefault="00324A49" w:rsidP="00324A49">
      <w:pPr>
        <w:pStyle w:val="ListParagraph"/>
        <w:numPr>
          <w:ilvl w:val="0"/>
          <w:numId w:val="32"/>
        </w:numPr>
        <w:spacing w:line="360" w:lineRule="auto"/>
        <w:rPr>
          <w:shd w:val="clear" w:color="auto" w:fill="FFFFFF"/>
        </w:rPr>
      </w:pPr>
      <w:r>
        <w:rPr>
          <w:shd w:val="clear" w:color="auto" w:fill="FFFFFF"/>
        </w:rPr>
        <w:t xml:space="preserve">One of those who were extradited back to the UK was </w:t>
      </w:r>
      <w:r w:rsidRPr="00324A49">
        <w:rPr>
          <w:shd w:val="clear" w:color="auto" w:fill="FFFFFF"/>
        </w:rPr>
        <w:t>Hussain Osman, one of the 21/7 bombers</w:t>
      </w:r>
      <w:r>
        <w:rPr>
          <w:shd w:val="clear" w:color="auto" w:fill="FFFFFF"/>
        </w:rPr>
        <w:t>.</w:t>
      </w:r>
      <w:r>
        <w:rPr>
          <w:rStyle w:val="FootnoteReference"/>
          <w:shd w:val="clear" w:color="auto" w:fill="FFFFFF"/>
        </w:rPr>
        <w:footnoteReference w:id="113"/>
      </w:r>
      <w:r>
        <w:rPr>
          <w:shd w:val="clear" w:color="auto" w:fill="FFFFFF"/>
        </w:rPr>
        <w:t xml:space="preserve"> He was</w:t>
      </w:r>
      <w:r w:rsidRPr="00324A49">
        <w:rPr>
          <w:shd w:val="clear" w:color="auto" w:fill="FFFFFF"/>
        </w:rPr>
        <w:t xml:space="preserve"> extradited from Italy to the UK after just 56 days under an EAW issued by UK authorities</w:t>
      </w:r>
      <w:r>
        <w:rPr>
          <w:shd w:val="clear" w:color="auto" w:fill="FFFFFF"/>
        </w:rPr>
        <w:t>.</w:t>
      </w:r>
      <w:r>
        <w:rPr>
          <w:rStyle w:val="FootnoteReference"/>
          <w:shd w:val="clear" w:color="auto" w:fill="FFFFFF"/>
        </w:rPr>
        <w:footnoteReference w:id="114"/>
      </w:r>
      <w:r w:rsidRPr="00324A49">
        <w:rPr>
          <w:shd w:val="clear" w:color="auto" w:fill="FFFFFF"/>
        </w:rPr>
        <w:t xml:space="preserve"> </w:t>
      </w:r>
    </w:p>
    <w:p w14:paraId="5D2F2015" w14:textId="77777777" w:rsidR="00324A49" w:rsidRDefault="00324A49" w:rsidP="00FD6A6F">
      <w:pPr>
        <w:spacing w:line="360" w:lineRule="auto"/>
        <w:rPr>
          <w:shd w:val="clear" w:color="auto" w:fill="FFFFFF"/>
        </w:rPr>
      </w:pPr>
    </w:p>
    <w:p w14:paraId="32A3D03D" w14:textId="22163909" w:rsidR="00FD6A6F" w:rsidRPr="00D31065" w:rsidRDefault="00FD6A6F" w:rsidP="00FD6A6F">
      <w:pPr>
        <w:spacing w:line="360" w:lineRule="auto"/>
        <w:rPr>
          <w:color w:val="000000" w:themeColor="text1"/>
          <w:shd w:val="clear" w:color="auto" w:fill="FFFFFF"/>
        </w:rPr>
      </w:pPr>
      <w:r>
        <w:rPr>
          <w:color w:val="000000" w:themeColor="text1"/>
          <w:shd w:val="clear" w:color="auto" w:fill="FFFFFF"/>
        </w:rPr>
        <w:t xml:space="preserve">Currently, the UK is </w:t>
      </w:r>
      <w:r w:rsidR="0031124A">
        <w:rPr>
          <w:color w:val="000000" w:themeColor="text1"/>
          <w:shd w:val="clear" w:color="auto" w:fill="FFFFFF"/>
        </w:rPr>
        <w:t xml:space="preserve">also </w:t>
      </w:r>
      <w:r>
        <w:rPr>
          <w:color w:val="000000" w:themeColor="text1"/>
          <w:shd w:val="clear" w:color="auto" w:fill="FFFFFF"/>
        </w:rPr>
        <w:t xml:space="preserve">reverting back to a reliance on intelligence that is arguably not so </w:t>
      </w:r>
      <w:proofErr w:type="gramStart"/>
      <w:r>
        <w:rPr>
          <w:color w:val="000000" w:themeColor="text1"/>
          <w:shd w:val="clear" w:color="auto" w:fill="FFFFFF"/>
        </w:rPr>
        <w:t>up-to-date</w:t>
      </w:r>
      <w:proofErr w:type="gramEnd"/>
      <w:r>
        <w:rPr>
          <w:color w:val="000000" w:themeColor="text1"/>
          <w:shd w:val="clear" w:color="auto" w:fill="FFFFFF"/>
        </w:rPr>
        <w:t xml:space="preserve"> in term of ‘real-time’ information from Interpol and the use of red notices – in </w:t>
      </w:r>
      <w:r>
        <w:rPr>
          <w:color w:val="000000" w:themeColor="text1"/>
          <w:shd w:val="clear" w:color="auto" w:fill="FFFFFF"/>
        </w:rPr>
        <w:lastRenderedPageBreak/>
        <w:t>order to inform and share data and alerts. The</w:t>
      </w:r>
      <w:r w:rsidRPr="00D31065">
        <w:rPr>
          <w:color w:val="000000" w:themeColor="text1"/>
          <w:shd w:val="clear" w:color="auto" w:fill="FFFFFF"/>
        </w:rPr>
        <w:t xml:space="preserve"> National Crime Agency </w:t>
      </w:r>
      <w:r>
        <w:rPr>
          <w:color w:val="000000" w:themeColor="text1"/>
          <w:shd w:val="clear" w:color="auto" w:fill="FFFFFF"/>
        </w:rPr>
        <w:t>have already</w:t>
      </w:r>
      <w:r w:rsidRPr="00D31065">
        <w:rPr>
          <w:color w:val="000000" w:themeColor="text1"/>
          <w:shd w:val="clear" w:color="auto" w:fill="FFFFFF"/>
        </w:rPr>
        <w:t xml:space="preserve"> expressed concerns about the loss of access to SIS II, </w:t>
      </w:r>
      <w:r>
        <w:rPr>
          <w:color w:val="000000" w:themeColor="text1"/>
          <w:shd w:val="clear" w:color="auto" w:fill="FFFFFF"/>
        </w:rPr>
        <w:t>informing</w:t>
      </w:r>
      <w:r w:rsidRPr="00D31065">
        <w:rPr>
          <w:color w:val="000000" w:themeColor="text1"/>
          <w:shd w:val="clear" w:color="auto" w:fill="FFFFFF"/>
        </w:rPr>
        <w:t xml:space="preserve"> </w:t>
      </w:r>
      <w:r>
        <w:rPr>
          <w:color w:val="000000" w:themeColor="text1"/>
          <w:shd w:val="clear" w:color="auto" w:fill="FFFFFF"/>
        </w:rPr>
        <w:t>UK-</w:t>
      </w:r>
      <w:r w:rsidRPr="00D31065">
        <w:rPr>
          <w:color w:val="000000" w:themeColor="text1"/>
          <w:shd w:val="clear" w:color="auto" w:fill="FFFFFF"/>
        </w:rPr>
        <w:t>MPs</w:t>
      </w:r>
      <w:r>
        <w:rPr>
          <w:color w:val="000000" w:themeColor="text1"/>
          <w:shd w:val="clear" w:color="auto" w:fill="FFFFFF"/>
        </w:rPr>
        <w:t>, ‘</w:t>
      </w:r>
      <w:r w:rsidRPr="00FD6A6F">
        <w:rPr>
          <w:i/>
          <w:iCs/>
          <w:color w:val="000000" w:themeColor="text1"/>
          <w:shd w:val="clear" w:color="auto" w:fill="FFFFFF"/>
        </w:rPr>
        <w:t>that officers would instead be “reliant” on EU member states sharing information through Interpol, and warning there would be a “gap” if they did not.</w:t>
      </w:r>
      <w:r>
        <w:rPr>
          <w:color w:val="000000" w:themeColor="text1"/>
          <w:shd w:val="clear" w:color="auto" w:fill="FFFFFF"/>
        </w:rPr>
        <w:t>’</w:t>
      </w:r>
      <w:r>
        <w:rPr>
          <w:rStyle w:val="FootnoteReference"/>
          <w:color w:val="000000" w:themeColor="text1"/>
          <w:shd w:val="clear" w:color="auto" w:fill="FFFFFF"/>
        </w:rPr>
        <w:footnoteReference w:id="115"/>
      </w:r>
    </w:p>
    <w:p w14:paraId="15D8A0F7" w14:textId="77777777" w:rsidR="00FD6A6F" w:rsidRPr="00113CEF" w:rsidRDefault="00FD6A6F" w:rsidP="00113CEF">
      <w:pPr>
        <w:spacing w:line="360" w:lineRule="auto"/>
        <w:rPr>
          <w:shd w:val="clear" w:color="auto" w:fill="FFFFFF"/>
        </w:rPr>
      </w:pPr>
    </w:p>
    <w:p w14:paraId="4FD5D6D6" w14:textId="39373B2D" w:rsidR="00B4184E" w:rsidRDefault="00FC1F07" w:rsidP="00B4184E">
      <w:pPr>
        <w:spacing w:line="360" w:lineRule="auto"/>
      </w:pPr>
      <w:r>
        <w:rPr>
          <w:shd w:val="clear" w:color="auto" w:fill="FFFFFF"/>
        </w:rPr>
        <w:t xml:space="preserve">Cooperation is key to preventing terrorist atrocities which is clearly acknowledged in the new </w:t>
      </w:r>
      <w:proofErr w:type="gramStart"/>
      <w:r w:rsidRPr="00324A49">
        <w:rPr>
          <w:shd w:val="clear" w:color="auto" w:fill="FFFFFF"/>
        </w:rPr>
        <w:t>Counter-Terrorism</w:t>
      </w:r>
      <w:proofErr w:type="gramEnd"/>
      <w:r w:rsidRPr="00324A49">
        <w:rPr>
          <w:shd w:val="clear" w:color="auto" w:fill="FFFFFF"/>
        </w:rPr>
        <w:t xml:space="preserve"> </w:t>
      </w:r>
      <w:r w:rsidR="005F1DFA">
        <w:rPr>
          <w:shd w:val="clear" w:color="auto" w:fill="FFFFFF"/>
        </w:rPr>
        <w:t xml:space="preserve">(CT) </w:t>
      </w:r>
      <w:r w:rsidRPr="00324A49">
        <w:rPr>
          <w:shd w:val="clear" w:color="auto" w:fill="FFFFFF"/>
        </w:rPr>
        <w:t>Agenda for the EU</w:t>
      </w:r>
      <w:r>
        <w:rPr>
          <w:shd w:val="clear" w:color="auto" w:fill="FFFFFF"/>
        </w:rPr>
        <w:t>.</w:t>
      </w:r>
      <w:r>
        <w:rPr>
          <w:rStyle w:val="FootnoteReference"/>
          <w:shd w:val="clear" w:color="auto" w:fill="FFFFFF"/>
        </w:rPr>
        <w:footnoteReference w:id="116"/>
      </w:r>
      <w:r w:rsidRPr="00324A49">
        <w:rPr>
          <w:shd w:val="clear" w:color="auto" w:fill="FFFFFF"/>
        </w:rPr>
        <w:t xml:space="preserve"> </w:t>
      </w:r>
      <w:r w:rsidR="005F1DFA">
        <w:rPr>
          <w:shd w:val="clear" w:color="auto" w:fill="FFFFFF"/>
        </w:rPr>
        <w:t xml:space="preserve">While the UK has its own CT </w:t>
      </w:r>
      <w:r w:rsidR="00002841">
        <w:rPr>
          <w:shd w:val="clear" w:color="auto" w:fill="FFFFFF"/>
        </w:rPr>
        <w:t>(</w:t>
      </w:r>
      <w:r w:rsidR="005F1DFA">
        <w:rPr>
          <w:shd w:val="clear" w:color="auto" w:fill="FFFFFF"/>
        </w:rPr>
        <w:t>CONTEST</w:t>
      </w:r>
      <w:r w:rsidR="005F1DFA">
        <w:rPr>
          <w:rStyle w:val="FootnoteReference"/>
          <w:shd w:val="clear" w:color="auto" w:fill="FFFFFF"/>
        </w:rPr>
        <w:footnoteReference w:id="117"/>
      </w:r>
      <w:r w:rsidR="00002841">
        <w:rPr>
          <w:shd w:val="clear" w:color="auto" w:fill="FFFFFF"/>
        </w:rPr>
        <w:t>) Strategy</w:t>
      </w:r>
      <w:r w:rsidR="00736C3D">
        <w:rPr>
          <w:shd w:val="clear" w:color="auto" w:fill="FFFFFF"/>
        </w:rPr>
        <w:t xml:space="preserve"> there were obvious synergies with the EU</w:t>
      </w:r>
      <w:r w:rsidR="00002841">
        <w:rPr>
          <w:shd w:val="clear" w:color="auto" w:fill="FFFFFF"/>
        </w:rPr>
        <w:t xml:space="preserve">, given the driver was the events of 9/11. </w:t>
      </w:r>
      <w:r w:rsidR="00002841" w:rsidRPr="00002841">
        <w:rPr>
          <w:shd w:val="clear" w:color="auto" w:fill="FFFFFF"/>
        </w:rPr>
        <w:t>I</w:t>
      </w:r>
      <w:r w:rsidR="00002841">
        <w:rPr>
          <w:shd w:val="clear" w:color="auto" w:fill="FFFFFF"/>
        </w:rPr>
        <w:t>t was in</w:t>
      </w:r>
      <w:r w:rsidR="00002841" w:rsidRPr="00002841">
        <w:rPr>
          <w:shd w:val="clear" w:color="auto" w:fill="FFFFFF"/>
        </w:rPr>
        <w:t xml:space="preserve"> the aftermath of 9/11, th</w:t>
      </w:r>
      <w:r w:rsidR="00002841">
        <w:rPr>
          <w:shd w:val="clear" w:color="auto" w:fill="FFFFFF"/>
        </w:rPr>
        <w:t>at th</w:t>
      </w:r>
      <w:r w:rsidR="00002841" w:rsidRPr="00002841">
        <w:rPr>
          <w:shd w:val="clear" w:color="auto" w:fill="FFFFFF"/>
        </w:rPr>
        <w:t xml:space="preserve">e EU adopted its first action plan and, in June 2002, </w:t>
      </w:r>
      <w:r w:rsidR="00002841">
        <w:rPr>
          <w:shd w:val="clear" w:color="auto" w:fill="FFFFFF"/>
        </w:rPr>
        <w:t xml:space="preserve">produced a </w:t>
      </w:r>
      <w:r w:rsidR="00002841" w:rsidRPr="00002841">
        <w:rPr>
          <w:shd w:val="clear" w:color="auto" w:fill="FFFFFF"/>
        </w:rPr>
        <w:t>fundamental piece of legislation: the Framework Decision on Combating Terrorism, providing a common definition of terrorist offences across Europe.</w:t>
      </w:r>
      <w:r w:rsidR="00002841">
        <w:rPr>
          <w:rStyle w:val="FootnoteReference"/>
          <w:shd w:val="clear" w:color="auto" w:fill="FFFFFF"/>
        </w:rPr>
        <w:footnoteReference w:id="118"/>
      </w:r>
      <w:r w:rsidR="00002841" w:rsidRPr="00002841">
        <w:rPr>
          <w:shd w:val="clear" w:color="auto" w:fill="FFFFFF"/>
        </w:rPr>
        <w:t xml:space="preserve"> </w:t>
      </w:r>
      <w:r w:rsidR="00002841">
        <w:rPr>
          <w:shd w:val="clear" w:color="auto" w:fill="FFFFFF"/>
        </w:rPr>
        <w:t>Following</w:t>
      </w:r>
      <w:r w:rsidR="00002841" w:rsidRPr="00002841">
        <w:rPr>
          <w:shd w:val="clear" w:color="auto" w:fill="FFFFFF"/>
        </w:rPr>
        <w:t xml:space="preserve"> the</w:t>
      </w:r>
      <w:r w:rsidR="00002841">
        <w:rPr>
          <w:shd w:val="clear" w:color="auto" w:fill="FFFFFF"/>
        </w:rPr>
        <w:t xml:space="preserve"> 2004 and 2005 attacks on</w:t>
      </w:r>
      <w:r w:rsidR="00002841" w:rsidRPr="00002841">
        <w:rPr>
          <w:shd w:val="clear" w:color="auto" w:fill="FFFFFF"/>
        </w:rPr>
        <w:t xml:space="preserve"> Madrid and London the EU adopted an overarching counter-terrorism strategy</w:t>
      </w:r>
      <w:r w:rsidR="00002841">
        <w:rPr>
          <w:shd w:val="clear" w:color="auto" w:fill="FFFFFF"/>
        </w:rPr>
        <w:t>.</w:t>
      </w:r>
      <w:r w:rsidR="00002841" w:rsidRPr="00002841">
        <w:rPr>
          <w:shd w:val="clear" w:color="auto" w:fill="FFFFFF"/>
        </w:rPr>
        <w:t xml:space="preserve"> </w:t>
      </w:r>
      <w:r w:rsidR="00002841">
        <w:rPr>
          <w:shd w:val="clear" w:color="auto" w:fill="FFFFFF"/>
        </w:rPr>
        <w:t xml:space="preserve">This was centred around recognising that the terrorism threat is both global and borderless. At every stage the UK has supported the EU approach to unity </w:t>
      </w:r>
      <w:r w:rsidR="00FC16B9">
        <w:rPr>
          <w:shd w:val="clear" w:color="auto" w:fill="FFFFFF"/>
        </w:rPr>
        <w:t xml:space="preserve">and cooperation </w:t>
      </w:r>
      <w:r w:rsidR="00002841">
        <w:rPr>
          <w:shd w:val="clear" w:color="auto" w:fill="FFFFFF"/>
        </w:rPr>
        <w:t>to tackle terrorism.</w:t>
      </w:r>
      <w:r w:rsidR="00FC16B9">
        <w:rPr>
          <w:shd w:val="clear" w:color="auto" w:fill="FFFFFF"/>
        </w:rPr>
        <w:t xml:space="preserve">  </w:t>
      </w:r>
      <w:r w:rsidR="00B4184E">
        <w:rPr>
          <w:shd w:val="clear" w:color="auto" w:fill="FFFFFF"/>
        </w:rPr>
        <w:t>This has included being a staunch supporter of the PNR Directive, of April 2016,</w:t>
      </w:r>
      <w:r w:rsidR="009067CB">
        <w:rPr>
          <w:rStyle w:val="FootnoteReference"/>
          <w:shd w:val="clear" w:color="auto" w:fill="FFFFFF"/>
        </w:rPr>
        <w:footnoteReference w:id="119"/>
      </w:r>
      <w:r w:rsidR="00B4184E">
        <w:rPr>
          <w:shd w:val="clear" w:color="auto" w:fill="FFFFFF"/>
        </w:rPr>
        <w:t xml:space="preserve"> </w:t>
      </w:r>
      <w:r w:rsidR="00B4184E" w:rsidRPr="00B4184E">
        <w:rPr>
          <w:shd w:val="clear" w:color="auto" w:fill="FFFFFF"/>
        </w:rPr>
        <w:t xml:space="preserve">which established </w:t>
      </w:r>
      <w:r w:rsidR="00B4184E" w:rsidRPr="00B4184E">
        <w:t>an EU system to collect flight passenger data in order to detect suspicious traveller.</w:t>
      </w:r>
      <w:r w:rsidR="009067CB">
        <w:rPr>
          <w:rStyle w:val="FootnoteReference"/>
        </w:rPr>
        <w:footnoteReference w:id="120"/>
      </w:r>
      <w:r w:rsidR="00B4184E" w:rsidRPr="00B4184E">
        <w:t xml:space="preserve"> </w:t>
      </w:r>
      <w:r w:rsidR="00B4184E">
        <w:t xml:space="preserve">When it was initially presented as a proposal the UK stated the following: </w:t>
      </w:r>
    </w:p>
    <w:p w14:paraId="69EF6A5C" w14:textId="6E4C8311" w:rsidR="009B3604" w:rsidRPr="009B3604" w:rsidRDefault="009B3604" w:rsidP="00210FF5">
      <w:pPr>
        <w:pStyle w:val="NormalWeb"/>
        <w:spacing w:before="300" w:beforeAutospacing="0" w:after="300" w:afterAutospacing="0"/>
        <w:ind w:left="720"/>
        <w:rPr>
          <w:color w:val="0B0C0C"/>
        </w:rPr>
      </w:pPr>
      <w:r>
        <w:t>“</w:t>
      </w:r>
      <w:r w:rsidRPr="009B3604">
        <w:rPr>
          <w:i/>
          <w:iCs/>
          <w:color w:val="0B0C0C"/>
        </w:rPr>
        <w:t xml:space="preserve">There is no doubt that our more inter-connected world is a better world. But greater freedom of movement also provides opportunities for those who wish to do us harm. We know that terrorists have long had an interest in aviation related attacks. We </w:t>
      </w:r>
      <w:r w:rsidRPr="009B3604">
        <w:rPr>
          <w:i/>
          <w:iCs/>
          <w:color w:val="0B0C0C"/>
        </w:rPr>
        <w:lastRenderedPageBreak/>
        <w:t>know too that serious criminals, people traffickers and drug smugglers have exploited easy international forms of travel to carry out their crimes. ….. governments around the world are increasingly exercising greater vigilance to keep their citizens safe. Passenger Name Records …. is a vital and proven tool in the fight against terrorism and other serious crimes</w:t>
      </w:r>
      <w:r w:rsidRPr="009B3604">
        <w:rPr>
          <w:color w:val="0B0C0C"/>
        </w:rPr>
        <w:t>.</w:t>
      </w:r>
      <w:r>
        <w:rPr>
          <w:color w:val="0B0C0C"/>
        </w:rPr>
        <w:t>”</w:t>
      </w:r>
      <w:r>
        <w:rPr>
          <w:rStyle w:val="FootnoteReference"/>
          <w:color w:val="0B0C0C"/>
        </w:rPr>
        <w:footnoteReference w:id="121"/>
      </w:r>
    </w:p>
    <w:p w14:paraId="298E1FC6" w14:textId="04CACAAC" w:rsidR="00B4184E" w:rsidRDefault="009067CB" w:rsidP="00B4184E">
      <w:pPr>
        <w:spacing w:line="360" w:lineRule="auto"/>
        <w:rPr>
          <w:shd w:val="clear" w:color="auto" w:fill="FFFFFF"/>
        </w:rPr>
      </w:pPr>
      <w:r>
        <w:rPr>
          <w:shd w:val="clear" w:color="auto" w:fill="FFFFFF"/>
        </w:rPr>
        <w:t xml:space="preserve">The PNR Directive was transposed into UK law via a Statutory Instrument in 2018 and is listed under </w:t>
      </w:r>
      <w:r w:rsidR="001D49A9">
        <w:rPr>
          <w:shd w:val="clear" w:color="auto" w:fill="FFFFFF"/>
        </w:rPr>
        <w:t xml:space="preserve">a </w:t>
      </w:r>
      <w:r>
        <w:rPr>
          <w:shd w:val="clear" w:color="auto" w:fill="FFFFFF"/>
        </w:rPr>
        <w:t>criminal law and data protection</w:t>
      </w:r>
      <w:r w:rsidR="001D49A9">
        <w:rPr>
          <w:shd w:val="clear" w:color="auto" w:fill="FFFFFF"/>
        </w:rPr>
        <w:t xml:space="preserve"> heading</w:t>
      </w:r>
      <w:r>
        <w:rPr>
          <w:shd w:val="clear" w:color="auto" w:fill="FFFFFF"/>
        </w:rPr>
        <w:t>.</w:t>
      </w:r>
      <w:r>
        <w:rPr>
          <w:rStyle w:val="FootnoteReference"/>
          <w:shd w:val="clear" w:color="auto" w:fill="FFFFFF"/>
        </w:rPr>
        <w:footnoteReference w:id="122"/>
      </w:r>
      <w:r>
        <w:rPr>
          <w:shd w:val="clear" w:color="auto" w:fill="FFFFFF"/>
        </w:rPr>
        <w:t xml:space="preserve"> </w:t>
      </w:r>
      <w:r w:rsidR="00B4184E">
        <w:rPr>
          <w:shd w:val="clear" w:color="auto" w:fill="FFFFFF"/>
        </w:rPr>
        <w:t xml:space="preserve">The new EU CT Agenda </w:t>
      </w:r>
      <w:r>
        <w:rPr>
          <w:shd w:val="clear" w:color="auto" w:fill="FFFFFF"/>
        </w:rPr>
        <w:t>reinforces</w:t>
      </w:r>
      <w:r w:rsidR="00B4184E">
        <w:rPr>
          <w:shd w:val="clear" w:color="auto" w:fill="FFFFFF"/>
        </w:rPr>
        <w:t xml:space="preserve"> the need to further develop </w:t>
      </w:r>
      <w:r w:rsidR="00B4184E" w:rsidRPr="00B4184E">
        <w:rPr>
          <w:shd w:val="clear" w:color="auto" w:fill="FFFFFF"/>
        </w:rPr>
        <w:t xml:space="preserve">aviation security risk assessments in </w:t>
      </w:r>
      <w:r w:rsidR="009B3604">
        <w:rPr>
          <w:shd w:val="clear" w:color="auto" w:fill="FFFFFF"/>
        </w:rPr>
        <w:t xml:space="preserve">respect to the response after an incident and </w:t>
      </w:r>
      <w:r w:rsidR="00B4184E" w:rsidRPr="00B4184E">
        <w:rPr>
          <w:shd w:val="clear" w:color="auto" w:fill="FFFFFF"/>
        </w:rPr>
        <w:t>the level of exchange of information</w:t>
      </w:r>
      <w:r w:rsidR="00356DBE">
        <w:rPr>
          <w:shd w:val="clear" w:color="auto" w:fill="FFFFFF"/>
        </w:rPr>
        <w:t xml:space="preserve"> within the EU</w:t>
      </w:r>
      <w:r w:rsidR="00B4184E" w:rsidRPr="00B4184E">
        <w:rPr>
          <w:shd w:val="clear" w:color="auto" w:fill="FFFFFF"/>
        </w:rPr>
        <w:t xml:space="preserve">, including </w:t>
      </w:r>
      <w:r w:rsidR="009B3604">
        <w:rPr>
          <w:shd w:val="clear" w:color="auto" w:fill="FFFFFF"/>
        </w:rPr>
        <w:t>“</w:t>
      </w:r>
      <w:r w:rsidR="00B4184E" w:rsidRPr="009B3604">
        <w:rPr>
          <w:i/>
          <w:iCs/>
          <w:shd w:val="clear" w:color="auto" w:fill="FFFFFF"/>
        </w:rPr>
        <w:t>the participation of like-minded third countries, notably the U.S., Australia and Canada</w:t>
      </w:r>
      <w:proofErr w:type="gramStart"/>
      <w:r w:rsidR="005311D9">
        <w:rPr>
          <w:i/>
          <w:iCs/>
          <w:shd w:val="clear" w:color="auto" w:fill="FFFFFF"/>
        </w:rPr>
        <w:t>,</w:t>
      </w:r>
      <w:r w:rsidR="009B3604">
        <w:rPr>
          <w:shd w:val="clear" w:color="auto" w:fill="FFFFFF"/>
        </w:rPr>
        <w:t>”</w:t>
      </w:r>
      <w:r w:rsidR="005311D9">
        <w:rPr>
          <w:shd w:val="clear" w:color="auto" w:fill="FFFFFF"/>
        </w:rPr>
        <w:t>…</w:t>
      </w:r>
      <w:proofErr w:type="gramEnd"/>
      <w:r w:rsidR="005311D9">
        <w:rPr>
          <w:shd w:val="clear" w:color="auto" w:fill="FFFFFF"/>
        </w:rPr>
        <w:t>.</w:t>
      </w:r>
      <w:r w:rsidR="00B4184E">
        <w:rPr>
          <w:shd w:val="clear" w:color="auto" w:fill="FFFFFF"/>
        </w:rPr>
        <w:t xml:space="preserve"> and now</w:t>
      </w:r>
      <w:r w:rsidR="00B0046D">
        <w:rPr>
          <w:shd w:val="clear" w:color="auto" w:fill="FFFFFF"/>
        </w:rPr>
        <w:t>……</w:t>
      </w:r>
      <w:r w:rsidR="00B4184E">
        <w:rPr>
          <w:shd w:val="clear" w:color="auto" w:fill="FFFFFF"/>
        </w:rPr>
        <w:t xml:space="preserve"> </w:t>
      </w:r>
      <w:r w:rsidR="009B3604">
        <w:rPr>
          <w:shd w:val="clear" w:color="auto" w:fill="FFFFFF"/>
        </w:rPr>
        <w:t xml:space="preserve">presumably </w:t>
      </w:r>
      <w:r w:rsidR="00B4184E">
        <w:rPr>
          <w:shd w:val="clear" w:color="auto" w:fill="FFFFFF"/>
        </w:rPr>
        <w:t>also the UK</w:t>
      </w:r>
      <w:r w:rsidR="00E42786">
        <w:rPr>
          <w:shd w:val="clear" w:color="auto" w:fill="FFFFFF"/>
        </w:rPr>
        <w:t xml:space="preserve"> too</w:t>
      </w:r>
      <w:r w:rsidR="00B4184E">
        <w:rPr>
          <w:shd w:val="clear" w:color="auto" w:fill="FFFFFF"/>
        </w:rPr>
        <w:t>.</w:t>
      </w:r>
      <w:r w:rsidR="009B3604">
        <w:rPr>
          <w:rStyle w:val="FootnoteReference"/>
          <w:shd w:val="clear" w:color="auto" w:fill="FFFFFF"/>
        </w:rPr>
        <w:footnoteReference w:id="123"/>
      </w:r>
      <w:r>
        <w:rPr>
          <w:shd w:val="clear" w:color="auto" w:fill="FFFFFF"/>
        </w:rPr>
        <w:t xml:space="preserve"> As was commented upon earlier</w:t>
      </w:r>
      <w:r w:rsidR="00671387">
        <w:rPr>
          <w:shd w:val="clear" w:color="auto" w:fill="FFFFFF"/>
        </w:rPr>
        <w:t>,</w:t>
      </w:r>
      <w:r>
        <w:rPr>
          <w:shd w:val="clear" w:color="auto" w:fill="FFFFFF"/>
        </w:rPr>
        <w:t xml:space="preserve"> the transfer of data, particularly to third countries has proved highly problematic and the UK is positioned to have to navigate/conclude an agreement in this position</w:t>
      </w:r>
      <w:r w:rsidR="00356DBE">
        <w:rPr>
          <w:shd w:val="clear" w:color="auto" w:fill="FFFFFF"/>
        </w:rPr>
        <w:t xml:space="preserve"> regarding the PNR and transfer of data</w:t>
      </w:r>
      <w:r>
        <w:rPr>
          <w:shd w:val="clear" w:color="auto" w:fill="FFFFFF"/>
        </w:rPr>
        <w:t>.</w:t>
      </w:r>
    </w:p>
    <w:p w14:paraId="5382E7AA" w14:textId="5FFE55D3" w:rsidR="00851D8C" w:rsidRDefault="00851D8C" w:rsidP="00B4184E">
      <w:pPr>
        <w:spacing w:line="360" w:lineRule="auto"/>
        <w:rPr>
          <w:shd w:val="clear" w:color="auto" w:fill="FFFFFF"/>
        </w:rPr>
      </w:pPr>
    </w:p>
    <w:p w14:paraId="64A9F6F4" w14:textId="58C7F86E" w:rsidR="008C1605" w:rsidRPr="00F53217" w:rsidRDefault="00851D8C" w:rsidP="001C596F">
      <w:pPr>
        <w:spacing w:line="360" w:lineRule="auto"/>
        <w:rPr>
          <w:shd w:val="clear" w:color="auto" w:fill="FFFFFF"/>
        </w:rPr>
      </w:pPr>
      <w:r>
        <w:rPr>
          <w:shd w:val="clear" w:color="auto" w:fill="FFFFFF"/>
        </w:rPr>
        <w:t xml:space="preserve">Ironically, in 2018 in an EU barometer survey across the Member States, the UK was critical of the action of the EU in terms </w:t>
      </w:r>
      <w:r w:rsidR="007424E5">
        <w:rPr>
          <w:shd w:val="clear" w:color="auto" w:fill="FFFFFF"/>
        </w:rPr>
        <w:t xml:space="preserve">of </w:t>
      </w:r>
      <w:r>
        <w:rPr>
          <w:shd w:val="clear" w:color="auto" w:fill="FFFFFF"/>
        </w:rPr>
        <w:t>believing</w:t>
      </w:r>
      <w:r w:rsidRPr="00851D8C">
        <w:rPr>
          <w:shd w:val="clear" w:color="auto" w:fill="FFFFFF"/>
        </w:rPr>
        <w:t xml:space="preserve"> that the EU should intervene more than it currently does. This </w:t>
      </w:r>
      <w:r>
        <w:rPr>
          <w:shd w:val="clear" w:color="auto" w:fill="FFFFFF"/>
        </w:rPr>
        <w:t>was</w:t>
      </w:r>
      <w:r w:rsidRPr="00851D8C">
        <w:rPr>
          <w:shd w:val="clear" w:color="auto" w:fill="FFFFFF"/>
        </w:rPr>
        <w:t xml:space="preserve"> particular</w:t>
      </w:r>
      <w:r>
        <w:rPr>
          <w:shd w:val="clear" w:color="auto" w:fill="FFFFFF"/>
        </w:rPr>
        <w:t>ly</w:t>
      </w:r>
      <w:r w:rsidRPr="00851D8C">
        <w:rPr>
          <w:shd w:val="clear" w:color="auto" w:fill="FFFFFF"/>
        </w:rPr>
        <w:t xml:space="preserve"> the case </w:t>
      </w:r>
      <w:r w:rsidR="007424E5">
        <w:rPr>
          <w:shd w:val="clear" w:color="auto" w:fill="FFFFFF"/>
        </w:rPr>
        <w:t xml:space="preserve">in relation to </w:t>
      </w:r>
      <w:r w:rsidRPr="00851D8C">
        <w:rPr>
          <w:shd w:val="clear" w:color="auto" w:fill="FFFFFF"/>
        </w:rPr>
        <w:t xml:space="preserve">the </w:t>
      </w:r>
      <w:r w:rsidRPr="00851D8C">
        <w:rPr>
          <w:i/>
          <w:iCs/>
          <w:shd w:val="clear" w:color="auto" w:fill="FFFFFF"/>
        </w:rPr>
        <w:t xml:space="preserve">fight against terrorism </w:t>
      </w:r>
      <w:r w:rsidRPr="00851D8C">
        <w:rPr>
          <w:shd w:val="clear" w:color="auto" w:fill="FFFFFF"/>
        </w:rPr>
        <w:t>(72%)</w:t>
      </w:r>
      <w:r w:rsidR="007424E5">
        <w:rPr>
          <w:shd w:val="clear" w:color="auto" w:fill="FFFFFF"/>
        </w:rPr>
        <w:t xml:space="preserve">. </w:t>
      </w:r>
      <w:r w:rsidR="00086A0E">
        <w:rPr>
          <w:shd w:val="clear" w:color="auto" w:fill="FFFFFF"/>
        </w:rPr>
        <w:t xml:space="preserve">UK </w:t>
      </w:r>
      <w:r w:rsidR="00086A0E" w:rsidRPr="00086A0E">
        <w:rPr>
          <w:shd w:val="clear" w:color="auto" w:fill="FFFFFF"/>
        </w:rPr>
        <w:t xml:space="preserve">citizens </w:t>
      </w:r>
      <w:r w:rsidR="00086A0E">
        <w:rPr>
          <w:shd w:val="clear" w:color="auto" w:fill="FFFFFF"/>
        </w:rPr>
        <w:t xml:space="preserve">also </w:t>
      </w:r>
      <w:r w:rsidR="007424E5">
        <w:rPr>
          <w:shd w:val="clear" w:color="auto" w:fill="FFFFFF"/>
        </w:rPr>
        <w:t>indicate</w:t>
      </w:r>
      <w:r w:rsidR="00086A0E">
        <w:rPr>
          <w:shd w:val="clear" w:color="auto" w:fill="FFFFFF"/>
        </w:rPr>
        <w:t>d</w:t>
      </w:r>
      <w:r w:rsidR="00086A0E" w:rsidRPr="00086A0E">
        <w:rPr>
          <w:shd w:val="clear" w:color="auto" w:fill="FFFFFF"/>
        </w:rPr>
        <w:t xml:space="preserve"> that the EU has not done enough when </w:t>
      </w:r>
      <w:r w:rsidR="00086A0E">
        <w:rPr>
          <w:shd w:val="clear" w:color="auto" w:fill="FFFFFF"/>
        </w:rPr>
        <w:t xml:space="preserve">it came to </w:t>
      </w:r>
      <w:r w:rsidR="00086A0E" w:rsidRPr="00086A0E">
        <w:rPr>
          <w:i/>
          <w:iCs/>
          <w:shd w:val="clear" w:color="auto" w:fill="FFFFFF"/>
        </w:rPr>
        <w:t xml:space="preserve">the protection of external borders </w:t>
      </w:r>
      <w:r w:rsidR="00086A0E" w:rsidRPr="00086A0E">
        <w:rPr>
          <w:shd w:val="clear" w:color="auto" w:fill="FFFFFF"/>
        </w:rPr>
        <w:t>(40%)</w:t>
      </w:r>
      <w:r w:rsidR="007424E5">
        <w:rPr>
          <w:shd w:val="clear" w:color="auto" w:fill="FFFFFF"/>
        </w:rPr>
        <w:t>; and, when asked whether more EU intervention was required, 60% of those surveyed indicated yes</w:t>
      </w:r>
      <w:r>
        <w:rPr>
          <w:shd w:val="clear" w:color="auto" w:fill="FFFFFF"/>
        </w:rPr>
        <w:t>.</w:t>
      </w:r>
      <w:r>
        <w:rPr>
          <w:rStyle w:val="FootnoteReference"/>
          <w:shd w:val="clear" w:color="auto" w:fill="FFFFFF"/>
        </w:rPr>
        <w:footnoteReference w:id="124"/>
      </w:r>
    </w:p>
    <w:p w14:paraId="1B83AE93" w14:textId="77777777" w:rsidR="008553FA" w:rsidRDefault="008553FA" w:rsidP="00837EDF">
      <w:pPr>
        <w:rPr>
          <w:b/>
          <w:bCs/>
        </w:rPr>
      </w:pPr>
    </w:p>
    <w:p w14:paraId="51DBAFDE" w14:textId="5DAE9391" w:rsidR="005953F0" w:rsidRDefault="001D49A9" w:rsidP="00851D8C">
      <w:pPr>
        <w:spacing w:line="360" w:lineRule="auto"/>
        <w:rPr>
          <w:b/>
          <w:bCs/>
        </w:rPr>
      </w:pPr>
      <w:r>
        <w:rPr>
          <w:b/>
          <w:bCs/>
        </w:rPr>
        <w:t xml:space="preserve">5. </w:t>
      </w:r>
      <w:r w:rsidR="005953F0" w:rsidRPr="001D49A9">
        <w:rPr>
          <w:b/>
          <w:bCs/>
        </w:rPr>
        <w:t>CONCLUSION</w:t>
      </w:r>
    </w:p>
    <w:p w14:paraId="7A3E33E3" w14:textId="5860BBD5" w:rsidR="00851D8C" w:rsidRDefault="00851D8C" w:rsidP="00851D8C">
      <w:pPr>
        <w:spacing w:line="360" w:lineRule="auto"/>
        <w:rPr>
          <w:b/>
          <w:bCs/>
        </w:rPr>
      </w:pPr>
    </w:p>
    <w:p w14:paraId="6770D48C" w14:textId="7D1B3A62" w:rsidR="007424E5" w:rsidRDefault="007424E5" w:rsidP="007424E5">
      <w:pPr>
        <w:spacing w:line="360" w:lineRule="auto"/>
      </w:pPr>
      <w:r>
        <w:t xml:space="preserve">In the 2016 referendum, </w:t>
      </w:r>
      <w:r w:rsidR="00393768">
        <w:t xml:space="preserve">48% of </w:t>
      </w:r>
      <w:r>
        <w:t>the UK population</w:t>
      </w:r>
      <w:r w:rsidR="00393768">
        <w:t xml:space="preserve"> voted to stay in Europe.</w:t>
      </w:r>
      <w:r w:rsidR="00546AD0">
        <w:rPr>
          <w:rStyle w:val="FootnoteReference"/>
        </w:rPr>
        <w:footnoteReference w:id="125"/>
      </w:r>
      <w:r w:rsidR="00393768">
        <w:t xml:space="preserve"> </w:t>
      </w:r>
      <w:r>
        <w:t xml:space="preserve">It is questionable whether the 52% who voted to leave were aware of the full consequences of voting this way – in terms of the risk (less protection or the means to ensure the mechanism </w:t>
      </w:r>
      <w:r>
        <w:lastRenderedPageBreak/>
        <w:t xml:space="preserve">for sharing, identifying and mitigating risk) which could potentially compromise state and personal safety/security. </w:t>
      </w:r>
      <w:r w:rsidRPr="00851D8C">
        <w:t>Currently</w:t>
      </w:r>
      <w:r w:rsidR="008F3609">
        <w:t>,</w:t>
      </w:r>
      <w:r w:rsidRPr="00851D8C">
        <w:t xml:space="preserve"> the UK</w:t>
      </w:r>
      <w:r>
        <w:t xml:space="preserve"> continues to negotiate this minefield - in terms of the ability (or inability) to cooperate with (police and other LEA) partners, in the same manner it did until </w:t>
      </w:r>
      <w:r w:rsidR="008F3609">
        <w:t xml:space="preserve">the end of </w:t>
      </w:r>
      <w:r>
        <w:t xml:space="preserve">2020.  This ultimately will be achieved only through state willingness </w:t>
      </w:r>
      <w:r w:rsidR="007F3577">
        <w:t>and</w:t>
      </w:r>
      <w:r>
        <w:t xml:space="preserve"> trust.</w:t>
      </w:r>
    </w:p>
    <w:p w14:paraId="50AEB029" w14:textId="16E612E1" w:rsidR="008F3609" w:rsidRDefault="008F3609" w:rsidP="007424E5">
      <w:pPr>
        <w:spacing w:line="360" w:lineRule="auto"/>
      </w:pPr>
    </w:p>
    <w:p w14:paraId="50D049AD" w14:textId="447A51F8" w:rsidR="00E545DC" w:rsidRDefault="0031124A" w:rsidP="00E545DC">
      <w:pPr>
        <w:spacing w:line="360" w:lineRule="auto"/>
      </w:pPr>
      <w:r>
        <w:t>O</w:t>
      </w:r>
      <w:r w:rsidR="00671387">
        <w:t xml:space="preserve">ne glimmer of hope and reassurance is that on </w:t>
      </w:r>
      <w:r>
        <w:t xml:space="preserve">19 </w:t>
      </w:r>
      <w:proofErr w:type="gramStart"/>
      <w:r>
        <w:t>February,</w:t>
      </w:r>
      <w:proofErr w:type="gramEnd"/>
      <w:r>
        <w:t xml:space="preserve"> 2021, the UK announced that it welcomed </w:t>
      </w:r>
      <w:r w:rsidRPr="0031124A">
        <w:t>the European Commission’s draft data adequacy decisions, which recognise</w:t>
      </w:r>
      <w:r>
        <w:t>d</w:t>
      </w:r>
      <w:r w:rsidRPr="0031124A">
        <w:t xml:space="preserve"> the UK’s high data protection standards </w:t>
      </w:r>
      <w:r>
        <w:t>as</w:t>
      </w:r>
      <w:r w:rsidRPr="0031124A">
        <w:t xml:space="preserve"> ‘adequate</w:t>
      </w:r>
      <w:r>
        <w:t>.</w:t>
      </w:r>
      <w:r w:rsidRPr="0031124A">
        <w:t>’</w:t>
      </w:r>
      <w:r w:rsidR="00275753">
        <w:rPr>
          <w:rStyle w:val="FootnoteReference"/>
        </w:rPr>
        <w:footnoteReference w:id="126"/>
      </w:r>
      <w:r>
        <w:t xml:space="preserve"> </w:t>
      </w:r>
      <w:r w:rsidR="00E545DC">
        <w:t xml:space="preserve">It urged the EU to follow-up on this swiftly so that </w:t>
      </w:r>
      <w:r w:rsidR="00E545DC" w:rsidRPr="00E545DC">
        <w:t xml:space="preserve">cooperation </w:t>
      </w:r>
      <w:r w:rsidR="00E545DC">
        <w:t>could continue between the</w:t>
      </w:r>
      <w:r w:rsidR="00E545DC" w:rsidRPr="00E545DC">
        <w:t xml:space="preserve"> UK and the EU, </w:t>
      </w:r>
      <w:r w:rsidR="00E545DC">
        <w:t>thus ensuring that</w:t>
      </w:r>
      <w:r w:rsidR="00E545DC" w:rsidRPr="00E545DC">
        <w:t xml:space="preserve"> </w:t>
      </w:r>
      <w:r w:rsidR="00E545DC">
        <w:t>‘</w:t>
      </w:r>
      <w:r w:rsidR="00E545DC" w:rsidRPr="00E545DC">
        <w:rPr>
          <w:i/>
          <w:iCs/>
        </w:rPr>
        <w:t xml:space="preserve">law enforcement authorities can keep </w:t>
      </w:r>
      <w:r w:rsidR="00E545DC" w:rsidRPr="00E545DC">
        <w:t>[UK]</w:t>
      </w:r>
      <w:r w:rsidR="00E545DC" w:rsidRPr="00E545DC">
        <w:rPr>
          <w:i/>
          <w:iCs/>
        </w:rPr>
        <w:t xml:space="preserve"> citizens safe</w:t>
      </w:r>
      <w:r w:rsidR="00E545DC">
        <w:t>.’</w:t>
      </w:r>
      <w:r w:rsidR="00E545DC">
        <w:rPr>
          <w:rStyle w:val="FootnoteReference"/>
        </w:rPr>
        <w:footnoteReference w:id="127"/>
      </w:r>
    </w:p>
    <w:p w14:paraId="083978BA" w14:textId="1FD93EAE" w:rsidR="00E545DC" w:rsidRDefault="00E545DC" w:rsidP="00E545DC">
      <w:pPr>
        <w:spacing w:line="360" w:lineRule="auto"/>
      </w:pPr>
    </w:p>
    <w:p w14:paraId="2F34AA5C" w14:textId="6A5C9A30" w:rsidR="00671387" w:rsidRPr="00671387" w:rsidRDefault="00E545DC" w:rsidP="00671387">
      <w:pPr>
        <w:spacing w:line="360" w:lineRule="auto"/>
      </w:pPr>
      <w:r>
        <w:t xml:space="preserve">If this is extended past </w:t>
      </w:r>
      <w:r w:rsidR="00671387">
        <w:t>this</w:t>
      </w:r>
      <w:r>
        <w:t xml:space="preserve"> draft </w:t>
      </w:r>
      <w:proofErr w:type="gramStart"/>
      <w:r>
        <w:t>agreement</w:t>
      </w:r>
      <w:proofErr w:type="gramEnd"/>
      <w:r>
        <w:t xml:space="preserve"> then it would </w:t>
      </w:r>
      <w:r w:rsidRPr="00E545DC">
        <w:t>allow for personal data to continue to flow freely from the European Union (EU) and wider European Economic Area (EEA) to the UK</w:t>
      </w:r>
      <w:r w:rsidR="00671387">
        <w:rPr>
          <w:rStyle w:val="FootnoteReference"/>
        </w:rPr>
        <w:footnoteReference w:id="128"/>
      </w:r>
      <w:r>
        <w:t xml:space="preserve"> in compliancy with</w:t>
      </w:r>
      <w:r w:rsidR="003318A3">
        <w:t xml:space="preserve"> the</w:t>
      </w:r>
      <w:r>
        <w:t xml:space="preserve"> </w:t>
      </w:r>
      <w:r w:rsidRPr="00E545DC">
        <w:t>EU General Data Protection Regulation (GDPR</w:t>
      </w:r>
      <w:r w:rsidR="003318A3">
        <w:rPr>
          <w:rStyle w:val="FootnoteReference"/>
        </w:rPr>
        <w:footnoteReference w:id="129"/>
      </w:r>
      <w:r w:rsidRPr="00E545DC">
        <w:t>) and the Law Enforcement Directive (LED</w:t>
      </w:r>
      <w:r w:rsidR="003318A3">
        <w:rPr>
          <w:rStyle w:val="FootnoteReference"/>
        </w:rPr>
        <w:footnoteReference w:id="130"/>
      </w:r>
      <w:r w:rsidR="00671387">
        <w:t>).</w:t>
      </w:r>
      <w:r w:rsidRPr="00E545DC">
        <w:t xml:space="preserve"> </w:t>
      </w:r>
      <w:r w:rsidR="00671387" w:rsidRPr="00671387">
        <w:t xml:space="preserve">The draft adequacy decisions </w:t>
      </w:r>
      <w:r w:rsidR="00671387">
        <w:t>will continue the process through comitology.</w:t>
      </w:r>
      <w:r w:rsidR="00671387">
        <w:rPr>
          <w:rStyle w:val="FootnoteReference"/>
        </w:rPr>
        <w:footnoteReference w:id="131"/>
      </w:r>
      <w:r w:rsidR="00671387">
        <w:t xml:space="preserve"> </w:t>
      </w:r>
      <w:r w:rsidR="00671387" w:rsidRPr="00671387">
        <w:t xml:space="preserve"> </w:t>
      </w:r>
    </w:p>
    <w:p w14:paraId="44C85847" w14:textId="127851B5" w:rsidR="00E545DC" w:rsidRPr="00E545DC" w:rsidRDefault="00E545DC" w:rsidP="00E545DC">
      <w:pPr>
        <w:spacing w:line="360" w:lineRule="auto"/>
      </w:pPr>
    </w:p>
    <w:p w14:paraId="0F7697C5" w14:textId="5B4A3098" w:rsidR="00EE0D92" w:rsidRDefault="00EE0D92" w:rsidP="00EE0D92">
      <w:pPr>
        <w:spacing w:line="360" w:lineRule="auto"/>
      </w:pPr>
      <w:r>
        <w:t xml:space="preserve">There can be little doubt that by leaving the EU the UK gave up many </w:t>
      </w:r>
      <w:r w:rsidRPr="00EE0D92">
        <w:t xml:space="preserve">benefits </w:t>
      </w:r>
      <w:r>
        <w:t>including compromising</w:t>
      </w:r>
      <w:r w:rsidRPr="007424E5">
        <w:t xml:space="preserve"> it</w:t>
      </w:r>
      <w:r w:rsidR="00E05039">
        <w:t>s</w:t>
      </w:r>
      <w:r w:rsidRPr="007424E5">
        <w:t xml:space="preserve"> position with regards to SIS and the transfer and access to vital information </w:t>
      </w:r>
      <w:r w:rsidRPr="007424E5">
        <w:lastRenderedPageBreak/>
        <w:t xml:space="preserve">and data </w:t>
      </w:r>
      <w:r>
        <w:t>held withi</w:t>
      </w:r>
      <w:r w:rsidRPr="007424E5">
        <w:t>n Europe, and other areas of police (LEA) cooperation.</w:t>
      </w:r>
      <w:r w:rsidRPr="007424E5">
        <w:rPr>
          <w:vertAlign w:val="superscript"/>
        </w:rPr>
        <w:footnoteReference w:id="132"/>
      </w:r>
      <w:r>
        <w:t xml:space="preserve"> </w:t>
      </w:r>
      <w:r w:rsidRPr="00EE0D92">
        <w:t>Covid-19 has shown just how interconnected our societies are and while international cooperation is so very important – so is regional cooperation; if the UK cannot cooperate with its European neighbours how will it fair any better internationally?</w:t>
      </w:r>
      <w:r>
        <w:t xml:space="preserve"> </w:t>
      </w:r>
    </w:p>
    <w:p w14:paraId="143D6353" w14:textId="77777777" w:rsidR="00EE0D92" w:rsidRDefault="00EE0D92" w:rsidP="00EE0D92">
      <w:pPr>
        <w:spacing w:line="360" w:lineRule="auto"/>
        <w:rPr>
          <w:i/>
          <w:iCs/>
        </w:rPr>
      </w:pPr>
    </w:p>
    <w:p w14:paraId="0C16F463" w14:textId="194531D2" w:rsidR="00EE0D92" w:rsidRPr="00EE0D92" w:rsidRDefault="00EE0D92" w:rsidP="00EE0D92">
      <w:pPr>
        <w:spacing w:line="360" w:lineRule="auto"/>
      </w:pPr>
      <w:r w:rsidRPr="00EE0D92">
        <w:t xml:space="preserve">Citizens of the UK have lost their right to equal treatment within the EU – and that could translate to their safety and security.  </w:t>
      </w:r>
    </w:p>
    <w:p w14:paraId="047072D1" w14:textId="77777777" w:rsidR="00EE0D92" w:rsidRDefault="00EE0D92" w:rsidP="00EE0D92">
      <w:pPr>
        <w:spacing w:line="360" w:lineRule="auto"/>
        <w:rPr>
          <w:i/>
          <w:iCs/>
        </w:rPr>
      </w:pPr>
    </w:p>
    <w:p w14:paraId="03B96D26" w14:textId="77777777" w:rsidR="00EE0D92" w:rsidRPr="00EE0D92" w:rsidRDefault="00EE0D92" w:rsidP="00EE0D92">
      <w:pPr>
        <w:spacing w:line="360" w:lineRule="auto"/>
      </w:pPr>
      <w:r>
        <w:rPr>
          <w:i/>
          <w:iCs/>
        </w:rPr>
        <w:t>E</w:t>
      </w:r>
      <w:r w:rsidR="00393768" w:rsidRPr="009B6243">
        <w:rPr>
          <w:i/>
          <w:iCs/>
        </w:rPr>
        <w:t>volution</w:t>
      </w:r>
      <w:r w:rsidR="00393768">
        <w:t xml:space="preserve"> </w:t>
      </w:r>
      <w:r>
        <w:t xml:space="preserve">(joining the EU) </w:t>
      </w:r>
      <w:r w:rsidR="00393768">
        <w:t xml:space="preserve">meant that </w:t>
      </w:r>
      <w:r>
        <w:t>UK citizens were also</w:t>
      </w:r>
      <w:r w:rsidR="00393768">
        <w:t xml:space="preserve"> European Citizen – </w:t>
      </w:r>
      <w:r w:rsidR="00393768" w:rsidRPr="009B6243">
        <w:rPr>
          <w:i/>
          <w:iCs/>
        </w:rPr>
        <w:t>devolution</w:t>
      </w:r>
      <w:r w:rsidR="00393768">
        <w:t xml:space="preserve"> </w:t>
      </w:r>
      <w:r>
        <w:t xml:space="preserve">(leaving the EU) </w:t>
      </w:r>
      <w:r w:rsidR="00393768">
        <w:t xml:space="preserve">means that a UK citizen cannot now be. With this momentous decision and action, comes extraction of entitlements and other, still unknown, consequences. </w:t>
      </w:r>
      <w:r w:rsidRPr="00EE0D92">
        <w:t xml:space="preserve">Only time will tell – just how successful the current negotiations will be and how much UK citizens may have their safety and security risked by Brexit. </w:t>
      </w:r>
    </w:p>
    <w:p w14:paraId="1F05A176" w14:textId="7B9CEC5F" w:rsidR="00623538" w:rsidRDefault="00623538" w:rsidP="00EE0D92">
      <w:pPr>
        <w:spacing w:line="360" w:lineRule="auto"/>
      </w:pPr>
    </w:p>
    <w:p w14:paraId="46047061" w14:textId="63A9C817" w:rsidR="00BE21CC" w:rsidRDefault="00BE21CC" w:rsidP="0020746A"/>
    <w:p w14:paraId="549E9AE9" w14:textId="16D5B97C" w:rsidR="00BE21CC" w:rsidRDefault="0011375B" w:rsidP="0011375B">
      <w:pPr>
        <w:jc w:val="center"/>
      </w:pPr>
      <w:r>
        <w:t>*****</w:t>
      </w:r>
    </w:p>
    <w:p w14:paraId="7F14736C" w14:textId="77777777" w:rsidR="00806EB9" w:rsidRDefault="00806EB9" w:rsidP="0000500B">
      <w:pPr>
        <w:rPr>
          <w:b/>
          <w:bCs/>
        </w:rPr>
      </w:pPr>
    </w:p>
    <w:p w14:paraId="7747F130" w14:textId="77777777" w:rsidR="00806EB9" w:rsidRDefault="00806EB9" w:rsidP="0000500B">
      <w:pPr>
        <w:rPr>
          <w:b/>
          <w:bCs/>
        </w:rPr>
      </w:pPr>
    </w:p>
    <w:p w14:paraId="050D8130" w14:textId="77777777" w:rsidR="00806EB9" w:rsidRDefault="00806EB9" w:rsidP="0000500B">
      <w:pPr>
        <w:rPr>
          <w:b/>
          <w:bCs/>
        </w:rPr>
      </w:pPr>
    </w:p>
    <w:p w14:paraId="1352A89B" w14:textId="77777777" w:rsidR="00806EB9" w:rsidRDefault="00806EB9" w:rsidP="0000500B">
      <w:pPr>
        <w:rPr>
          <w:b/>
          <w:bCs/>
        </w:rPr>
      </w:pPr>
    </w:p>
    <w:p w14:paraId="58A4170D" w14:textId="77777777" w:rsidR="00806EB9" w:rsidRDefault="00806EB9" w:rsidP="0000500B">
      <w:pPr>
        <w:rPr>
          <w:b/>
          <w:bCs/>
        </w:rPr>
      </w:pPr>
    </w:p>
    <w:p w14:paraId="07CC9A4D" w14:textId="77777777" w:rsidR="00806EB9" w:rsidRDefault="00806EB9" w:rsidP="0000500B">
      <w:pPr>
        <w:rPr>
          <w:b/>
          <w:bCs/>
        </w:rPr>
      </w:pPr>
    </w:p>
    <w:p w14:paraId="1DB8F2D1" w14:textId="77777777" w:rsidR="00806EB9" w:rsidRDefault="00806EB9" w:rsidP="0000500B">
      <w:pPr>
        <w:rPr>
          <w:b/>
          <w:bCs/>
        </w:rPr>
      </w:pPr>
    </w:p>
    <w:p w14:paraId="16C379B5" w14:textId="2E268E69" w:rsidR="00606823" w:rsidRPr="00541EFF" w:rsidRDefault="00606823" w:rsidP="0093091B"/>
    <w:sectPr w:rsidR="00606823" w:rsidRPr="00541EFF" w:rsidSect="00714C4F">
      <w:footerReference w:type="even" r:id="rId12"/>
      <w:footerReference w:type="default" r:id="rId13"/>
      <w:endnotePr>
        <w:numFmt w:val="decimal"/>
      </w:endnotePr>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E83523" w14:textId="77777777" w:rsidR="00CB7864" w:rsidRDefault="00CB7864" w:rsidP="00681C0B">
      <w:r>
        <w:separator/>
      </w:r>
    </w:p>
  </w:endnote>
  <w:endnote w:type="continuationSeparator" w:id="0">
    <w:p w14:paraId="204CBC06" w14:textId="77777777" w:rsidR="00CB7864" w:rsidRDefault="00CB7864" w:rsidP="00681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altName w:val="﷽﷽﷽﷽﷽﷽﷽﷽쇀΂怀"/>
    <w:panose1 w:val="02040502050405020303"/>
    <w:charset w:val="00"/>
    <w:family w:val="roman"/>
    <w:pitch w:val="variable"/>
    <w:sig w:usb0="00000287" w:usb1="00000000" w:usb2="00000000" w:usb3="00000000" w:csb0="0000009F" w:csb1="00000000"/>
  </w:font>
  <w:font w:name="Helvetica Neue">
    <w:altName w:val="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0940524"/>
      <w:docPartObj>
        <w:docPartGallery w:val="Page Numbers (Bottom of Page)"/>
        <w:docPartUnique/>
      </w:docPartObj>
    </w:sdtPr>
    <w:sdtEndPr>
      <w:rPr>
        <w:rStyle w:val="PageNumber"/>
      </w:rPr>
    </w:sdtEndPr>
    <w:sdtContent>
      <w:p w14:paraId="0B804287" w14:textId="500FA588" w:rsidR="00A45C89" w:rsidRDefault="00A45C89" w:rsidP="00A54E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99B9F9" w14:textId="77777777" w:rsidR="00A45C89" w:rsidRDefault="00A45C89" w:rsidP="0061120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6056947"/>
      <w:docPartObj>
        <w:docPartGallery w:val="Page Numbers (Bottom of Page)"/>
        <w:docPartUnique/>
      </w:docPartObj>
    </w:sdtPr>
    <w:sdtEndPr>
      <w:rPr>
        <w:rStyle w:val="PageNumber"/>
      </w:rPr>
    </w:sdtEndPr>
    <w:sdtContent>
      <w:p w14:paraId="26CF8878" w14:textId="59F3F614" w:rsidR="00A45C89" w:rsidRDefault="00A45C89" w:rsidP="00A54E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C25F25D" w14:textId="77777777" w:rsidR="00A45C89" w:rsidRDefault="00A45C89" w:rsidP="0061120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03B732" w14:textId="77777777" w:rsidR="00CB7864" w:rsidRDefault="00CB7864" w:rsidP="00681C0B">
      <w:r>
        <w:separator/>
      </w:r>
    </w:p>
  </w:footnote>
  <w:footnote w:type="continuationSeparator" w:id="0">
    <w:p w14:paraId="4851DC61" w14:textId="77777777" w:rsidR="00CB7864" w:rsidRDefault="00CB7864" w:rsidP="00681C0B">
      <w:r>
        <w:continuationSeparator/>
      </w:r>
    </w:p>
  </w:footnote>
  <w:footnote w:id="1">
    <w:p w14:paraId="39F05C9E" w14:textId="0A32783C" w:rsidR="00A45C89" w:rsidRDefault="00A45C89" w:rsidP="00B72DD7">
      <w:pPr>
        <w:pStyle w:val="FootnoteText"/>
      </w:pPr>
      <w:r w:rsidRPr="002543BE">
        <w:rPr>
          <w:rStyle w:val="FootnoteReference"/>
        </w:rPr>
        <w:footnoteRef/>
      </w:r>
      <w:r w:rsidRPr="002543BE">
        <w:t xml:space="preserve"> Cambridge Dictionary online: </w:t>
      </w:r>
      <w:hyperlink r:id="rId1" w:history="1">
        <w:r w:rsidRPr="002543BE">
          <w:rPr>
            <w:rStyle w:val="Hyperlink"/>
          </w:rPr>
          <w:t>https://dictionary.cambridge.org/dictionary/english/cooperation</w:t>
        </w:r>
      </w:hyperlink>
    </w:p>
  </w:footnote>
  <w:footnote w:id="2">
    <w:p w14:paraId="551DEEBE" w14:textId="77777777" w:rsidR="00A45C89" w:rsidRPr="00D5522B" w:rsidRDefault="00A45C89" w:rsidP="00B72DD7">
      <w:pPr>
        <w:pStyle w:val="FootnoteText"/>
      </w:pPr>
      <w:r w:rsidRPr="00D5522B">
        <w:rPr>
          <w:rStyle w:val="FootnoteReference"/>
        </w:rPr>
        <w:footnoteRef/>
      </w:r>
      <w:r w:rsidRPr="00D5522B">
        <w:t xml:space="preserve"> Authors proposed definition for policing cooperation.</w:t>
      </w:r>
    </w:p>
  </w:footnote>
  <w:footnote w:id="3">
    <w:p w14:paraId="785CC497" w14:textId="1753823D" w:rsidR="00A45C89" w:rsidRDefault="00A45C89" w:rsidP="00B72DD7">
      <w:pPr>
        <w:pStyle w:val="FootnoteText"/>
      </w:pPr>
      <w:r>
        <w:rPr>
          <w:rStyle w:val="FootnoteReference"/>
        </w:rPr>
        <w:footnoteRef/>
      </w:r>
      <w:r>
        <w:t xml:space="preserve"> Authors previous papers wherein this is discussed - see for example:</w:t>
      </w:r>
    </w:p>
    <w:p w14:paraId="5D3573A3" w14:textId="6CC6C049" w:rsidR="00A45C89" w:rsidRDefault="00A45C89" w:rsidP="00B72DD7">
      <w:pPr>
        <w:pStyle w:val="FootnoteText"/>
      </w:pPr>
      <w:r>
        <w:rPr>
          <w:lang w:val="en-US"/>
        </w:rPr>
        <w:t xml:space="preserve">S. J. </w:t>
      </w:r>
      <w:r w:rsidRPr="00CB0F08">
        <w:rPr>
          <w:lang w:val="en-US"/>
        </w:rPr>
        <w:t>Fox (2015) ‘To practice justice and right’ – international aviation liability: have lessons been learnt? International Journal of Public Law and Policy, (2015) Vol. 5, No. 2, pp. 162-182. DOI: 10.1504/1JPLAP.2015.071027</w:t>
      </w:r>
      <w:r>
        <w:t>.</w:t>
      </w:r>
    </w:p>
    <w:p w14:paraId="304FA19D" w14:textId="0CE5F3CD" w:rsidR="00A45C89" w:rsidRDefault="00A45C89" w:rsidP="00B72DD7">
      <w:pPr>
        <w:pStyle w:val="FootnoteText"/>
        <w:rPr>
          <w:lang w:val="en-US"/>
        </w:rPr>
      </w:pPr>
      <w:r w:rsidRPr="00056B2A">
        <w:t xml:space="preserve">S. J. </w:t>
      </w:r>
      <w:r>
        <w:t xml:space="preserve">Fox </w:t>
      </w:r>
      <w:r w:rsidRPr="00056B2A">
        <w:t xml:space="preserve">(2017) </w:t>
      </w:r>
      <w:r w:rsidRPr="00056B2A">
        <w:rPr>
          <w:lang w:val="en-US"/>
        </w:rPr>
        <w:t>Borderless skies! Sovereign dominance, Regionalism: Lessons from Europe. IJWP, Vol. XXXIV, No. 4 (2017) pp 9-41</w:t>
      </w:r>
    </w:p>
    <w:p w14:paraId="3EF42EB0" w14:textId="27FE9951" w:rsidR="00A45C89" w:rsidRPr="00026B2F" w:rsidRDefault="00A45C89" w:rsidP="00B72DD7">
      <w:pPr>
        <w:pStyle w:val="FootnoteText"/>
        <w:rPr>
          <w:lang w:val="en-US"/>
        </w:rPr>
      </w:pPr>
      <w:r w:rsidRPr="00026B2F">
        <w:rPr>
          <w:lang w:val="en-US"/>
        </w:rPr>
        <w:t xml:space="preserve">S. J. </w:t>
      </w:r>
      <w:r>
        <w:rPr>
          <w:lang w:val="en-US"/>
        </w:rPr>
        <w:t xml:space="preserve">Fox </w:t>
      </w:r>
      <w:r w:rsidRPr="00026B2F">
        <w:rPr>
          <w:lang w:val="en-US"/>
        </w:rPr>
        <w:t xml:space="preserve">(2014) The evolution of aviation: </w:t>
      </w:r>
      <w:r w:rsidRPr="00026B2F">
        <w:rPr>
          <w:i/>
          <w:iCs/>
          <w:lang w:val="en-US"/>
        </w:rPr>
        <w:t xml:space="preserve">In times of war and peace – blood tears and salvation! </w:t>
      </w:r>
      <w:r w:rsidRPr="00026B2F">
        <w:rPr>
          <w:lang w:val="en-US"/>
        </w:rPr>
        <w:t> International Journal on World Peace (2014) Vol. XXXI No. 4 Dec. pp. 49-79</w:t>
      </w:r>
    </w:p>
    <w:p w14:paraId="3552A797" w14:textId="29881061" w:rsidR="00A45C89" w:rsidRPr="00D66D99" w:rsidRDefault="00A45C89" w:rsidP="00B72DD7">
      <w:pPr>
        <w:pStyle w:val="FootnoteText"/>
        <w:rPr>
          <w:lang w:val="en-US"/>
        </w:rPr>
      </w:pPr>
      <w:r w:rsidRPr="00026B2F">
        <w:t xml:space="preserve">S. J. </w:t>
      </w:r>
      <w:r>
        <w:t xml:space="preserve">Fox </w:t>
      </w:r>
      <w:r w:rsidRPr="00026B2F">
        <w:t>(2015) ‘</w:t>
      </w:r>
      <w:proofErr w:type="spellStart"/>
      <w:r w:rsidRPr="00026B2F">
        <w:t>CONTEST’ing</w:t>
      </w:r>
      <w:proofErr w:type="spellEnd"/>
      <w:r w:rsidRPr="00026B2F">
        <w:t xml:space="preserve"> Chicago. Origins and Reflections:</w:t>
      </w:r>
      <w:r w:rsidRPr="00026B2F">
        <w:rPr>
          <w:i/>
        </w:rPr>
        <w:t xml:space="preserve"> Lest we forget!</w:t>
      </w:r>
      <w:r w:rsidRPr="00026B2F">
        <w:t xml:space="preserve"> International Journal of Private Law, (2015) Vol. 8, No. 1, pp. 73-98</w:t>
      </w:r>
      <w:r>
        <w:rPr>
          <w:lang w:val="en-US"/>
        </w:rPr>
        <w:t>.</w:t>
      </w:r>
    </w:p>
    <w:p w14:paraId="366CB872" w14:textId="42725B4D" w:rsidR="00A45C89" w:rsidRDefault="00A45C89" w:rsidP="00B72DD7">
      <w:pPr>
        <w:pStyle w:val="FootnoteText"/>
      </w:pPr>
      <w:r w:rsidRPr="002F0BD6">
        <w:t xml:space="preserve">S.J. </w:t>
      </w:r>
      <w:r>
        <w:t xml:space="preserve">Fox </w:t>
      </w:r>
      <w:r w:rsidRPr="002F0BD6">
        <w:t xml:space="preserve">(2020) The ‘risk’ of disruptive technology today (A case study of aviation – Enter the drone), Technology in Society (2020), </w:t>
      </w:r>
      <w:proofErr w:type="spellStart"/>
      <w:r w:rsidRPr="002F0BD6">
        <w:t>doi</w:t>
      </w:r>
      <w:proofErr w:type="spellEnd"/>
      <w:r w:rsidRPr="002F0BD6">
        <w:t xml:space="preserve">: </w:t>
      </w:r>
      <w:hyperlink r:id="rId2" w:history="1">
        <w:r w:rsidRPr="002F0BD6">
          <w:rPr>
            <w:rStyle w:val="Hyperlink"/>
          </w:rPr>
          <w:t>https://doi.org/10.1016/j.techsoc.2020.101304</w:t>
        </w:r>
      </w:hyperlink>
    </w:p>
    <w:p w14:paraId="59111DCF" w14:textId="05BCC8B7" w:rsidR="00A45C89" w:rsidRDefault="00A45C89" w:rsidP="00B72DD7">
      <w:pPr>
        <w:pStyle w:val="FootnoteText"/>
      </w:pPr>
      <w:r>
        <w:t>Conference presentations:</w:t>
      </w:r>
    </w:p>
    <w:p w14:paraId="7DC88D11" w14:textId="4E539089" w:rsidR="00A45C89" w:rsidRPr="0041785C" w:rsidRDefault="00A45C89" w:rsidP="00B72DD7">
      <w:pPr>
        <w:pStyle w:val="FootnoteText"/>
      </w:pPr>
      <w:r w:rsidRPr="0041785C">
        <w:t xml:space="preserve">S. J. Fox; ‘Cyber governance’ Jurisdiction and Boundaries - </w:t>
      </w:r>
      <w:r w:rsidRPr="0041785C">
        <w:rPr>
          <w:i/>
          <w:lang w:val="en-US"/>
        </w:rPr>
        <w:t xml:space="preserve">Diplomacy? - A question of willing! </w:t>
      </w:r>
      <w:r w:rsidRPr="0041785C">
        <w:t>International Conference on Cyberlaw, Cybercrime and Cyber Security. 14–16</w:t>
      </w:r>
      <w:r w:rsidRPr="0041785C">
        <w:rPr>
          <w:vertAlign w:val="superscript"/>
        </w:rPr>
        <w:t xml:space="preserve">th </w:t>
      </w:r>
      <w:proofErr w:type="gramStart"/>
      <w:r w:rsidRPr="0041785C">
        <w:t>November,</w:t>
      </w:r>
      <w:proofErr w:type="gramEnd"/>
      <w:r w:rsidRPr="0041785C">
        <w:t xml:space="preserve"> 2018 New Delhi, India. </w:t>
      </w:r>
    </w:p>
  </w:footnote>
  <w:footnote w:id="4">
    <w:p w14:paraId="39F957A9" w14:textId="34FE3083" w:rsidR="00A45C89" w:rsidRDefault="00A45C89" w:rsidP="00B72DD7">
      <w:pPr>
        <w:pStyle w:val="FootnoteText"/>
      </w:pPr>
      <w:r>
        <w:rPr>
          <w:rStyle w:val="FootnoteReference"/>
        </w:rPr>
        <w:footnoteRef/>
      </w:r>
      <w:r>
        <w:t xml:space="preserve"> A point discussed by the author in other publications, see for instance: S. J. </w:t>
      </w:r>
      <w:r w:rsidRPr="00B24E7C">
        <w:rPr>
          <w:lang w:val="en-US"/>
        </w:rPr>
        <w:t xml:space="preserve">Fox (2019) </w:t>
      </w:r>
      <w:r w:rsidRPr="00B24E7C">
        <w:t xml:space="preserve">Policing aviation and keeping peace: intelligence-fed security. </w:t>
      </w:r>
      <w:r w:rsidRPr="00B24E7C">
        <w:rPr>
          <w:lang w:val="en-US"/>
        </w:rPr>
        <w:t>International Journal on World Peace. Vol. XXXVI, No.1 (March - 2019) pp. 63-92</w:t>
      </w:r>
      <w:r>
        <w:rPr>
          <w:lang w:val="en-US"/>
        </w:rPr>
        <w:t xml:space="preserve"> – wherein it is </w:t>
      </w:r>
      <w:proofErr w:type="gramStart"/>
      <w:r>
        <w:rPr>
          <w:lang w:val="en-US"/>
        </w:rPr>
        <w:t>said;</w:t>
      </w:r>
      <w:proofErr w:type="gramEnd"/>
    </w:p>
    <w:p w14:paraId="6879AECF" w14:textId="4141D70F" w:rsidR="00A45C89" w:rsidRDefault="00A45C89" w:rsidP="00B72DD7">
      <w:pPr>
        <w:pStyle w:val="FootnoteText"/>
      </w:pPr>
      <w:r>
        <w:t>“</w:t>
      </w:r>
      <w:r w:rsidRPr="00B24E7C">
        <w:t xml:space="preserve">It is widely known that the </w:t>
      </w:r>
      <w:r>
        <w:t>…</w:t>
      </w:r>
      <w:r w:rsidRPr="00B24E7C">
        <w:t xml:space="preserve"> 9/11 Report makes critical reference to the liaison and coordination (or lack of such) by the respective security agencies, stating that, “</w:t>
      </w:r>
      <w:r w:rsidRPr="00B24E7C">
        <w:rPr>
          <w:i/>
        </w:rPr>
        <w:t>the intelligence community is not organized well for joint intelligence work</w:t>
      </w:r>
      <w:r w:rsidRPr="00B24E7C">
        <w:t>.” Whilst it was said, that the “</w:t>
      </w:r>
      <w:r w:rsidRPr="00B24E7C">
        <w:rPr>
          <w:i/>
        </w:rPr>
        <w:t>U.S. government has access to a vast amount of information</w:t>
      </w:r>
      <w:r w:rsidRPr="00B24E7C">
        <w:t>.” It was, furthermore, acknowledged to have, “</w:t>
      </w:r>
      <w:r w:rsidRPr="00B24E7C">
        <w:rPr>
          <w:i/>
        </w:rPr>
        <w:t>a weak system for processing and using what it has</w:t>
      </w:r>
      <w:r w:rsidRPr="00B24E7C">
        <w:t>.” The recommendation was that the “</w:t>
      </w:r>
      <w:r w:rsidRPr="00B24E7C">
        <w:rPr>
          <w:i/>
        </w:rPr>
        <w:t>system of ‘need to know’ should be replaced by a system of ‘need to share’</w:t>
      </w:r>
      <w:r w:rsidRPr="00B24E7C">
        <w:t>.”</w:t>
      </w:r>
    </w:p>
  </w:footnote>
  <w:footnote w:id="5">
    <w:p w14:paraId="53C16DA8" w14:textId="165FE796" w:rsidR="00A45C89" w:rsidRDefault="00A45C89" w:rsidP="00B72DD7">
      <w:pPr>
        <w:pStyle w:val="FootnoteText"/>
      </w:pPr>
      <w:r>
        <w:rPr>
          <w:rStyle w:val="FootnoteReference"/>
        </w:rPr>
        <w:footnoteRef/>
      </w:r>
      <w:r>
        <w:t xml:space="preserve"> A. </w:t>
      </w:r>
      <w:r w:rsidRPr="00343E91">
        <w:t>Goldsmith</w:t>
      </w:r>
      <w:r>
        <w:t xml:space="preserve"> </w:t>
      </w:r>
      <w:r w:rsidRPr="00343E91">
        <w:t>(2005) Police reform and the problem of trust. Theoretical Criminology 9(4): 443–470. </w:t>
      </w:r>
    </w:p>
    <w:p w14:paraId="51128FC7" w14:textId="48B48FE6" w:rsidR="00A45C89" w:rsidRDefault="00A45C89" w:rsidP="00B72DD7">
      <w:pPr>
        <w:pStyle w:val="FootnoteText"/>
      </w:pPr>
      <w:r>
        <w:t xml:space="preserve">(See also J. </w:t>
      </w:r>
      <w:r w:rsidRPr="0073448B">
        <w:t xml:space="preserve">Jackson, </w:t>
      </w:r>
      <w:r>
        <w:t xml:space="preserve">B. </w:t>
      </w:r>
      <w:r w:rsidRPr="0073448B">
        <w:t>Bradford, (2010) What is Trust and confidence in the police? Policing 4(3): 241–248. </w:t>
      </w:r>
      <w:r>
        <w:t xml:space="preserve">M. </w:t>
      </w:r>
      <w:r w:rsidRPr="0073448B">
        <w:t xml:space="preserve">Hough, </w:t>
      </w:r>
      <w:r>
        <w:t>J.</w:t>
      </w:r>
      <w:r w:rsidRPr="0073448B">
        <w:t xml:space="preserve"> Jackson, </w:t>
      </w:r>
      <w:r>
        <w:t>B.</w:t>
      </w:r>
      <w:r w:rsidRPr="0073448B">
        <w:t xml:space="preserve"> Bradford, </w:t>
      </w:r>
      <w:r>
        <w:t xml:space="preserve">A. </w:t>
      </w:r>
      <w:proofErr w:type="spellStart"/>
      <w:r w:rsidRPr="0073448B">
        <w:t>Myhill</w:t>
      </w:r>
      <w:proofErr w:type="spellEnd"/>
      <w:r w:rsidRPr="0073448B">
        <w:t xml:space="preserve">, </w:t>
      </w:r>
      <w:r>
        <w:t>P.</w:t>
      </w:r>
      <w:r w:rsidRPr="0073448B">
        <w:t xml:space="preserve"> Quinton</w:t>
      </w:r>
      <w:r>
        <w:t xml:space="preserve"> </w:t>
      </w:r>
      <w:r w:rsidRPr="0073448B">
        <w:t>(2010) Procedural justice, trust, and institutional legitimacy. Policing 4(3): 203–210.</w:t>
      </w:r>
      <w:r>
        <w:t>)</w:t>
      </w:r>
    </w:p>
  </w:footnote>
  <w:footnote w:id="6">
    <w:p w14:paraId="25DA3E1E" w14:textId="06C1624F" w:rsidR="00A45C89" w:rsidRPr="004D2F5E" w:rsidRDefault="00A45C89" w:rsidP="00B72DD7">
      <w:pPr>
        <w:pStyle w:val="FootnoteText"/>
        <w:rPr>
          <w:i/>
          <w:lang w:val="en-US"/>
        </w:rPr>
      </w:pPr>
      <w:r>
        <w:rPr>
          <w:rStyle w:val="FootnoteReference"/>
        </w:rPr>
        <w:footnoteRef/>
      </w:r>
      <w:r>
        <w:t xml:space="preserve"> </w:t>
      </w:r>
      <w:bookmarkStart w:id="0" w:name="OLE_LINK2"/>
      <w:r>
        <w:t xml:space="preserve">S. J. </w:t>
      </w:r>
      <w:r w:rsidRPr="004D2F5E">
        <w:t>Fox</w:t>
      </w:r>
      <w:r>
        <w:t xml:space="preserve"> </w:t>
      </w:r>
      <w:r w:rsidRPr="004D2F5E">
        <w:t xml:space="preserve">(2017) </w:t>
      </w:r>
      <w:r w:rsidRPr="004D2F5E">
        <w:rPr>
          <w:lang w:val="en-US"/>
        </w:rPr>
        <w:t>Borderless skies! Sovereign dominance, Regionalism: Lessons from Europe. IJWP, Vol. XXXIV, No. 4 (2017) pp 9-41</w:t>
      </w:r>
      <w:bookmarkEnd w:id="0"/>
      <w:r>
        <w:rPr>
          <w:i/>
          <w:lang w:val="en-US"/>
        </w:rPr>
        <w:t>.</w:t>
      </w:r>
    </w:p>
  </w:footnote>
  <w:footnote w:id="7">
    <w:p w14:paraId="772ED7B3" w14:textId="305B052F" w:rsidR="00A45C89" w:rsidRDefault="00A45C89" w:rsidP="00B72DD7">
      <w:pPr>
        <w:pStyle w:val="FootnoteText"/>
      </w:pPr>
      <w:r w:rsidRPr="000B370E">
        <w:rPr>
          <w:rStyle w:val="FootnoteReference"/>
        </w:rPr>
        <w:footnoteRef/>
      </w:r>
      <w:r>
        <w:t xml:space="preserve"> As </w:t>
      </w:r>
      <w:r w:rsidRPr="00CB3725">
        <w:t xml:space="preserve">of the 23:00 GMT on January 31, 2020 UK stopped being a member of the European Union.  </w:t>
      </w:r>
      <w:r>
        <w:t>The</w:t>
      </w:r>
      <w:r w:rsidRPr="00CB3725">
        <w:t xml:space="preserve"> transition period </w:t>
      </w:r>
      <w:r>
        <w:t>ended</w:t>
      </w:r>
      <w:r w:rsidRPr="00CB3725">
        <w:t xml:space="preserve"> on December 31, 2020.</w:t>
      </w:r>
    </w:p>
  </w:footnote>
  <w:footnote w:id="8">
    <w:p w14:paraId="76AD43E6" w14:textId="5AB5D41D" w:rsidR="00A45C89" w:rsidRDefault="00A45C89" w:rsidP="00B72DD7">
      <w:pPr>
        <w:pStyle w:val="FootnoteText"/>
      </w:pPr>
      <w:r>
        <w:rPr>
          <w:rStyle w:val="FootnoteReference"/>
        </w:rPr>
        <w:footnoteRef/>
      </w:r>
      <w:r>
        <w:t xml:space="preserve"> In the UK the Channel separating the UK from France is known as the English Channel. In France it called La Manche.</w:t>
      </w:r>
    </w:p>
  </w:footnote>
  <w:footnote w:id="9">
    <w:p w14:paraId="5B15D43A" w14:textId="77777777" w:rsidR="00A45C89" w:rsidRDefault="00A45C89" w:rsidP="00B72DD7">
      <w:pPr>
        <w:pStyle w:val="FootnoteText"/>
      </w:pPr>
      <w:r>
        <w:rPr>
          <w:rStyle w:val="FootnoteReference"/>
        </w:rPr>
        <w:footnoteRef/>
      </w:r>
      <w:r>
        <w:t xml:space="preserve"> Including EEA (and EFTA).</w:t>
      </w:r>
    </w:p>
  </w:footnote>
  <w:footnote w:id="10">
    <w:p w14:paraId="64F2A641" w14:textId="39C379B3" w:rsidR="00A45C89" w:rsidRPr="00A878A0" w:rsidRDefault="00A45C89" w:rsidP="00B72DD7">
      <w:pPr>
        <w:pStyle w:val="FootnoteText"/>
      </w:pPr>
      <w:r>
        <w:rPr>
          <w:rStyle w:val="FootnoteReference"/>
        </w:rPr>
        <w:footnoteRef/>
      </w:r>
      <w:r>
        <w:t xml:space="preserve"> </w:t>
      </w:r>
      <w:r w:rsidRPr="00A878A0">
        <w:t xml:space="preserve">This is </w:t>
      </w:r>
      <w:r>
        <w:t xml:space="preserve">further </w:t>
      </w:r>
      <w:r w:rsidRPr="00A878A0">
        <w:t>discussed within the following paper (by the author):</w:t>
      </w:r>
    </w:p>
    <w:p w14:paraId="6E23F614" w14:textId="253B62D7" w:rsidR="00A45C89" w:rsidRPr="00A878A0" w:rsidRDefault="00A45C89" w:rsidP="00B72DD7">
      <w:pPr>
        <w:pStyle w:val="FootnoteText"/>
        <w:rPr>
          <w:i/>
          <w:lang w:val="en-US"/>
        </w:rPr>
      </w:pPr>
      <w:r w:rsidRPr="00A878A0">
        <w:rPr>
          <w:lang w:val="en-US"/>
        </w:rPr>
        <w:t xml:space="preserve">S. J. Fox (2016) BREXIT: A bolt from the blue! – </w:t>
      </w:r>
      <w:r w:rsidRPr="00A878A0">
        <w:rPr>
          <w:i/>
          <w:lang w:val="en-US"/>
        </w:rPr>
        <w:t xml:space="preserve">Red sky in the morning? Issues in Aviation Law and Policy. </w:t>
      </w:r>
      <w:r w:rsidRPr="00A878A0">
        <w:rPr>
          <w:lang w:val="en-US"/>
        </w:rPr>
        <w:t>Volume 16, No. 1. Autumn, 2016, pp 83-119.</w:t>
      </w:r>
    </w:p>
  </w:footnote>
  <w:footnote w:id="11">
    <w:p w14:paraId="23FA1BAD" w14:textId="2998BE46" w:rsidR="00A45C89" w:rsidRDefault="00A45C89" w:rsidP="00B72DD7">
      <w:pPr>
        <w:pStyle w:val="FootnoteText"/>
      </w:pPr>
      <w:r>
        <w:rPr>
          <w:rStyle w:val="FootnoteReference"/>
        </w:rPr>
        <w:footnoteRef/>
      </w:r>
      <w:r>
        <w:t xml:space="preserve"> From a personal perspective, </w:t>
      </w:r>
      <w:r w:rsidRPr="00DB6E11">
        <w:t>I was presenting at an international aviation conference on a Greek island, talking about unity and how aviation had made the world smaller – when I woke to hear the results; the UK had decided, by a small majority, that it wished to leave the Union</w:t>
      </w:r>
      <w:r>
        <w:t>.</w:t>
      </w:r>
    </w:p>
  </w:footnote>
  <w:footnote w:id="12">
    <w:p w14:paraId="7681A023" w14:textId="77777777" w:rsidR="00A45C89" w:rsidRDefault="00A45C89" w:rsidP="00B72DD7">
      <w:pPr>
        <w:pStyle w:val="FootnoteText"/>
      </w:pPr>
      <w:r>
        <w:rPr>
          <w:rStyle w:val="FootnoteReference"/>
        </w:rPr>
        <w:footnoteRef/>
      </w:r>
      <w:r>
        <w:t xml:space="preserve"> </w:t>
      </w:r>
      <w:r w:rsidRPr="00835E26">
        <w:t xml:space="preserve">Pan Am flight 103, </w:t>
      </w:r>
      <w:r>
        <w:t>was a</w:t>
      </w:r>
      <w:r w:rsidRPr="00835E26">
        <w:t xml:space="preserve"> passenger airliner </w:t>
      </w:r>
      <w:r>
        <w:t>(</w:t>
      </w:r>
      <w:r w:rsidRPr="00835E26">
        <w:t>operated by</w:t>
      </w:r>
      <w:r>
        <w:t xml:space="preserve"> Pan American World Airlines)</w:t>
      </w:r>
      <w:r w:rsidRPr="00835E26">
        <w:t xml:space="preserve"> that exploded over Lockerbie, </w:t>
      </w:r>
      <w:r>
        <w:t xml:space="preserve">Scotland on 21 December </w:t>
      </w:r>
      <w:r w:rsidRPr="00835E26">
        <w:t xml:space="preserve">1988, </w:t>
      </w:r>
      <w:r>
        <w:t>when a bomb was</w:t>
      </w:r>
      <w:r w:rsidRPr="00835E26">
        <w:t xml:space="preserve"> detonated</w:t>
      </w:r>
      <w:r>
        <w:t xml:space="preserve"> on board</w:t>
      </w:r>
      <w:r w:rsidRPr="00835E26">
        <w:t>. All 259 people on board were killed, a</w:t>
      </w:r>
      <w:r>
        <w:t>s well as</w:t>
      </w:r>
      <w:r w:rsidRPr="00835E26">
        <w:t xml:space="preserve"> 11 individuals on the ground</w:t>
      </w:r>
      <w:r>
        <w:t xml:space="preserve">. The Boeing 747 plane was </w:t>
      </w:r>
      <w:proofErr w:type="spellStart"/>
      <w:r>
        <w:t>en</w:t>
      </w:r>
      <w:proofErr w:type="spellEnd"/>
      <w:r>
        <w:t xml:space="preserve"> route from Frankfurt, Germany to New York (via London and then with a link onto Detroit after New York).</w:t>
      </w:r>
    </w:p>
  </w:footnote>
  <w:footnote w:id="13">
    <w:p w14:paraId="65E9448A" w14:textId="77777777" w:rsidR="00A45C89" w:rsidRDefault="00A45C89" w:rsidP="00B72DD7">
      <w:pPr>
        <w:pStyle w:val="FootnoteText"/>
      </w:pPr>
      <w:r>
        <w:rPr>
          <w:rStyle w:val="FootnoteReference"/>
        </w:rPr>
        <w:footnoteRef/>
      </w:r>
      <w:r>
        <w:t xml:space="preserve"> </w:t>
      </w:r>
      <w:r w:rsidRPr="009B0792">
        <w:t xml:space="preserve">On September 11, 2001, 19 </w:t>
      </w:r>
      <w:r>
        <w:t>terrorist extremists,</w:t>
      </w:r>
      <w:r w:rsidRPr="009B0792">
        <w:t xml:space="preserve"> associated with the Islamic group al Qaeda</w:t>
      </w:r>
      <w:r>
        <w:t>,</w:t>
      </w:r>
      <w:r w:rsidRPr="009B0792">
        <w:t xml:space="preserve"> hijacked four airplanes and carried out suicide attacks against targets in the United States. </w:t>
      </w:r>
    </w:p>
    <w:p w14:paraId="40F75CA4" w14:textId="77777777" w:rsidR="00A45C89" w:rsidRDefault="00A45C89" w:rsidP="00B72DD7">
      <w:pPr>
        <w:pStyle w:val="FootnoteText"/>
      </w:pPr>
      <w:r w:rsidRPr="009B0792">
        <w:t xml:space="preserve">Two of the planes were flown into the twin towers of the World Trade </w:t>
      </w:r>
      <w:proofErr w:type="spellStart"/>
      <w:r w:rsidRPr="009B0792">
        <w:t>Center</w:t>
      </w:r>
      <w:proofErr w:type="spellEnd"/>
      <w:r w:rsidRPr="009B0792">
        <w:t xml:space="preserve"> in New York City, a third plane hit the Pentagon just outside Washington, D.C., and the fourth plane crashed in a field in Shanksville, Pennsylvania. </w:t>
      </w:r>
    </w:p>
    <w:p w14:paraId="6CA9D8BE" w14:textId="77777777" w:rsidR="00A45C89" w:rsidRDefault="00A45C89" w:rsidP="00B72DD7">
      <w:pPr>
        <w:pStyle w:val="FootnoteText"/>
      </w:pPr>
      <w:r w:rsidRPr="009B0792">
        <w:t>Almost 3,000 people were killed during the 9/11 terrorist attacks</w:t>
      </w:r>
      <w:r>
        <w:t>.</w:t>
      </w:r>
    </w:p>
  </w:footnote>
  <w:footnote w:id="14">
    <w:p w14:paraId="4AECD0B5" w14:textId="77777777" w:rsidR="00A45C89" w:rsidRPr="00FB5E7C" w:rsidRDefault="00A45C89" w:rsidP="00A14479">
      <w:pPr>
        <w:rPr>
          <w:color w:val="000000" w:themeColor="text1"/>
          <w:sz w:val="20"/>
          <w:szCs w:val="20"/>
        </w:rPr>
      </w:pPr>
      <w:r w:rsidRPr="00FB5E7C">
        <w:rPr>
          <w:rStyle w:val="FootnoteReference"/>
          <w:color w:val="000000" w:themeColor="text1"/>
          <w:sz w:val="20"/>
          <w:szCs w:val="20"/>
        </w:rPr>
        <w:footnoteRef/>
      </w:r>
      <w:r w:rsidRPr="00FB5E7C">
        <w:rPr>
          <w:color w:val="000000" w:themeColor="text1"/>
          <w:sz w:val="20"/>
          <w:szCs w:val="20"/>
        </w:rPr>
        <w:t xml:space="preserve"> </w:t>
      </w:r>
      <w:r w:rsidRPr="00FB5E7C">
        <w:rPr>
          <w:color w:val="000000" w:themeColor="text1"/>
          <w:sz w:val="20"/>
          <w:szCs w:val="20"/>
          <w:shd w:val="clear" w:color="auto" w:fill="FFFFFF"/>
        </w:rPr>
        <w:t>The 2004 </w:t>
      </w:r>
      <w:r w:rsidRPr="00FB5E7C">
        <w:rPr>
          <w:color w:val="000000" w:themeColor="text1"/>
          <w:sz w:val="20"/>
          <w:szCs w:val="20"/>
        </w:rPr>
        <w:t>Madrid</w:t>
      </w:r>
      <w:r w:rsidRPr="00FB5E7C">
        <w:rPr>
          <w:color w:val="000000" w:themeColor="text1"/>
          <w:sz w:val="20"/>
          <w:szCs w:val="20"/>
          <w:shd w:val="clear" w:color="auto" w:fill="FFFFFF"/>
        </w:rPr>
        <w:t> train </w:t>
      </w:r>
      <w:r w:rsidRPr="00FB5E7C">
        <w:rPr>
          <w:color w:val="000000" w:themeColor="text1"/>
          <w:sz w:val="20"/>
          <w:szCs w:val="20"/>
        </w:rPr>
        <w:t>bombings</w:t>
      </w:r>
      <w:r w:rsidRPr="00FB5E7C">
        <w:rPr>
          <w:color w:val="000000" w:themeColor="text1"/>
          <w:sz w:val="20"/>
          <w:szCs w:val="20"/>
          <w:shd w:val="clear" w:color="auto" w:fill="FFFFFF"/>
        </w:rPr>
        <w:t> (also known in Spain as 11-M)</w:t>
      </w:r>
    </w:p>
  </w:footnote>
  <w:footnote w:id="15">
    <w:p w14:paraId="7A0F87F1" w14:textId="1FBC9978" w:rsidR="00A45C89" w:rsidRDefault="00A45C89" w:rsidP="00B72DD7">
      <w:pPr>
        <w:pStyle w:val="FootnoteText"/>
      </w:pPr>
      <w:r w:rsidRPr="00E34A5B">
        <w:rPr>
          <w:rStyle w:val="FootnoteReference"/>
        </w:rPr>
        <w:footnoteRef/>
      </w:r>
      <w:r>
        <w:t xml:space="preserve"> Particularly 7/7 (7 July 2005) the attacks to the London transport system (tube and buses).</w:t>
      </w:r>
    </w:p>
    <w:p w14:paraId="2158529C" w14:textId="356C02F9" w:rsidR="00A45C89" w:rsidRDefault="00A45C89" w:rsidP="00B72DD7">
      <w:pPr>
        <w:pStyle w:val="FootnoteText"/>
      </w:pPr>
      <w:r>
        <w:t>On 21 July 2005 (21/7) there was an attempt to launch further bomb attacks on the London transport system to replicate the 7/7 bombings.</w:t>
      </w:r>
    </w:p>
    <w:p w14:paraId="40DF20BC" w14:textId="7397C063" w:rsidR="00A45C89" w:rsidRDefault="00A45C89" w:rsidP="00B72DD7">
      <w:pPr>
        <w:pStyle w:val="FootnoteText"/>
      </w:pPr>
      <w:r>
        <w:t>See also the attacks and attempted attacks to Glasgow and Liverpool (John Lennon) airports (30 June 2007).</w:t>
      </w:r>
    </w:p>
  </w:footnote>
  <w:footnote w:id="16">
    <w:p w14:paraId="22651F79" w14:textId="0D7DD956" w:rsidR="00A45C89" w:rsidRDefault="00A45C89" w:rsidP="00B72DD7">
      <w:pPr>
        <w:pStyle w:val="FootnoteText"/>
      </w:pPr>
      <w:r w:rsidRPr="0097622F">
        <w:rPr>
          <w:rStyle w:val="FootnoteReference"/>
        </w:rPr>
        <w:footnoteRef/>
      </w:r>
      <w:r w:rsidRPr="0097622F">
        <w:t xml:space="preserve"> </w:t>
      </w:r>
      <w:r w:rsidRPr="00681C0B">
        <w:t xml:space="preserve">I have </w:t>
      </w:r>
      <w:r>
        <w:t xml:space="preserve">continued to </w:t>
      </w:r>
      <w:r w:rsidRPr="00681C0B">
        <w:t>writ</w:t>
      </w:r>
      <w:r>
        <w:t>e</w:t>
      </w:r>
      <w:r w:rsidRPr="00681C0B">
        <w:t xml:space="preserve"> extensively across these areas</w:t>
      </w:r>
      <w:r>
        <w:t xml:space="preserve"> and hence throughout this paper some reference is made to my previous research (particularly to show this subject overlap).</w:t>
      </w:r>
    </w:p>
    <w:p w14:paraId="2BA02AD8" w14:textId="175FC593" w:rsidR="00A45C89" w:rsidRDefault="00A45C89" w:rsidP="00B72DD7">
      <w:pPr>
        <w:pStyle w:val="FootnoteText"/>
      </w:pPr>
      <w:r>
        <w:t>For example – safety and security:</w:t>
      </w:r>
    </w:p>
    <w:p w14:paraId="72068ACE" w14:textId="77777777" w:rsidR="00A45C89" w:rsidRPr="000F20F4" w:rsidRDefault="00A45C89" w:rsidP="00B72DD7">
      <w:pPr>
        <w:pStyle w:val="FootnoteText"/>
        <w:numPr>
          <w:ilvl w:val="0"/>
          <w:numId w:val="22"/>
        </w:numPr>
        <w:rPr>
          <w:i/>
        </w:rPr>
      </w:pPr>
      <w:r w:rsidRPr="000F20F4">
        <w:t xml:space="preserve">S. J. Fox (2014) ‘Safety &amp; Security: </w:t>
      </w:r>
      <w:r w:rsidRPr="000F20F4">
        <w:rPr>
          <w:i/>
        </w:rPr>
        <w:t xml:space="preserve">The influence of 9/11 to the EU Framework.’ </w:t>
      </w:r>
      <w:r w:rsidRPr="000F20F4">
        <w:t xml:space="preserve">Research in Transportation Economics – Special Edition </w:t>
      </w:r>
      <w:r w:rsidRPr="000F20F4">
        <w:rPr>
          <w:lang w:val="en-US"/>
        </w:rPr>
        <w:t>DOI: 10.1016/j.retrec.2014.07.004 Vol. 45 (2014), pp. 24–33</w:t>
      </w:r>
    </w:p>
    <w:p w14:paraId="075F6732" w14:textId="1AF03C9D" w:rsidR="00A45C89" w:rsidRDefault="00A45C89" w:rsidP="00B72DD7">
      <w:pPr>
        <w:pStyle w:val="FootnoteText"/>
        <w:numPr>
          <w:ilvl w:val="0"/>
          <w:numId w:val="22"/>
        </w:numPr>
      </w:pPr>
      <w:r w:rsidRPr="000F20F4">
        <w:t xml:space="preserve">S. J. Fox (2017) “Mobility and Movement Are ‘Our’ Fundamental </w:t>
      </w:r>
      <w:proofErr w:type="gramStart"/>
      <w:r w:rsidRPr="000F20F4">
        <w:t>Rights”. . .</w:t>
      </w:r>
      <w:proofErr w:type="gramEnd"/>
      <w:r w:rsidRPr="000F20F4">
        <w:t xml:space="preserve"> Safety &amp; Security – Risk, Choice &amp; Conflict! Issues in Aviation Law and Policy. Volume 17 No. 1. Autumn, 2017, pp 7-43</w:t>
      </w:r>
      <w:r>
        <w:t>.</w:t>
      </w:r>
    </w:p>
    <w:p w14:paraId="0D520910" w14:textId="546229C6" w:rsidR="00A45C89" w:rsidRDefault="00A45C89" w:rsidP="00B72DD7">
      <w:pPr>
        <w:pStyle w:val="FootnoteText"/>
      </w:pPr>
      <w:r>
        <w:t>Terrorist attacks:</w:t>
      </w:r>
    </w:p>
    <w:p w14:paraId="51E0F817" w14:textId="77777777" w:rsidR="00A45C89" w:rsidRPr="000F20F4" w:rsidRDefault="00A45C89" w:rsidP="000F20F4">
      <w:pPr>
        <w:pStyle w:val="ListParagraph"/>
        <w:numPr>
          <w:ilvl w:val="0"/>
          <w:numId w:val="36"/>
        </w:numPr>
        <w:rPr>
          <w:bCs/>
          <w:sz w:val="20"/>
          <w:szCs w:val="20"/>
        </w:rPr>
      </w:pPr>
      <w:r w:rsidRPr="000F20F4">
        <w:rPr>
          <w:bCs/>
          <w:sz w:val="20"/>
          <w:szCs w:val="20"/>
        </w:rPr>
        <w:t>S. J. Fox (2019) Policing aviation and keeping peace: intelligence-fed security. International Journal on World Peace. Vol. XXXVI, No.1 (March - 2019) pp. 63-92</w:t>
      </w:r>
    </w:p>
    <w:p w14:paraId="7EE89206" w14:textId="7E3501F3" w:rsidR="00A45C89" w:rsidRPr="00DC6D55" w:rsidRDefault="00A45C89" w:rsidP="00DC6D55">
      <w:pPr>
        <w:pStyle w:val="ListParagraph"/>
        <w:numPr>
          <w:ilvl w:val="0"/>
          <w:numId w:val="35"/>
        </w:numPr>
        <w:rPr>
          <w:bCs/>
          <w:sz w:val="20"/>
          <w:szCs w:val="20"/>
        </w:rPr>
      </w:pPr>
      <w:r>
        <w:rPr>
          <w:bCs/>
          <w:sz w:val="20"/>
          <w:szCs w:val="20"/>
        </w:rPr>
        <w:t xml:space="preserve">S. J. </w:t>
      </w:r>
      <w:r w:rsidRPr="007D6F94">
        <w:rPr>
          <w:bCs/>
          <w:sz w:val="20"/>
          <w:szCs w:val="20"/>
        </w:rPr>
        <w:t>Fox</w:t>
      </w:r>
      <w:r>
        <w:rPr>
          <w:bCs/>
          <w:sz w:val="20"/>
          <w:szCs w:val="20"/>
        </w:rPr>
        <w:t xml:space="preserve"> </w:t>
      </w:r>
      <w:r w:rsidRPr="007D6F94">
        <w:rPr>
          <w:bCs/>
          <w:sz w:val="20"/>
          <w:szCs w:val="20"/>
        </w:rPr>
        <w:t>(2015) ‘</w:t>
      </w:r>
      <w:proofErr w:type="spellStart"/>
      <w:r w:rsidRPr="007D6F94">
        <w:rPr>
          <w:bCs/>
          <w:sz w:val="20"/>
          <w:szCs w:val="20"/>
        </w:rPr>
        <w:t>CONTEST’ing</w:t>
      </w:r>
      <w:proofErr w:type="spellEnd"/>
      <w:r w:rsidRPr="007D6F94">
        <w:rPr>
          <w:bCs/>
          <w:sz w:val="20"/>
          <w:szCs w:val="20"/>
        </w:rPr>
        <w:t xml:space="preserve"> Chicago. Origins and Reflections: Lest we forget! International Journal of Private Law, (2015) Vol. 8, No. 1, pp. 73-98</w:t>
      </w:r>
    </w:p>
  </w:footnote>
  <w:footnote w:id="17">
    <w:p w14:paraId="2D1C9C3F" w14:textId="21DB1090" w:rsidR="00A45C89" w:rsidRDefault="00A45C89" w:rsidP="00B72DD7">
      <w:pPr>
        <w:pStyle w:val="FootnoteText"/>
      </w:pPr>
      <w:r>
        <w:rPr>
          <w:rStyle w:val="FootnoteReference"/>
        </w:rPr>
        <w:footnoteRef/>
      </w:r>
      <w:r>
        <w:t xml:space="preserve"> Cyber challenges: </w:t>
      </w:r>
    </w:p>
    <w:p w14:paraId="3DA2FA9F" w14:textId="0A52C06A" w:rsidR="00A45C89" w:rsidRDefault="00A45C89" w:rsidP="00B72DD7">
      <w:pPr>
        <w:pStyle w:val="FootnoteText"/>
        <w:numPr>
          <w:ilvl w:val="0"/>
          <w:numId w:val="24"/>
        </w:numPr>
      </w:pPr>
      <w:r w:rsidRPr="000F20F4">
        <w:t xml:space="preserve">S. J. Fox (2016) Flying challenges for the future: Aviation preparedness – in the face of cyber-terrorism. Journal of Transportation Security. First published online Sept. 2016. </w:t>
      </w:r>
    </w:p>
    <w:p w14:paraId="23AC5922" w14:textId="202E5DDA" w:rsidR="00A45C89" w:rsidRPr="000F20F4" w:rsidRDefault="00A45C89" w:rsidP="00B72DD7">
      <w:pPr>
        <w:pStyle w:val="FootnoteText"/>
        <w:numPr>
          <w:ilvl w:val="0"/>
          <w:numId w:val="24"/>
        </w:numPr>
      </w:pPr>
      <w:r w:rsidRPr="003E09D7">
        <w:t xml:space="preserve">S. J. Fox (2018) Policing - the technological revolution: Opportunities &amp; Challenges! ….. Technology in Society. https://doi.org/10.1016/j.techsoc.2018.09.006 (online). Printed in Technology in Society 56 (2019) 69-78. (Linked to presentation at the UN – 2018) </w:t>
      </w:r>
    </w:p>
    <w:p w14:paraId="19EBA7C8" w14:textId="73B460D7" w:rsidR="00A45C89" w:rsidRDefault="00A45C89" w:rsidP="00B72DD7">
      <w:pPr>
        <w:pStyle w:val="FootnoteText"/>
      </w:pPr>
      <w:r>
        <w:t>T</w:t>
      </w:r>
      <w:r w:rsidRPr="000F20F4">
        <w:t>ransport modes (particularly to/by aviation and drones/unmanned aerial vehicles and systems</w:t>
      </w:r>
      <w:r>
        <w:t xml:space="preserve"> – UAV’s):</w:t>
      </w:r>
    </w:p>
    <w:p w14:paraId="009051BE" w14:textId="77777777" w:rsidR="00A45C89" w:rsidRPr="003E09D7" w:rsidRDefault="00A45C89" w:rsidP="00DC6D55">
      <w:pPr>
        <w:pStyle w:val="ListParagraph"/>
        <w:numPr>
          <w:ilvl w:val="0"/>
          <w:numId w:val="37"/>
        </w:numPr>
        <w:rPr>
          <w:bCs/>
          <w:sz w:val="20"/>
          <w:szCs w:val="20"/>
        </w:rPr>
      </w:pPr>
      <w:r w:rsidRPr="000915B7">
        <w:rPr>
          <w:bCs/>
          <w:sz w:val="20"/>
          <w:szCs w:val="20"/>
        </w:rPr>
        <w:t>S</w:t>
      </w:r>
      <w:r w:rsidRPr="003E09D7">
        <w:rPr>
          <w:bCs/>
          <w:sz w:val="20"/>
          <w:szCs w:val="20"/>
        </w:rPr>
        <w:t>. J. Fox (2017) THE RISE OF THE DRONES: Framework and Governance – Why risk it! 82 J. Air L. &amp; Com. 683-715</w:t>
      </w:r>
    </w:p>
    <w:p w14:paraId="4F08D089" w14:textId="2EB90E13" w:rsidR="00A45C89" w:rsidRPr="00DC6D55" w:rsidRDefault="00A45C89" w:rsidP="00DC6D55">
      <w:pPr>
        <w:pStyle w:val="ListParagraph"/>
        <w:numPr>
          <w:ilvl w:val="0"/>
          <w:numId w:val="37"/>
        </w:numPr>
        <w:rPr>
          <w:color w:val="000000" w:themeColor="text1"/>
          <w:sz w:val="20"/>
          <w:szCs w:val="20"/>
        </w:rPr>
      </w:pPr>
      <w:r w:rsidRPr="003E09D7">
        <w:rPr>
          <w:sz w:val="20"/>
          <w:szCs w:val="20"/>
        </w:rPr>
        <w:t>S. J. Fox (2019) POLICING: MONITORING, INVESTIGATING and PROSECUTING: Drones. European Journal of Comparative Law and Governance 6 (2019) 1-57.</w:t>
      </w:r>
    </w:p>
    <w:p w14:paraId="2034EE50" w14:textId="77777777" w:rsidR="00A45C89" w:rsidRPr="000F20F4" w:rsidRDefault="00A45C89" w:rsidP="00B72DD7">
      <w:pPr>
        <w:pStyle w:val="FootnoteText"/>
        <w:numPr>
          <w:ilvl w:val="0"/>
          <w:numId w:val="37"/>
        </w:numPr>
      </w:pPr>
      <w:r w:rsidRPr="000F20F4">
        <w:rPr>
          <w:lang w:val="en-US"/>
        </w:rPr>
        <w:t>S. J. Fox (2019) Positioning the Drone:  Policing the Risky Skies, Issues in Aviation Law and Policy. Volume 18, Issue 2. Pp 295-332</w:t>
      </w:r>
    </w:p>
    <w:p w14:paraId="3305FE27" w14:textId="00C50054" w:rsidR="00A45C89" w:rsidRDefault="00A45C89" w:rsidP="00B72DD7">
      <w:pPr>
        <w:pStyle w:val="FootnoteText"/>
        <w:numPr>
          <w:ilvl w:val="0"/>
          <w:numId w:val="37"/>
        </w:numPr>
      </w:pPr>
      <w:r w:rsidRPr="000F20F4">
        <w:t xml:space="preserve">S. J. Fox (2020) The ‘risk’ of disruptive technology today (A case study of aviation – Enter the drone), Technology in Society (2020), </w:t>
      </w:r>
      <w:proofErr w:type="spellStart"/>
      <w:r w:rsidRPr="000F20F4">
        <w:t>doi</w:t>
      </w:r>
      <w:proofErr w:type="spellEnd"/>
      <w:r w:rsidRPr="000F20F4">
        <w:t xml:space="preserve">: </w:t>
      </w:r>
      <w:hyperlink r:id="rId3" w:history="1">
        <w:r w:rsidRPr="000F20F4">
          <w:rPr>
            <w:rStyle w:val="Hyperlink"/>
          </w:rPr>
          <w:t>https://doi.org/10.1016/j.techsoc.2020.101304</w:t>
        </w:r>
      </w:hyperlink>
    </w:p>
  </w:footnote>
  <w:footnote w:id="18">
    <w:p w14:paraId="1F33CC35" w14:textId="49CDB563" w:rsidR="00A45C89" w:rsidRDefault="00A45C89" w:rsidP="00B72DD7">
      <w:pPr>
        <w:pStyle w:val="FootnoteText"/>
      </w:pPr>
      <w:r>
        <w:rPr>
          <w:rStyle w:val="FootnoteReference"/>
        </w:rPr>
        <w:footnoteRef/>
      </w:r>
      <w:r>
        <w:t xml:space="preserve"> Space travel and technologies and supporting infrastructures: </w:t>
      </w:r>
    </w:p>
    <w:p w14:paraId="4C070377" w14:textId="6B8D1A38" w:rsidR="00A45C89" w:rsidRDefault="00A45C89" w:rsidP="00B72DD7">
      <w:pPr>
        <w:pStyle w:val="FootnoteText"/>
        <w:numPr>
          <w:ilvl w:val="0"/>
          <w:numId w:val="39"/>
        </w:numPr>
        <w:rPr>
          <w:lang w:val="en-US"/>
        </w:rPr>
      </w:pPr>
      <w:r w:rsidRPr="004D25A2">
        <w:t xml:space="preserve">S. J. Fox (2019/2020) </w:t>
      </w:r>
      <w:r w:rsidRPr="004D25A2">
        <w:rPr>
          <w:lang w:val="en-US"/>
        </w:rPr>
        <w:t>Policing Mining: in outer-space Greed and Domination vs. Peace and Equity A governance for humanity! Resources Policy 64 101517</w:t>
      </w:r>
      <w:r>
        <w:rPr>
          <w:lang w:val="en-US"/>
        </w:rPr>
        <w:t>.</w:t>
      </w:r>
    </w:p>
    <w:p w14:paraId="37AEBFEE" w14:textId="77777777" w:rsidR="00A45C89" w:rsidRPr="004D25A2" w:rsidRDefault="00A45C89" w:rsidP="00B72DD7">
      <w:pPr>
        <w:pStyle w:val="FootnoteText"/>
        <w:numPr>
          <w:ilvl w:val="0"/>
          <w:numId w:val="3"/>
        </w:numPr>
      </w:pPr>
      <w:r w:rsidRPr="004D25A2">
        <w:rPr>
          <w:bCs/>
        </w:rPr>
        <w:t xml:space="preserve">Fox, S. J. </w:t>
      </w:r>
      <w:r w:rsidRPr="004D25A2">
        <w:rPr>
          <w:i/>
          <w:iCs/>
        </w:rPr>
        <w:t>Tracking the position</w:t>
      </w:r>
      <w:r w:rsidRPr="004D25A2">
        <w:t xml:space="preserve">: Global satellite navigations in Europe. Expanding man's understanding </w:t>
      </w:r>
    </w:p>
    <w:p w14:paraId="56F3BA45" w14:textId="10E7EC6D" w:rsidR="00A45C89" w:rsidRDefault="00A45C89" w:rsidP="007822C2">
      <w:pPr>
        <w:pStyle w:val="FootnoteText"/>
        <w:ind w:firstLine="720"/>
      </w:pPr>
      <w:r w:rsidRPr="004D25A2">
        <w:t>‘</w:t>
      </w:r>
      <w:r w:rsidRPr="004D25A2">
        <w:rPr>
          <w:i/>
          <w:iCs/>
        </w:rPr>
        <w:t>GALILEO</w:t>
      </w:r>
      <w:r w:rsidRPr="004D25A2">
        <w:t>: 2020!’</w:t>
      </w:r>
      <w:r w:rsidRPr="004D25A2">
        <w:rPr>
          <w:b/>
          <w:bCs/>
        </w:rPr>
        <w:t xml:space="preserve"> </w:t>
      </w:r>
      <w:r w:rsidRPr="004D25A2">
        <w:t>Communications Law Vol. 25, No. 4, 2020. 191-208.</w:t>
      </w:r>
    </w:p>
  </w:footnote>
  <w:footnote w:id="19">
    <w:p w14:paraId="613D6810" w14:textId="43D319DC" w:rsidR="00A45C89" w:rsidRDefault="00A45C89" w:rsidP="00B72DD7">
      <w:pPr>
        <w:pStyle w:val="FootnoteText"/>
      </w:pPr>
      <w:r>
        <w:rPr>
          <w:rStyle w:val="FootnoteReference"/>
        </w:rPr>
        <w:footnoteRef/>
      </w:r>
      <w:r>
        <w:t xml:space="preserve"> Noting that to those who have studied the legal discipline policy is ultimately viewed as ‘soft-law.’</w:t>
      </w:r>
    </w:p>
  </w:footnote>
  <w:footnote w:id="20">
    <w:p w14:paraId="6F6787F5" w14:textId="7B095E77" w:rsidR="00A45C89" w:rsidRDefault="00A45C89" w:rsidP="00B72DD7">
      <w:pPr>
        <w:pStyle w:val="FootnoteText"/>
      </w:pPr>
      <w:r>
        <w:rPr>
          <w:rStyle w:val="FootnoteReference"/>
        </w:rPr>
        <w:footnoteRef/>
      </w:r>
      <w:r>
        <w:t xml:space="preserve"> This is purposely applied as it demonstrates the complexity of police cooperation and the need to sometimes revisit events and processes; or, as in the UK’s recent approach (i.e. – Brexit) to arguably take a backwards direction in terms of the potential to reduce police cooperation channels.</w:t>
      </w:r>
    </w:p>
  </w:footnote>
  <w:footnote w:id="21">
    <w:p w14:paraId="6E38560F" w14:textId="45AE7321" w:rsidR="00A45C89" w:rsidRDefault="00A45C89" w:rsidP="00B72DD7">
      <w:pPr>
        <w:pStyle w:val="FootnoteText"/>
      </w:pPr>
      <w:r>
        <w:rPr>
          <w:rStyle w:val="FootnoteReference"/>
        </w:rPr>
        <w:footnoteRef/>
      </w:r>
      <w:r>
        <w:t xml:space="preserve"> W</w:t>
      </w:r>
      <w:r w:rsidRPr="003354BD">
        <w:t>here relevant</w:t>
      </w:r>
      <w:r>
        <w:t xml:space="preserve"> and prudent,</w:t>
      </w:r>
      <w:r w:rsidRPr="003354BD">
        <w:t xml:space="preserve"> reference and comment will be </w:t>
      </w:r>
      <w:r>
        <w:t xml:space="preserve">also </w:t>
      </w:r>
      <w:r w:rsidRPr="003354BD">
        <w:t xml:space="preserve">made to </w:t>
      </w:r>
      <w:r>
        <w:t>the author’s</w:t>
      </w:r>
      <w:r w:rsidRPr="003354BD">
        <w:t xml:space="preserve"> previous work</w:t>
      </w:r>
      <w:r>
        <w:t>.</w:t>
      </w:r>
    </w:p>
  </w:footnote>
  <w:footnote w:id="22">
    <w:p w14:paraId="407824A7" w14:textId="7E539DFD" w:rsidR="00A45C89" w:rsidRPr="00476621" w:rsidRDefault="00A45C89" w:rsidP="00B72DD7">
      <w:pPr>
        <w:pStyle w:val="FootnoteText"/>
      </w:pPr>
      <w:r>
        <w:rPr>
          <w:rStyle w:val="FootnoteReference"/>
        </w:rPr>
        <w:footnoteRef/>
      </w:r>
      <w:r>
        <w:t xml:space="preserve"> </w:t>
      </w:r>
      <w:r w:rsidRPr="00476621">
        <w:t>Jean-Paul Rodrigue</w:t>
      </w:r>
      <w:r>
        <w:t xml:space="preserve"> (2020) </w:t>
      </w:r>
      <w:r w:rsidRPr="00476621">
        <w:rPr>
          <w:i/>
          <w:iCs/>
        </w:rPr>
        <w:t>The Geography of Transport Systems</w:t>
      </w:r>
      <w:r>
        <w:t>. Routledge.</w:t>
      </w:r>
    </w:p>
    <w:p w14:paraId="5FEDAD7C" w14:textId="2FA6A345" w:rsidR="00A45C89" w:rsidRPr="00B72DD7" w:rsidRDefault="00A45C89" w:rsidP="00B72DD7">
      <w:pPr>
        <w:pStyle w:val="FootnoteText"/>
      </w:pPr>
      <w:r>
        <w:t xml:space="preserve">A. Wright (2002) </w:t>
      </w:r>
      <w:r w:rsidRPr="00B72DD7">
        <w:rPr>
          <w:i/>
          <w:iCs/>
        </w:rPr>
        <w:t>Policing: An Introduction to Concepts and Practice</w:t>
      </w:r>
      <w:r>
        <w:rPr>
          <w:i/>
          <w:iCs/>
        </w:rPr>
        <w:t xml:space="preserve">. </w:t>
      </w:r>
      <w:r>
        <w:t>Willan Publishing</w:t>
      </w:r>
    </w:p>
    <w:p w14:paraId="79BD4886" w14:textId="4E732BF0" w:rsidR="00A45C89" w:rsidRDefault="00A45C89" w:rsidP="00B72DD7">
      <w:pPr>
        <w:pStyle w:val="FootnoteText"/>
      </w:pPr>
      <w:r w:rsidRPr="004D229F">
        <w:t>S. J. Fox (2018) Policing - the technological revolution: Opportunities &amp; Challenges! ….. Technology in Society. https://doi.org/10.1016/j.techsoc.2018.09.006 (online). Printed in Technology in Society 56 (2019) 69-78.</w:t>
      </w:r>
    </w:p>
  </w:footnote>
  <w:footnote w:id="23">
    <w:p w14:paraId="195766FA" w14:textId="179A6D31" w:rsidR="00A45C89" w:rsidRPr="007755BD" w:rsidRDefault="00A45C89" w:rsidP="00B72DD7">
      <w:pPr>
        <w:pStyle w:val="FootnoteText"/>
      </w:pPr>
      <w:r w:rsidRPr="007755BD">
        <w:rPr>
          <w:rStyle w:val="FootnoteReference"/>
        </w:rPr>
        <w:footnoteRef/>
      </w:r>
      <w:r w:rsidRPr="007755BD">
        <w:t xml:space="preserve"> See authors papers as cited within notes:</w:t>
      </w:r>
    </w:p>
    <w:p w14:paraId="1A5B9E82" w14:textId="3F1C3402" w:rsidR="00A45C89" w:rsidRDefault="00A45C89" w:rsidP="00B72DD7">
      <w:pPr>
        <w:pStyle w:val="FootnoteText"/>
      </w:pPr>
      <w:r w:rsidRPr="00BB4735">
        <w:t>3, 4, 6, 16, 17, 18, in particular.</w:t>
      </w:r>
    </w:p>
  </w:footnote>
  <w:footnote w:id="24">
    <w:p w14:paraId="27D59786" w14:textId="22D6A005" w:rsidR="00A45C89" w:rsidRDefault="00A45C89" w:rsidP="00B72DD7">
      <w:pPr>
        <w:pStyle w:val="FootnoteText"/>
      </w:pPr>
      <w:r>
        <w:rPr>
          <w:rStyle w:val="FootnoteReference"/>
        </w:rPr>
        <w:footnoteRef/>
      </w:r>
      <w:r>
        <w:t xml:space="preserve"> Philip E. </w:t>
      </w:r>
      <w:r w:rsidRPr="000A4452">
        <w:t>Steinberg</w:t>
      </w:r>
      <w:r>
        <w:t xml:space="preserve"> </w:t>
      </w:r>
      <w:r w:rsidRPr="000A4452">
        <w:t xml:space="preserve">(2009) Sovereignty, Territory and the Mapping of Mobility: A view from the Outside, </w:t>
      </w:r>
      <w:r w:rsidRPr="000A4452">
        <w:rPr>
          <w:i/>
          <w:iCs/>
        </w:rPr>
        <w:t>Annals of the Association of American Geographers</w:t>
      </w:r>
      <w:r w:rsidRPr="000A4452">
        <w:t xml:space="preserve">, 99:3 467–495. </w:t>
      </w:r>
    </w:p>
    <w:p w14:paraId="348D49AD" w14:textId="4ED59A9A" w:rsidR="00A45C89" w:rsidRDefault="00A45C89" w:rsidP="00B72DD7">
      <w:pPr>
        <w:pStyle w:val="FootnoteText"/>
      </w:pPr>
      <w:r>
        <w:t xml:space="preserve">See also Sarah Jane Fox </w:t>
      </w:r>
      <w:r w:rsidRPr="00C830D9">
        <w:t xml:space="preserve">(2016) </w:t>
      </w:r>
      <w:r w:rsidRPr="00C830D9">
        <w:rPr>
          <w:lang w:val="en-US"/>
        </w:rPr>
        <w:t>SPACE: The race for mineral rights. ‘</w:t>
      </w:r>
      <w:r w:rsidRPr="00C830D9">
        <w:rPr>
          <w:i/>
          <w:lang w:val="en-US"/>
        </w:rPr>
        <w:t>The sky is no longer the limit.’</w:t>
      </w:r>
      <w:r w:rsidRPr="00C830D9">
        <w:rPr>
          <w:lang w:val="en-US"/>
        </w:rPr>
        <w:t xml:space="preserve"> Lessons from Earth. </w:t>
      </w:r>
      <w:r w:rsidRPr="00C830D9">
        <w:rPr>
          <w:i/>
          <w:lang w:val="en-US"/>
        </w:rPr>
        <w:t>Resources Policy</w:t>
      </w:r>
      <w:r>
        <w:rPr>
          <w:i/>
          <w:lang w:val="en-US"/>
        </w:rPr>
        <w:t>.</w:t>
      </w:r>
      <w:r w:rsidRPr="00C830D9">
        <w:rPr>
          <w:lang w:val="en-US"/>
        </w:rPr>
        <w:t xml:space="preserve"> Vol. 49, September 2016, Pages 165-178.</w:t>
      </w:r>
    </w:p>
  </w:footnote>
  <w:footnote w:id="25">
    <w:p w14:paraId="2751E01B" w14:textId="7441107D" w:rsidR="00A45C89" w:rsidRDefault="00A45C89" w:rsidP="00B72DD7">
      <w:pPr>
        <w:pStyle w:val="FootnoteText"/>
      </w:pPr>
      <w:r w:rsidRPr="00E34A5B">
        <w:rPr>
          <w:rStyle w:val="FootnoteReference"/>
        </w:rPr>
        <w:footnoteRef/>
      </w:r>
      <w:r>
        <w:t xml:space="preserve"> Ibid. Also see for example:</w:t>
      </w:r>
    </w:p>
    <w:p w14:paraId="2E76EEB7" w14:textId="7E001F5D" w:rsidR="00A45C89" w:rsidRPr="003165E2" w:rsidRDefault="00A45C89" w:rsidP="00B72DD7">
      <w:pPr>
        <w:pStyle w:val="FootnoteText"/>
        <w:rPr>
          <w:lang w:val="en-US"/>
        </w:rPr>
      </w:pPr>
      <w:r w:rsidRPr="003165E2">
        <w:t xml:space="preserve">S. J. </w:t>
      </w:r>
      <w:r>
        <w:t xml:space="preserve">Fox </w:t>
      </w:r>
      <w:r w:rsidRPr="003165E2">
        <w:t xml:space="preserve">(2017) </w:t>
      </w:r>
      <w:r w:rsidRPr="003165E2">
        <w:rPr>
          <w:lang w:val="en-US"/>
        </w:rPr>
        <w:t>Borderless skies! Sovereign dominance, Regionalism: Lessons from Europe. IJWP, Vol. XXXIV, No. 4 (2017) pp 9-41</w:t>
      </w:r>
    </w:p>
    <w:p w14:paraId="2B5036C9" w14:textId="76E28B05" w:rsidR="00A45C89" w:rsidRDefault="00A45C89" w:rsidP="00B72DD7">
      <w:pPr>
        <w:pStyle w:val="FootnoteText"/>
        <w:rPr>
          <w:lang w:val="en-US"/>
        </w:rPr>
      </w:pPr>
      <w:r w:rsidRPr="003165E2">
        <w:rPr>
          <w:lang w:val="en-US"/>
        </w:rPr>
        <w:t>S. J.</w:t>
      </w:r>
      <w:r>
        <w:rPr>
          <w:lang w:val="en-US"/>
        </w:rPr>
        <w:t xml:space="preserve"> Fox</w:t>
      </w:r>
      <w:r w:rsidRPr="003165E2">
        <w:rPr>
          <w:lang w:val="en-US"/>
        </w:rPr>
        <w:t xml:space="preserve"> (2016) Green and level playing fields: A paradox of virtues. DUMPING – Anti-competitiveness. </w:t>
      </w:r>
      <w:r w:rsidRPr="003165E2">
        <w:rPr>
          <w:iCs/>
          <w:lang w:val="en-US"/>
        </w:rPr>
        <w:t>Int. J. Public Law and Policy, Vol. 5, No. 4, 2016, 333-367</w:t>
      </w:r>
      <w:r>
        <w:rPr>
          <w:lang w:val="en-US"/>
        </w:rPr>
        <w:t>.</w:t>
      </w:r>
    </w:p>
    <w:p w14:paraId="37198281" w14:textId="58678E56" w:rsidR="00A45C89" w:rsidRPr="003165E2" w:rsidRDefault="00A45C89" w:rsidP="00B72DD7">
      <w:pPr>
        <w:pStyle w:val="FootnoteText"/>
        <w:rPr>
          <w:b/>
          <w:lang w:val="en-US"/>
        </w:rPr>
      </w:pPr>
      <w:r w:rsidRPr="003165E2">
        <w:t xml:space="preserve">S. J. </w:t>
      </w:r>
      <w:r>
        <w:t xml:space="preserve">Fox </w:t>
      </w:r>
      <w:r w:rsidRPr="003165E2">
        <w:t>(2015) ‘</w:t>
      </w:r>
      <w:proofErr w:type="spellStart"/>
      <w:r w:rsidRPr="003165E2">
        <w:t>CONTEST’ing</w:t>
      </w:r>
      <w:proofErr w:type="spellEnd"/>
      <w:r w:rsidRPr="003165E2">
        <w:t xml:space="preserve"> Chicago. Origins and Reflections:</w:t>
      </w:r>
      <w:r w:rsidRPr="003165E2">
        <w:rPr>
          <w:i/>
        </w:rPr>
        <w:t xml:space="preserve"> Lest we forget!</w:t>
      </w:r>
      <w:r w:rsidRPr="003165E2">
        <w:t xml:space="preserve"> International Journal of Private Law, (2015) Vol. 8, No. 1, pp. 73-98</w:t>
      </w:r>
    </w:p>
    <w:p w14:paraId="026AA605" w14:textId="5BA84CCE" w:rsidR="00A45C89" w:rsidRPr="003165E2" w:rsidRDefault="00A45C89" w:rsidP="00B72DD7">
      <w:pPr>
        <w:pStyle w:val="FootnoteText"/>
        <w:rPr>
          <w:lang w:val="en-US"/>
        </w:rPr>
      </w:pPr>
      <w:r w:rsidRPr="003165E2">
        <w:rPr>
          <w:lang w:val="en-US"/>
        </w:rPr>
        <w:t xml:space="preserve">S. J. </w:t>
      </w:r>
      <w:r>
        <w:rPr>
          <w:lang w:val="en-US"/>
        </w:rPr>
        <w:t xml:space="preserve">Fox </w:t>
      </w:r>
      <w:r w:rsidRPr="003165E2">
        <w:rPr>
          <w:lang w:val="en-US"/>
        </w:rPr>
        <w:t xml:space="preserve">(2014) The evolution of aviation: </w:t>
      </w:r>
      <w:r w:rsidRPr="003165E2">
        <w:rPr>
          <w:i/>
          <w:iCs/>
          <w:lang w:val="en-US"/>
        </w:rPr>
        <w:t xml:space="preserve">In times of war and peace – blood tears and salvation! </w:t>
      </w:r>
      <w:r w:rsidRPr="003165E2">
        <w:rPr>
          <w:lang w:val="en-US"/>
        </w:rPr>
        <w:t> International Journal on World Peace (2014) Vol. XXXI No. 4 Dec. pp. 49-79</w:t>
      </w:r>
    </w:p>
  </w:footnote>
  <w:footnote w:id="26">
    <w:p w14:paraId="3F5274B1" w14:textId="155A33B0" w:rsidR="00A45C89" w:rsidRDefault="00A45C89" w:rsidP="00B72DD7">
      <w:pPr>
        <w:pStyle w:val="FootnoteText"/>
      </w:pPr>
      <w:r w:rsidRPr="00E34A5B">
        <w:rPr>
          <w:rStyle w:val="FootnoteReference"/>
        </w:rPr>
        <w:footnoteRef/>
      </w:r>
      <w:r w:rsidRPr="00E34A5B">
        <w:t xml:space="preserve"> Ibid.</w:t>
      </w:r>
    </w:p>
  </w:footnote>
  <w:footnote w:id="27">
    <w:p w14:paraId="59538291" w14:textId="2744156F" w:rsidR="00A45C89" w:rsidRDefault="00A45C89" w:rsidP="00B72DD7">
      <w:pPr>
        <w:pStyle w:val="FootnoteText"/>
      </w:pPr>
      <w:r w:rsidRPr="00C720FA">
        <w:rPr>
          <w:rStyle w:val="FootnoteReference"/>
        </w:rPr>
        <w:footnoteRef/>
      </w:r>
      <w:r w:rsidRPr="00C720FA">
        <w:t xml:space="preserve"> Ibid. See</w:t>
      </w:r>
      <w:r>
        <w:t xml:space="preserve"> particularly:</w:t>
      </w:r>
    </w:p>
    <w:p w14:paraId="165456C4" w14:textId="531A4EE7" w:rsidR="00A45C89" w:rsidRPr="007E2942" w:rsidRDefault="00A45C89" w:rsidP="00B72DD7">
      <w:pPr>
        <w:pStyle w:val="FootnoteText"/>
      </w:pPr>
      <w:r w:rsidRPr="008A0A24">
        <w:t>S. J.</w:t>
      </w:r>
      <w:r>
        <w:t xml:space="preserve"> Fox</w:t>
      </w:r>
      <w:r w:rsidRPr="008A0A24">
        <w:t xml:space="preserve"> (2016) </w:t>
      </w:r>
      <w:r w:rsidRPr="008A0A24">
        <w:rPr>
          <w:lang w:val="en-US"/>
        </w:rPr>
        <w:t>SPACE: The race for mineral rights. ‘</w:t>
      </w:r>
      <w:r w:rsidRPr="008A0A24">
        <w:rPr>
          <w:i/>
          <w:lang w:val="en-US"/>
        </w:rPr>
        <w:t>The sky is no longer the limit.’</w:t>
      </w:r>
      <w:r w:rsidRPr="008A0A24">
        <w:rPr>
          <w:lang w:val="en-US"/>
        </w:rPr>
        <w:t xml:space="preserve"> Lessons from Earth. </w:t>
      </w:r>
      <w:r w:rsidRPr="008A0A24">
        <w:rPr>
          <w:i/>
          <w:lang w:val="en-US"/>
        </w:rPr>
        <w:t xml:space="preserve">Resources Policy </w:t>
      </w:r>
      <w:r w:rsidRPr="008A0A24">
        <w:rPr>
          <w:lang w:val="en-US"/>
        </w:rPr>
        <w:t>(2016) Vol. 49, September 2016, Pages 165-178</w:t>
      </w:r>
      <w:r>
        <w:rPr>
          <w:lang w:val="en-US"/>
        </w:rPr>
        <w:t xml:space="preserve"> – wherein international Treaties are discussed and the implications of International Law.</w:t>
      </w:r>
    </w:p>
  </w:footnote>
  <w:footnote w:id="28">
    <w:p w14:paraId="73C4CD77" w14:textId="5420DCA9" w:rsidR="00A45C89" w:rsidRDefault="00A45C89" w:rsidP="00B72DD7">
      <w:pPr>
        <w:pStyle w:val="FootnoteText"/>
      </w:pPr>
      <w:r w:rsidRPr="00F57D82">
        <w:rPr>
          <w:rStyle w:val="FootnoteReference"/>
        </w:rPr>
        <w:footnoteRef/>
      </w:r>
      <w:r w:rsidRPr="00F57D82">
        <w:t xml:space="preserve">  S. J. Fox (2015) “To practise justice and right’–</w:t>
      </w:r>
      <w:r>
        <w:t xml:space="preserve"> </w:t>
      </w:r>
      <w:r w:rsidRPr="00F57D82">
        <w:t xml:space="preserve">international aviation liability: have lessons been learnt?” </w:t>
      </w:r>
      <w:r w:rsidRPr="00F57D82">
        <w:rPr>
          <w:i/>
          <w:iCs/>
        </w:rPr>
        <w:t xml:space="preserve">International Journal of Public Law and Policy, </w:t>
      </w:r>
      <w:r w:rsidRPr="00F57D82">
        <w:t xml:space="preserve">Vol. 5, No. 2, 2015. </w:t>
      </w:r>
    </w:p>
  </w:footnote>
  <w:footnote w:id="29">
    <w:p w14:paraId="41E86BD9" w14:textId="0B3C109D" w:rsidR="00A45C89" w:rsidRDefault="00A45C89" w:rsidP="00B72DD7">
      <w:pPr>
        <w:pStyle w:val="FootnoteText"/>
      </w:pPr>
      <w:r w:rsidRPr="00C720FA">
        <w:rPr>
          <w:rStyle w:val="FootnoteReference"/>
        </w:rPr>
        <w:footnoteRef/>
      </w:r>
      <w:r>
        <w:t xml:space="preserve"> </w:t>
      </w:r>
      <w:r w:rsidRPr="00114003">
        <w:t>Anthony</w:t>
      </w:r>
      <w:r>
        <w:t xml:space="preserve">, C. </w:t>
      </w:r>
      <w:proofErr w:type="spellStart"/>
      <w:r>
        <w:t>Arend</w:t>
      </w:r>
      <w:proofErr w:type="spellEnd"/>
      <w:r w:rsidRPr="00114003">
        <w:t xml:space="preserve"> (1999) </w:t>
      </w:r>
      <w:r w:rsidRPr="00114003">
        <w:rPr>
          <w:i/>
          <w:iCs/>
        </w:rPr>
        <w:t xml:space="preserve">Legal Rules and International Society. </w:t>
      </w:r>
      <w:r w:rsidRPr="00114003">
        <w:t xml:space="preserve">Oxford University Press. Pp. 208. </w:t>
      </w:r>
    </w:p>
  </w:footnote>
  <w:footnote w:id="30">
    <w:p w14:paraId="600B316F" w14:textId="77777777" w:rsidR="00A45C89" w:rsidRPr="00F57D82" w:rsidRDefault="00A45C89" w:rsidP="00B72DD7">
      <w:pPr>
        <w:pStyle w:val="FootnoteText"/>
      </w:pPr>
      <w:r w:rsidRPr="00F57D82">
        <w:rPr>
          <w:rStyle w:val="FootnoteReference"/>
        </w:rPr>
        <w:footnoteRef/>
      </w:r>
      <w:r w:rsidRPr="00F57D82">
        <w:t xml:space="preserve"> Plans for PNC began in 1968 and the system was introduced in 1974. </w:t>
      </w:r>
    </w:p>
    <w:p w14:paraId="28745C0C" w14:textId="77777777" w:rsidR="00A45C89" w:rsidRPr="00F57D82" w:rsidRDefault="00A45C89" w:rsidP="00B72DD7">
      <w:pPr>
        <w:pStyle w:val="FootnoteText"/>
      </w:pPr>
      <w:r w:rsidRPr="00F57D82">
        <w:t>Today, it operates on a 24/7 basis to provide accurate and timely information. PNC is the primary source of information relating to previous convictions, or other information relating to criminal justice interactions (</w:t>
      </w:r>
      <w:proofErr w:type="gramStart"/>
      <w:r w:rsidRPr="00F57D82">
        <w:t>e.g.</w:t>
      </w:r>
      <w:proofErr w:type="gramEnd"/>
      <w:r w:rsidRPr="00F57D82">
        <w:t xml:space="preserve"> are subject to the legal process - waiting to appear at court; are wanted by the police; have certain court orders made against them, etc.,)</w:t>
      </w:r>
    </w:p>
    <w:p w14:paraId="12FC0158" w14:textId="77777777" w:rsidR="00A45C89" w:rsidRPr="00F57D82" w:rsidRDefault="00A45C89" w:rsidP="00B72DD7">
      <w:pPr>
        <w:pStyle w:val="FootnoteText"/>
      </w:pPr>
      <w:r w:rsidRPr="00F57D82">
        <w:t>Vehicle information, such as a description (colour, make model, vehicle identification number, if a vehicle is stolen, insurance details, plus, some other forms of lost and found property (</w:t>
      </w:r>
      <w:proofErr w:type="gramStart"/>
      <w:r w:rsidRPr="00F57D82">
        <w:t>e.g.</w:t>
      </w:r>
      <w:proofErr w:type="gramEnd"/>
      <w:r w:rsidRPr="00F57D82">
        <w:t xml:space="preserve"> including plant and machinery) are also stored on it. </w:t>
      </w:r>
    </w:p>
    <w:p w14:paraId="68CC3D4C" w14:textId="77777777" w:rsidR="00A45C89" w:rsidRPr="00F57D82" w:rsidRDefault="00A45C89" w:rsidP="00B72DD7">
      <w:pPr>
        <w:pStyle w:val="FootnoteText"/>
      </w:pPr>
      <w:r w:rsidRPr="00F57D82">
        <w:t>Various other data and information stored within it includes - in relation to people who are missing, disqualified from driving, are a firearms certificate holder, etc.</w:t>
      </w:r>
    </w:p>
    <w:p w14:paraId="7E586C84" w14:textId="77777777" w:rsidR="00A45C89" w:rsidRPr="00F57D82" w:rsidRDefault="00A45C89" w:rsidP="00B72DD7">
      <w:pPr>
        <w:pStyle w:val="FootnoteText"/>
      </w:pPr>
      <w:r w:rsidRPr="00F57D82">
        <w:t xml:space="preserve">The PNC is also linked to a fingerprint identification system and the National DNA database. If a record exists, biometric information can be used to prove identity for missing or vulnerable persons and crime detection. </w:t>
      </w:r>
    </w:p>
    <w:p w14:paraId="2147F0FA" w14:textId="77777777" w:rsidR="00A45C89" w:rsidRPr="00F57D82" w:rsidRDefault="00A45C89" w:rsidP="00B72DD7">
      <w:pPr>
        <w:pStyle w:val="FootnoteText"/>
      </w:pPr>
      <w:r w:rsidRPr="00F57D82">
        <w:t xml:space="preserve">Source and historical information: </w:t>
      </w:r>
      <w:hyperlink r:id="rId4" w:history="1">
        <w:r w:rsidRPr="00F57D82">
          <w:rPr>
            <w:rStyle w:val="Hyperlink"/>
          </w:rPr>
          <w:t>https://discovery.nationalarchives.gov.uk/details/r/C13430160</w:t>
        </w:r>
      </w:hyperlink>
      <w:r w:rsidRPr="00F57D82">
        <w:t xml:space="preserve"> (Accessed 1 August 2020)</w:t>
      </w:r>
    </w:p>
    <w:p w14:paraId="5FF46562" w14:textId="77777777" w:rsidR="00A45C89" w:rsidRDefault="00A45C89" w:rsidP="00B72DD7">
      <w:pPr>
        <w:pStyle w:val="FootnoteText"/>
      </w:pPr>
      <w:r w:rsidRPr="00F57D82">
        <w:t>See also: https://www.inbrief.co.uk/police/police-national-computer</w:t>
      </w:r>
      <w:r w:rsidRPr="006B178E">
        <w:t>/</w:t>
      </w:r>
    </w:p>
  </w:footnote>
  <w:footnote w:id="31">
    <w:p w14:paraId="6DCA9A15" w14:textId="387DA6BF" w:rsidR="00A45C89" w:rsidRDefault="00A45C89" w:rsidP="00B72DD7">
      <w:pPr>
        <w:pStyle w:val="FootnoteText"/>
      </w:pPr>
      <w:r>
        <w:rPr>
          <w:rStyle w:val="FootnoteReference"/>
        </w:rPr>
        <w:footnoteRef/>
      </w:r>
      <w:r>
        <w:t xml:space="preserve"> </w:t>
      </w:r>
      <w:r w:rsidRPr="00C64A4E">
        <w:t>Edward Heath</w:t>
      </w:r>
      <w:r>
        <w:t xml:space="preserve"> (the Conservative PM)</w:t>
      </w:r>
      <w:r w:rsidRPr="00C64A4E">
        <w:t xml:space="preserve"> took the UK into the EEC in January 1973</w:t>
      </w:r>
      <w:r>
        <w:t>.</w:t>
      </w:r>
      <w:r w:rsidRPr="00C64A4E">
        <w:t xml:space="preserve"> </w:t>
      </w:r>
      <w:r>
        <w:t>French</w:t>
      </w:r>
      <w:r w:rsidRPr="00C64A4E">
        <w:t xml:space="preserve"> President</w:t>
      </w:r>
      <w:r>
        <w:t>, Charles</w:t>
      </w:r>
      <w:r w:rsidRPr="00C64A4E">
        <w:t xml:space="preserve"> de Gaulle had </w:t>
      </w:r>
      <w:r>
        <w:t xml:space="preserve">previously </w:t>
      </w:r>
      <w:r w:rsidRPr="00C64A4E">
        <w:t xml:space="preserve">blocked UK membership twice in the 1960s. </w:t>
      </w:r>
    </w:p>
    <w:p w14:paraId="12A35CFB" w14:textId="767B109E" w:rsidR="00A45C89" w:rsidRPr="00C64A4E" w:rsidRDefault="00A45C89" w:rsidP="00B72DD7">
      <w:pPr>
        <w:pStyle w:val="FootnoteText"/>
        <w:rPr>
          <w:bCs/>
        </w:rPr>
      </w:pPr>
      <w:r>
        <w:t>The UK European Communities Act, 1972,</w:t>
      </w:r>
      <w:r w:rsidRPr="00710728">
        <w:rPr>
          <w:bCs/>
        </w:rPr>
        <w:t> </w:t>
      </w:r>
      <w:r>
        <w:t>was the</w:t>
      </w:r>
      <w:r w:rsidRPr="00710728">
        <w:rPr>
          <w:bCs/>
        </w:rPr>
        <w:t xml:space="preserve"> legal provision for the</w:t>
      </w:r>
      <w:r>
        <w:t xml:space="preserve"> accession of the UK to the three Communities – the European Economic Community (the EEC) the European Atomic Energy Communit9 (Euratom) and the European Coal and Steel Community (ECSC).</w:t>
      </w:r>
      <w:r w:rsidRPr="00710728">
        <w:rPr>
          <w:bCs/>
        </w:rPr>
        <w:t> </w:t>
      </w:r>
    </w:p>
    <w:p w14:paraId="15652943" w14:textId="4772CCFF" w:rsidR="00A45C89" w:rsidRDefault="00CB7864" w:rsidP="00B72DD7">
      <w:pPr>
        <w:pStyle w:val="FootnoteText"/>
      </w:pPr>
      <w:hyperlink r:id="rId5" w:history="1">
        <w:r w:rsidR="00A45C89" w:rsidRPr="006E74EF">
          <w:rPr>
            <w:rStyle w:val="Hyperlink"/>
          </w:rPr>
          <w:t>https://www.legislation.gov.uk/ukpga/1972/68/contents</w:t>
        </w:r>
      </w:hyperlink>
    </w:p>
    <w:p w14:paraId="5D97FFD9" w14:textId="440278FE" w:rsidR="00A45C89" w:rsidRDefault="00A45C89" w:rsidP="00B72DD7">
      <w:pPr>
        <w:pStyle w:val="FootnoteText"/>
      </w:pPr>
      <w:r>
        <w:t>In 1975 the UK held a referendum whereby</w:t>
      </w:r>
      <w:r w:rsidRPr="00C64A4E">
        <w:t xml:space="preserve"> the UK electorate voted to stay in the EEC under renegotiated terms of entry.</w:t>
      </w:r>
    </w:p>
  </w:footnote>
  <w:footnote w:id="32">
    <w:p w14:paraId="1FEE7403" w14:textId="0C5A290A" w:rsidR="00A45C89" w:rsidRDefault="00A45C89" w:rsidP="00B72DD7">
      <w:pPr>
        <w:pStyle w:val="FootnoteText"/>
      </w:pPr>
      <w:r>
        <w:rPr>
          <w:rStyle w:val="FootnoteReference"/>
        </w:rPr>
        <w:footnoteRef/>
      </w:r>
      <w:r>
        <w:t xml:space="preserve"> </w:t>
      </w:r>
      <w:r w:rsidRPr="00114003">
        <w:t xml:space="preserve">Operational management of the </w:t>
      </w:r>
      <w:proofErr w:type="gramStart"/>
      <w:r w:rsidRPr="00114003">
        <w:t>second generation</w:t>
      </w:r>
      <w:proofErr w:type="gramEnd"/>
      <w:r w:rsidRPr="00114003">
        <w:t xml:space="preserve"> Schengen Information System (SIS II) entered into operation on 09 April 2013 replacing </w:t>
      </w:r>
      <w:r>
        <w:t xml:space="preserve">its predecessor </w:t>
      </w:r>
      <w:r w:rsidRPr="00114003">
        <w:t>SIS1</w:t>
      </w:r>
      <w:r>
        <w:t>.</w:t>
      </w:r>
    </w:p>
  </w:footnote>
  <w:footnote w:id="33">
    <w:p w14:paraId="053A3BFC" w14:textId="294CC45E" w:rsidR="00A45C89" w:rsidRPr="00D024C3" w:rsidRDefault="00A45C89" w:rsidP="0084158D">
      <w:pPr>
        <w:pStyle w:val="NormalWeb"/>
        <w:spacing w:before="0" w:beforeAutospacing="0" w:after="75" w:afterAutospacing="0"/>
        <w:rPr>
          <w:color w:val="000000" w:themeColor="text1"/>
          <w:sz w:val="20"/>
          <w:szCs w:val="20"/>
        </w:rPr>
      </w:pPr>
      <w:r w:rsidRPr="001B55D5">
        <w:rPr>
          <w:rStyle w:val="FootnoteReference"/>
          <w:color w:val="000000" w:themeColor="text1"/>
          <w:sz w:val="20"/>
          <w:szCs w:val="20"/>
        </w:rPr>
        <w:footnoteRef/>
      </w:r>
      <w:r w:rsidRPr="001B55D5">
        <w:rPr>
          <w:color w:val="000000" w:themeColor="text1"/>
          <w:sz w:val="20"/>
          <w:szCs w:val="20"/>
        </w:rPr>
        <w:t xml:space="preserve"> </w:t>
      </w:r>
      <w:r>
        <w:rPr>
          <w:color w:val="000000" w:themeColor="text1"/>
          <w:sz w:val="20"/>
          <w:szCs w:val="20"/>
        </w:rPr>
        <w:t>U</w:t>
      </w:r>
      <w:r w:rsidRPr="001B55D5">
        <w:rPr>
          <w:color w:val="000000" w:themeColor="text1"/>
          <w:sz w:val="20"/>
          <w:szCs w:val="20"/>
        </w:rPr>
        <w:t>nderstood</w:t>
      </w:r>
      <w:r w:rsidRPr="001B55D5">
        <w:rPr>
          <w:bCs/>
          <w:color w:val="000000" w:themeColor="text1"/>
          <w:sz w:val="20"/>
          <w:szCs w:val="20"/>
        </w:rPr>
        <w:t xml:space="preserve"> as</w:t>
      </w:r>
      <w:r>
        <w:rPr>
          <w:bCs/>
          <w:color w:val="000000" w:themeColor="text1"/>
          <w:sz w:val="20"/>
          <w:szCs w:val="20"/>
        </w:rPr>
        <w:t>,</w:t>
      </w:r>
      <w:r w:rsidRPr="001B55D5">
        <w:rPr>
          <w:bCs/>
          <w:color w:val="000000" w:themeColor="text1"/>
          <w:sz w:val="20"/>
          <w:szCs w:val="20"/>
        </w:rPr>
        <w:t xml:space="preserve"> national border </w:t>
      </w:r>
      <w:r w:rsidRPr="001B55D5">
        <w:rPr>
          <w:color w:val="000000" w:themeColor="text1"/>
          <w:sz w:val="20"/>
          <w:szCs w:val="20"/>
        </w:rPr>
        <w:t>agents</w:t>
      </w:r>
      <w:r w:rsidRPr="001B55D5">
        <w:rPr>
          <w:bCs/>
          <w:color w:val="000000" w:themeColor="text1"/>
          <w:sz w:val="20"/>
          <w:szCs w:val="20"/>
        </w:rPr>
        <w:t>, police, customs, judicial, visa and vehicle registration authorities</w:t>
      </w:r>
      <w:r w:rsidRPr="001B55D5">
        <w:rPr>
          <w:color w:val="000000" w:themeColor="text1"/>
          <w:sz w:val="20"/>
          <w:szCs w:val="20"/>
        </w:rPr>
        <w:t>. A list of competent authorities which are authorised to directly</w:t>
      </w:r>
      <w:r>
        <w:rPr>
          <w:color w:val="000000" w:themeColor="text1"/>
          <w:sz w:val="20"/>
          <w:szCs w:val="20"/>
        </w:rPr>
        <w:t xml:space="preserve"> search</w:t>
      </w:r>
      <w:r w:rsidRPr="001B55D5">
        <w:rPr>
          <w:color w:val="000000" w:themeColor="text1"/>
          <w:sz w:val="20"/>
          <w:szCs w:val="20"/>
        </w:rPr>
        <w:t xml:space="preserve"> the data </w:t>
      </w:r>
      <w:r>
        <w:rPr>
          <w:color w:val="000000" w:themeColor="text1"/>
          <w:sz w:val="20"/>
          <w:szCs w:val="20"/>
        </w:rPr>
        <w:t xml:space="preserve">is </w:t>
      </w:r>
      <w:r w:rsidRPr="001B55D5">
        <w:rPr>
          <w:color w:val="000000" w:themeColor="text1"/>
          <w:sz w:val="20"/>
          <w:szCs w:val="20"/>
        </w:rPr>
        <w:t xml:space="preserve">contained in the </w:t>
      </w:r>
      <w:proofErr w:type="gramStart"/>
      <w:r w:rsidRPr="001B55D5">
        <w:rPr>
          <w:color w:val="000000" w:themeColor="text1"/>
          <w:sz w:val="20"/>
          <w:szCs w:val="20"/>
        </w:rPr>
        <w:t>second generation</w:t>
      </w:r>
      <w:proofErr w:type="gramEnd"/>
      <w:r w:rsidRPr="001B55D5">
        <w:rPr>
          <w:color w:val="000000" w:themeColor="text1"/>
          <w:sz w:val="20"/>
          <w:szCs w:val="20"/>
        </w:rPr>
        <w:t xml:space="preserve"> Schengen Information System pursuant to Article 31(8) of Regulation (EC) No 1987/2006 of the European Parliament and of the Council and Article 46(8) of Council Decision 2007/533/JHA on the establishment, operation and use of the second generation Schengen Information System. OJ C 226, 28.6.2018, p. 1–169</w:t>
      </w:r>
      <w:r>
        <w:rPr>
          <w:color w:val="000000" w:themeColor="text1"/>
          <w:sz w:val="20"/>
          <w:szCs w:val="20"/>
        </w:rPr>
        <w:t>.</w:t>
      </w:r>
    </w:p>
  </w:footnote>
  <w:footnote w:id="34">
    <w:p w14:paraId="3DE25424" w14:textId="77777777" w:rsidR="00A45C89" w:rsidRDefault="00A45C89" w:rsidP="00B72DD7">
      <w:pPr>
        <w:pStyle w:val="FootnoteText"/>
      </w:pPr>
      <w:r>
        <w:rPr>
          <w:rStyle w:val="FootnoteReference"/>
        </w:rPr>
        <w:footnoteRef/>
      </w:r>
      <w:r>
        <w:t xml:space="preserve"> Standing for Supplementary Information Request at the National Entries.</w:t>
      </w:r>
    </w:p>
  </w:footnote>
  <w:footnote w:id="35">
    <w:p w14:paraId="2EC2C65D" w14:textId="77777777" w:rsidR="00A45C89" w:rsidRDefault="00A45C89" w:rsidP="00B72DD7">
      <w:pPr>
        <w:pStyle w:val="FootnoteText"/>
      </w:pPr>
      <w:r>
        <w:rPr>
          <w:rStyle w:val="FootnoteReference"/>
        </w:rPr>
        <w:footnoteRef/>
      </w:r>
      <w:r>
        <w:t xml:space="preserve"> List of N.SIS II Offices and the national </w:t>
      </w:r>
      <w:proofErr w:type="spellStart"/>
      <w:r>
        <w:t>Sirene</w:t>
      </w:r>
      <w:proofErr w:type="spellEnd"/>
      <w:r>
        <w:t xml:space="preserve"> Bureaux 2018/C 226/02. OJ C 226, 28.6.2018 p. 170-180.</w:t>
      </w:r>
    </w:p>
  </w:footnote>
  <w:footnote w:id="36">
    <w:p w14:paraId="591FCFB2" w14:textId="2F9AE82F" w:rsidR="00A45C89" w:rsidRDefault="00A45C89" w:rsidP="00B72DD7">
      <w:pPr>
        <w:pStyle w:val="FootnoteText"/>
      </w:pPr>
      <w:r>
        <w:rPr>
          <w:rStyle w:val="FootnoteReference"/>
        </w:rPr>
        <w:footnoteRef/>
      </w:r>
      <w:r>
        <w:t xml:space="preserve"> </w:t>
      </w:r>
      <w:r w:rsidRPr="006719B2">
        <w:rPr>
          <w:i/>
          <w:iCs/>
        </w:rPr>
        <w:t>Noting</w:t>
      </w:r>
      <w:r w:rsidRPr="006719B2">
        <w:t>: however, that the UK also chose not to join the Schengen Area and thus</w:t>
      </w:r>
      <w:r>
        <w:t xml:space="preserve"> lost the facilities</w:t>
      </w:r>
      <w:r w:rsidRPr="006719B2">
        <w:t xml:space="preserve"> </w:t>
      </w:r>
      <w:r>
        <w:t>(</w:t>
      </w:r>
      <w:r w:rsidRPr="006719B2">
        <w:t>does not, cannot, issue or access</w:t>
      </w:r>
      <w:r>
        <w:t>)</w:t>
      </w:r>
      <w:r w:rsidRPr="006719B2">
        <w:t xml:space="preserve"> </w:t>
      </w:r>
      <w:r>
        <w:t xml:space="preserve">to the </w:t>
      </w:r>
      <w:r w:rsidRPr="006719B2">
        <w:t>Schengen-wide alerts for refusing entry and stay in the Schengen Area.</w:t>
      </w:r>
    </w:p>
  </w:footnote>
  <w:footnote w:id="37">
    <w:p w14:paraId="0140BD19" w14:textId="77777777" w:rsidR="00A45C89" w:rsidRPr="00492B9A" w:rsidRDefault="00A45C89" w:rsidP="00B72DD7">
      <w:pPr>
        <w:pStyle w:val="FootnoteText"/>
      </w:pPr>
      <w:r>
        <w:rPr>
          <w:rStyle w:val="FootnoteReference"/>
        </w:rPr>
        <w:footnoteRef/>
      </w:r>
      <w:r>
        <w:t xml:space="preserve"> </w:t>
      </w:r>
      <w:r w:rsidRPr="00492B9A">
        <w:t>See UK – College of Policing (</w:t>
      </w:r>
      <w:hyperlink r:id="rId6" w:history="1">
        <w:r w:rsidRPr="00492B9A">
          <w:rPr>
            <w:rStyle w:val="Hyperlink"/>
          </w:rPr>
          <w:t>https://www.college.police.uk/What-we-do/Learning/Professional-Training/Information-communication-technology/Pages/PNC-Police-National-Computer.aspx</w:t>
        </w:r>
      </w:hyperlink>
      <w:r w:rsidRPr="00492B9A">
        <w:t>) [Accessed 3 August, 2020]</w:t>
      </w:r>
    </w:p>
    <w:p w14:paraId="2BA31D5C" w14:textId="77777777" w:rsidR="00A45C89" w:rsidRPr="00492B9A" w:rsidRDefault="00A45C89" w:rsidP="00B72DD7">
      <w:pPr>
        <w:pStyle w:val="FootnoteText"/>
      </w:pPr>
      <w:r w:rsidRPr="00492B9A">
        <w:t xml:space="preserve">List of competent authorities which are authorised to search directly the data contained in the </w:t>
      </w:r>
      <w:proofErr w:type="gramStart"/>
      <w:r w:rsidRPr="00492B9A">
        <w:t>second generation</w:t>
      </w:r>
      <w:proofErr w:type="gramEnd"/>
      <w:r w:rsidRPr="00492B9A">
        <w:t xml:space="preserve"> Schengen Information System pursuant to Article 31(8) of Regulation (EC) No 1987/2006 of the European Parliament and of the Council and Article 46(8) of Council Decision 2007/533/JHA on the establishment, operation and use of the second generation Schengen Information System. (2018/C 226/01).</w:t>
      </w:r>
      <w:r>
        <w:t xml:space="preserve"> OJ C 226, 28.6.2018, p1-169.</w:t>
      </w:r>
    </w:p>
  </w:footnote>
  <w:footnote w:id="38">
    <w:p w14:paraId="2BAA0B85" w14:textId="77777777" w:rsidR="00A45C89" w:rsidRPr="00492B9A" w:rsidRDefault="00A45C89" w:rsidP="00B72DD7">
      <w:pPr>
        <w:pStyle w:val="FootnoteText"/>
      </w:pPr>
      <w:r w:rsidRPr="00492B9A">
        <w:rPr>
          <w:rStyle w:val="FootnoteReference"/>
        </w:rPr>
        <w:footnoteRef/>
      </w:r>
      <w:r w:rsidRPr="00492B9A">
        <w:t xml:space="preserve"> Ibid.</w:t>
      </w:r>
    </w:p>
    <w:p w14:paraId="3588BC08" w14:textId="64B0F950" w:rsidR="00A45C89" w:rsidRDefault="00A45C89" w:rsidP="00681C0B">
      <w:r w:rsidRPr="00492B9A">
        <w:rPr>
          <w:sz w:val="20"/>
          <w:szCs w:val="20"/>
        </w:rPr>
        <w:t xml:space="preserve">Legal Base: </w:t>
      </w:r>
      <w:r w:rsidRPr="00492B9A">
        <w:rPr>
          <w:color w:val="000000"/>
          <w:sz w:val="20"/>
          <w:szCs w:val="20"/>
          <w:shd w:val="clear" w:color="auto" w:fill="FFFFFF"/>
        </w:rPr>
        <w:t>Article 31(8) of Regulation (EC) No 1987/2006 of the European Parliament and of the Council dated 20 December 2006 on the establishment, operation and use of the second generation Schengen Information System (SIS II) (OJ L 381, 28.12.2004, p. 4) (SIS II Regulation) and Article 46(8) of Council Decision 2007/533/JHA dated 12 June 2007 on the establishment, operation and use of the second generation Schengen Information</w:t>
      </w:r>
      <w:r w:rsidRPr="003137C4">
        <w:rPr>
          <w:color w:val="000000"/>
          <w:sz w:val="20"/>
          <w:szCs w:val="20"/>
          <w:shd w:val="clear" w:color="auto" w:fill="FFFFFF"/>
        </w:rPr>
        <w:t xml:space="preserve"> System (SIS II)</w:t>
      </w:r>
      <w:r>
        <w:rPr>
          <w:color w:val="000000"/>
          <w:sz w:val="20"/>
          <w:szCs w:val="20"/>
          <w:shd w:val="clear" w:color="auto" w:fill="FFFFFF"/>
        </w:rPr>
        <w:t xml:space="preserve"> (OJ L 205, 7.8.2007, p. 63)</w:t>
      </w:r>
      <w:r w:rsidRPr="003137C4">
        <w:rPr>
          <w:color w:val="000000"/>
          <w:sz w:val="20"/>
          <w:szCs w:val="20"/>
          <w:shd w:val="clear" w:color="auto" w:fill="FFFFFF"/>
        </w:rPr>
        <w:t xml:space="preserve"> (SIS II Decision)</w:t>
      </w:r>
      <w:r>
        <w:rPr>
          <w:color w:val="000000"/>
          <w:sz w:val="20"/>
          <w:szCs w:val="20"/>
          <w:shd w:val="clear" w:color="auto" w:fill="FFFFFF"/>
        </w:rPr>
        <w:t>.</w:t>
      </w:r>
      <w:r w:rsidRPr="003137C4">
        <w:rPr>
          <w:color w:val="000000"/>
          <w:sz w:val="20"/>
          <w:szCs w:val="20"/>
          <w:shd w:val="clear" w:color="auto" w:fill="FFFFFF"/>
        </w:rPr>
        <w:t xml:space="preserve"> </w:t>
      </w:r>
      <w:r>
        <w:rPr>
          <w:color w:val="000000"/>
          <w:sz w:val="20"/>
          <w:szCs w:val="20"/>
          <w:shd w:val="clear" w:color="auto" w:fill="FFFFFF"/>
        </w:rPr>
        <w:t xml:space="preserve">This </w:t>
      </w:r>
      <w:r w:rsidRPr="003137C4">
        <w:rPr>
          <w:color w:val="000000"/>
          <w:sz w:val="20"/>
          <w:szCs w:val="20"/>
          <w:shd w:val="clear" w:color="auto" w:fill="FFFFFF"/>
        </w:rPr>
        <w:t>require</w:t>
      </w:r>
      <w:r>
        <w:rPr>
          <w:color w:val="000000"/>
          <w:sz w:val="20"/>
          <w:szCs w:val="20"/>
          <w:shd w:val="clear" w:color="auto" w:fill="FFFFFF"/>
        </w:rPr>
        <w:t>s</w:t>
      </w:r>
      <w:r w:rsidRPr="003137C4">
        <w:rPr>
          <w:color w:val="000000"/>
          <w:sz w:val="20"/>
          <w:szCs w:val="20"/>
          <w:shd w:val="clear" w:color="auto" w:fill="FFFFFF"/>
        </w:rPr>
        <w:t xml:space="preserve"> Member States to send to the Management Authority a list of its competent authorities authorised to search directly the data contained in SIS II pursuant the said legal instruments as well as any changes to the list. The list has to specify (i) each authority; (ii) which data this authority may search; and (iii) for what purposes.</w:t>
      </w:r>
    </w:p>
  </w:footnote>
  <w:footnote w:id="39">
    <w:p w14:paraId="59A23E68" w14:textId="77777777" w:rsidR="00A45C89" w:rsidRPr="009C446B" w:rsidRDefault="00A45C89" w:rsidP="00B72DD7">
      <w:pPr>
        <w:pStyle w:val="FootnoteText"/>
      </w:pPr>
      <w:r>
        <w:rPr>
          <w:rStyle w:val="FootnoteReference"/>
        </w:rPr>
        <w:footnoteRef/>
      </w:r>
      <w:r>
        <w:t xml:space="preserve"> </w:t>
      </w:r>
      <w:r w:rsidRPr="009C446B">
        <w:t xml:space="preserve">Regulation (EC) No 1987/2006 of the European Parliament and of the Council of 20 December 2006 on the establishment, operation and use of the </w:t>
      </w:r>
      <w:proofErr w:type="gramStart"/>
      <w:r w:rsidRPr="009C446B">
        <w:t>second generation</w:t>
      </w:r>
      <w:proofErr w:type="gramEnd"/>
      <w:r w:rsidRPr="009C446B">
        <w:t xml:space="preserve"> Schengen Information System (SIS II)</w:t>
      </w:r>
    </w:p>
    <w:p w14:paraId="4041067B" w14:textId="77777777" w:rsidR="00A45C89" w:rsidRDefault="00A45C89" w:rsidP="00B72DD7">
      <w:pPr>
        <w:pStyle w:val="FootnoteText"/>
      </w:pPr>
      <w:r w:rsidRPr="009C446B">
        <w:t>OJ L 381, 28.12.2006, p. 4–23 </w:t>
      </w:r>
    </w:p>
    <w:p w14:paraId="19A26957" w14:textId="77777777" w:rsidR="00A45C89" w:rsidRDefault="00A45C89" w:rsidP="00B72DD7">
      <w:pPr>
        <w:pStyle w:val="FootnoteText"/>
      </w:pPr>
      <w:r>
        <w:t>Updated by:</w:t>
      </w:r>
    </w:p>
    <w:p w14:paraId="06AFDB1E" w14:textId="77777777" w:rsidR="00A45C89" w:rsidRPr="009C446B" w:rsidRDefault="00A45C89" w:rsidP="00B72DD7">
      <w:pPr>
        <w:pStyle w:val="FootnoteText"/>
      </w:pPr>
      <w:r w:rsidRPr="009C446B">
        <w:t>Regulation (EU) 2018/1861 of the European Parliament and of the Council of 28 November 2018 on the establishment, operation and use of the Schengen Information System (SIS) in the field of border checks, and amending the Convention implementing the Schengen Agreement, and amending and repealing Regulation (EC) No 1987/2006</w:t>
      </w:r>
    </w:p>
    <w:p w14:paraId="2375BD55" w14:textId="77777777" w:rsidR="00A45C89" w:rsidRDefault="00A45C89" w:rsidP="00B72DD7">
      <w:pPr>
        <w:pStyle w:val="FootnoteText"/>
      </w:pPr>
      <w:r w:rsidRPr="009C446B">
        <w:t>ELI: </w:t>
      </w:r>
      <w:hyperlink r:id="rId7" w:tooltip="Gives access to this document through its ELI URI." w:history="1">
        <w:r w:rsidRPr="009C446B">
          <w:rPr>
            <w:rStyle w:val="Hyperlink"/>
          </w:rPr>
          <w:t>http://data.europa.eu/eli/reg/2018/1861/2019-06-11</w:t>
        </w:r>
      </w:hyperlink>
    </w:p>
  </w:footnote>
  <w:footnote w:id="40">
    <w:p w14:paraId="76ED1887" w14:textId="77777777" w:rsidR="00A45C89" w:rsidRDefault="00A45C89" w:rsidP="00B72DD7">
      <w:pPr>
        <w:pStyle w:val="FootnoteText"/>
      </w:pPr>
      <w:r>
        <w:rPr>
          <w:rStyle w:val="FootnoteReference"/>
        </w:rPr>
        <w:footnoteRef/>
      </w:r>
      <w:r>
        <w:t xml:space="preserve"> </w:t>
      </w:r>
      <w:r w:rsidRPr="009C446B">
        <w:t xml:space="preserve">Council Decision 2007/533/JHA of 12 June 2007 on the establishment, operation and use of the </w:t>
      </w:r>
      <w:proofErr w:type="gramStart"/>
      <w:r w:rsidRPr="009C446B">
        <w:t>second generation</w:t>
      </w:r>
      <w:proofErr w:type="gramEnd"/>
      <w:r w:rsidRPr="009C446B">
        <w:t xml:space="preserve"> Schengen Information System (SIS II)</w:t>
      </w:r>
      <w:r>
        <w:t xml:space="preserve"> </w:t>
      </w:r>
      <w:r w:rsidRPr="009C446B">
        <w:t>OJ L 205, 7.8.2007, p. 63–84 </w:t>
      </w:r>
    </w:p>
    <w:p w14:paraId="00D2EB28" w14:textId="77777777" w:rsidR="00A45C89" w:rsidRDefault="00A45C89" w:rsidP="00B72DD7">
      <w:pPr>
        <w:pStyle w:val="FootnoteText"/>
      </w:pPr>
      <w:r>
        <w:t>Updated by:</w:t>
      </w:r>
    </w:p>
    <w:p w14:paraId="3694179A" w14:textId="77777777" w:rsidR="00A45C89" w:rsidRPr="009C446B" w:rsidRDefault="00A45C89" w:rsidP="00B72DD7">
      <w:pPr>
        <w:pStyle w:val="FootnoteText"/>
      </w:pPr>
      <w:r w:rsidRPr="009C446B">
        <w:t>Regulation (EU) 2018/1862 of the European Parliament and of the Council of 28 November 2018 on the establishment, operation and use of the Schengen Information System (SIS) in the field of police cooperation and judicial cooperation in criminal matters, amending and repealing Council Decision 2007/533/JHA, and repealing Regulation (EC) No 1986/2006 of the European Parliament and of the Council and Commission Decision 2010/261/EU</w:t>
      </w:r>
      <w:r>
        <w:t xml:space="preserve"> </w:t>
      </w:r>
    </w:p>
    <w:p w14:paraId="6A5A4004" w14:textId="77777777" w:rsidR="00A45C89" w:rsidRPr="009C446B" w:rsidRDefault="00A45C89" w:rsidP="00B72DD7">
      <w:pPr>
        <w:pStyle w:val="FootnoteText"/>
      </w:pPr>
      <w:r w:rsidRPr="009C446B">
        <w:t>OJ L 312, 7.12.2018, p. 56–106</w:t>
      </w:r>
    </w:p>
    <w:p w14:paraId="2356D34A" w14:textId="77777777" w:rsidR="00A45C89" w:rsidRPr="00D024C3" w:rsidRDefault="00A45C89" w:rsidP="00B72DD7">
      <w:pPr>
        <w:pStyle w:val="FootnoteText"/>
      </w:pPr>
      <w:r w:rsidRPr="009C446B">
        <w:t xml:space="preserve">Consolidated text: Council Decision 2007/533/JHA of 12 June 2007 on the establishment, operation and use of </w:t>
      </w:r>
      <w:r w:rsidRPr="00D024C3">
        <w:t xml:space="preserve">the </w:t>
      </w:r>
      <w:proofErr w:type="gramStart"/>
      <w:r w:rsidRPr="00D024C3">
        <w:t>second generation</w:t>
      </w:r>
      <w:proofErr w:type="gramEnd"/>
      <w:r w:rsidRPr="00D024C3">
        <w:t xml:space="preserve"> Schengen Information System (SIS II)</w:t>
      </w:r>
    </w:p>
    <w:p w14:paraId="54F47EB2" w14:textId="77777777" w:rsidR="00A45C89" w:rsidRPr="00CB1A0E" w:rsidRDefault="00A45C89" w:rsidP="00681C0B">
      <w:pPr>
        <w:rPr>
          <w:sz w:val="20"/>
          <w:szCs w:val="20"/>
        </w:rPr>
      </w:pPr>
      <w:r w:rsidRPr="00D024C3">
        <w:rPr>
          <w:color w:val="000000" w:themeColor="text1"/>
          <w:sz w:val="20"/>
          <w:szCs w:val="20"/>
          <w:shd w:val="clear" w:color="auto" w:fill="FFFFFF"/>
        </w:rPr>
        <w:t>ELI:</w:t>
      </w:r>
      <w:r w:rsidRPr="009C446B">
        <w:rPr>
          <w:color w:val="444444"/>
          <w:sz w:val="20"/>
          <w:szCs w:val="20"/>
          <w:shd w:val="clear" w:color="auto" w:fill="FFFFFF"/>
        </w:rPr>
        <w:t> </w:t>
      </w:r>
      <w:hyperlink r:id="rId8" w:tooltip="Gives access to this document through its ELI URI." w:history="1">
        <w:r w:rsidRPr="009C446B">
          <w:rPr>
            <w:rStyle w:val="Hyperlink"/>
            <w:color w:val="800080"/>
            <w:sz w:val="20"/>
            <w:szCs w:val="20"/>
          </w:rPr>
          <w:t>http://data.europa.eu/eli/dec/2007/533/2019-12-28</w:t>
        </w:r>
      </w:hyperlink>
    </w:p>
  </w:footnote>
  <w:footnote w:id="41">
    <w:p w14:paraId="42AD5113" w14:textId="77777777" w:rsidR="00A45C89" w:rsidRDefault="00A45C89" w:rsidP="00B72DD7">
      <w:pPr>
        <w:pStyle w:val="FootnoteText"/>
      </w:pPr>
      <w:r>
        <w:rPr>
          <w:rStyle w:val="FootnoteReference"/>
        </w:rPr>
        <w:footnoteRef/>
      </w:r>
      <w:r>
        <w:t xml:space="preserve"> Originally: </w:t>
      </w:r>
      <w:r w:rsidRPr="00CB1A0E">
        <w:t xml:space="preserve">Regulation (EC) No 1986/2006 of the European Parliament and of the Council of 20 December 2006 regarding access to the </w:t>
      </w:r>
      <w:proofErr w:type="gramStart"/>
      <w:r w:rsidRPr="00CB1A0E">
        <w:t>Second Generation</w:t>
      </w:r>
      <w:proofErr w:type="gramEnd"/>
      <w:r w:rsidRPr="00CB1A0E">
        <w:t xml:space="preserve"> Schengen Information System (SIS II) by the services in the Member States responsible for issuing vehicle registration certificates</w:t>
      </w:r>
      <w:r>
        <w:t>.</w:t>
      </w:r>
    </w:p>
    <w:p w14:paraId="0E0C1AA6" w14:textId="77777777" w:rsidR="00A45C89" w:rsidRDefault="00A45C89" w:rsidP="00B72DD7">
      <w:pPr>
        <w:pStyle w:val="FootnoteText"/>
      </w:pPr>
      <w:r w:rsidRPr="00CB1A0E">
        <w:t>OJ L 381, 28.12.2006, p. 1–3</w:t>
      </w:r>
      <w:r>
        <w:t xml:space="preserve"> as above: </w:t>
      </w:r>
      <w:r w:rsidRPr="00CB1A0E">
        <w:t>Regulation (EU) 2018/1862</w:t>
      </w:r>
    </w:p>
  </w:footnote>
  <w:footnote w:id="42">
    <w:p w14:paraId="3A9B101B" w14:textId="72785D11" w:rsidR="00A45C89" w:rsidRDefault="00A45C89" w:rsidP="00B72DD7">
      <w:pPr>
        <w:pStyle w:val="FootnoteText"/>
      </w:pPr>
      <w:r>
        <w:rPr>
          <w:rStyle w:val="FootnoteReference"/>
        </w:rPr>
        <w:footnoteRef/>
      </w:r>
      <w:r>
        <w:t xml:space="preserve"> Formally Justice and Home Affairs (JHA)</w:t>
      </w:r>
    </w:p>
  </w:footnote>
  <w:footnote w:id="43">
    <w:p w14:paraId="65E9D795" w14:textId="2A241CE0" w:rsidR="00A45C89" w:rsidRPr="00963604" w:rsidRDefault="00A45C89" w:rsidP="00226D93">
      <w:pPr>
        <w:rPr>
          <w:sz w:val="20"/>
          <w:szCs w:val="20"/>
        </w:rPr>
      </w:pPr>
      <w:r w:rsidRPr="00963604">
        <w:rPr>
          <w:rStyle w:val="FootnoteReference"/>
          <w:sz w:val="20"/>
          <w:szCs w:val="20"/>
        </w:rPr>
        <w:footnoteRef/>
      </w:r>
      <w:r w:rsidRPr="00963604">
        <w:rPr>
          <w:sz w:val="20"/>
          <w:szCs w:val="20"/>
        </w:rPr>
        <w:t xml:space="preserve"> The following three sitting outside the scope of this </w:t>
      </w:r>
      <w:proofErr w:type="gramStart"/>
      <w:r w:rsidRPr="00963604">
        <w:rPr>
          <w:sz w:val="20"/>
          <w:szCs w:val="20"/>
        </w:rPr>
        <w:t>paper:</w:t>
      </w:r>
      <w:r>
        <w:rPr>
          <w:sz w:val="20"/>
          <w:szCs w:val="20"/>
        </w:rPr>
        <w:t>-</w:t>
      </w:r>
      <w:proofErr w:type="gramEnd"/>
      <w:r>
        <w:rPr>
          <w:sz w:val="20"/>
          <w:szCs w:val="20"/>
        </w:rPr>
        <w:t xml:space="preserve"> </w:t>
      </w:r>
    </w:p>
    <w:p w14:paraId="570056FA" w14:textId="2D3FCB46" w:rsidR="00A45C89" w:rsidRPr="00376B9B" w:rsidRDefault="00A45C89" w:rsidP="00376B9B">
      <w:pPr>
        <w:pStyle w:val="ListParagraph"/>
        <w:numPr>
          <w:ilvl w:val="0"/>
          <w:numId w:val="20"/>
        </w:numPr>
        <w:rPr>
          <w:i/>
          <w:iCs/>
          <w:sz w:val="20"/>
          <w:szCs w:val="20"/>
        </w:rPr>
      </w:pPr>
      <w:r w:rsidRPr="00376B9B">
        <w:rPr>
          <w:i/>
          <w:iCs/>
          <w:sz w:val="20"/>
          <w:szCs w:val="20"/>
        </w:rPr>
        <w:t>Migration</w:t>
      </w:r>
      <w:r w:rsidRPr="00963604">
        <w:rPr>
          <w:rStyle w:val="FootnoteReference"/>
          <w:color w:val="000000" w:themeColor="text1"/>
          <w:sz w:val="20"/>
          <w:szCs w:val="20"/>
        </w:rPr>
        <w:footnoteRef/>
      </w:r>
      <w:r w:rsidRPr="00376B9B">
        <w:rPr>
          <w:color w:val="000000" w:themeColor="text1"/>
          <w:sz w:val="20"/>
          <w:szCs w:val="20"/>
        </w:rPr>
        <w:t xml:space="preserve"> </w:t>
      </w:r>
    </w:p>
    <w:p w14:paraId="3B5364F1" w14:textId="77777777" w:rsidR="00A45C89" w:rsidRPr="00963604" w:rsidRDefault="00A45C89" w:rsidP="00376B9B">
      <w:pPr>
        <w:pStyle w:val="ListParagraph"/>
        <w:ind w:left="0" w:firstLine="360"/>
        <w:rPr>
          <w:i/>
          <w:iCs/>
          <w:sz w:val="20"/>
          <w:szCs w:val="20"/>
        </w:rPr>
      </w:pPr>
      <w:r w:rsidRPr="00963604">
        <w:rPr>
          <w:i/>
          <w:iCs/>
          <w:sz w:val="20"/>
          <w:szCs w:val="20"/>
        </w:rPr>
        <w:t>Defined as:</w:t>
      </w:r>
    </w:p>
    <w:p w14:paraId="095444A6" w14:textId="2C56E2BD" w:rsidR="00A45C89" w:rsidRPr="00963604" w:rsidRDefault="00A45C89" w:rsidP="00376B9B">
      <w:pPr>
        <w:pStyle w:val="ListParagraph"/>
        <w:numPr>
          <w:ilvl w:val="0"/>
          <w:numId w:val="19"/>
        </w:numPr>
        <w:rPr>
          <w:i/>
          <w:iCs/>
          <w:sz w:val="20"/>
          <w:szCs w:val="20"/>
        </w:rPr>
      </w:pPr>
      <w:r w:rsidRPr="00963604">
        <w:rPr>
          <w:i/>
          <w:iCs/>
          <w:sz w:val="20"/>
          <w:szCs w:val="20"/>
        </w:rPr>
        <w:t>Legal migration and Integration</w:t>
      </w:r>
    </w:p>
    <w:p w14:paraId="145BF373" w14:textId="1240CEB1" w:rsidR="00A45C89" w:rsidRPr="00963604" w:rsidRDefault="00A45C89" w:rsidP="00376B9B">
      <w:pPr>
        <w:pStyle w:val="ListParagraph"/>
        <w:numPr>
          <w:ilvl w:val="0"/>
          <w:numId w:val="19"/>
        </w:numPr>
        <w:rPr>
          <w:i/>
          <w:iCs/>
          <w:sz w:val="20"/>
          <w:szCs w:val="20"/>
        </w:rPr>
      </w:pPr>
      <w:r>
        <w:rPr>
          <w:i/>
          <w:iCs/>
          <w:sz w:val="20"/>
          <w:szCs w:val="20"/>
        </w:rPr>
        <w:t>I</w:t>
      </w:r>
      <w:r w:rsidRPr="00963604">
        <w:rPr>
          <w:i/>
          <w:iCs/>
          <w:sz w:val="20"/>
          <w:szCs w:val="20"/>
        </w:rPr>
        <w:t>rregular migration and Return</w:t>
      </w:r>
    </w:p>
    <w:p w14:paraId="4315AB95" w14:textId="38743009" w:rsidR="00A45C89" w:rsidRPr="00376B9B" w:rsidRDefault="00A45C89" w:rsidP="00376B9B">
      <w:pPr>
        <w:pStyle w:val="ListParagraph"/>
        <w:numPr>
          <w:ilvl w:val="0"/>
          <w:numId w:val="21"/>
        </w:numPr>
        <w:rPr>
          <w:i/>
          <w:iCs/>
          <w:sz w:val="20"/>
          <w:szCs w:val="20"/>
        </w:rPr>
      </w:pPr>
      <w:r w:rsidRPr="00376B9B">
        <w:rPr>
          <w:i/>
          <w:iCs/>
          <w:sz w:val="20"/>
          <w:szCs w:val="20"/>
        </w:rPr>
        <w:t>Common European Asylum System</w:t>
      </w:r>
    </w:p>
    <w:p w14:paraId="70BC9CBB" w14:textId="3D706F73" w:rsidR="00A45C89" w:rsidRPr="003B1FE5" w:rsidRDefault="00A45C89" w:rsidP="00376B9B">
      <w:pPr>
        <w:pStyle w:val="ListParagraph"/>
        <w:numPr>
          <w:ilvl w:val="0"/>
          <w:numId w:val="21"/>
        </w:numPr>
        <w:rPr>
          <w:i/>
          <w:iCs/>
          <w:sz w:val="20"/>
          <w:szCs w:val="20"/>
        </w:rPr>
      </w:pPr>
      <w:r w:rsidRPr="00963604">
        <w:rPr>
          <w:i/>
          <w:iCs/>
          <w:sz w:val="20"/>
          <w:szCs w:val="20"/>
        </w:rPr>
        <w:t>Innovation and Industry for Security</w:t>
      </w:r>
    </w:p>
  </w:footnote>
  <w:footnote w:id="44">
    <w:p w14:paraId="0167167E" w14:textId="77777777" w:rsidR="00A45C89" w:rsidRDefault="00A45C89" w:rsidP="00B72DD7">
      <w:pPr>
        <w:pStyle w:val="FootnoteText"/>
      </w:pPr>
      <w:r>
        <w:rPr>
          <w:rStyle w:val="FootnoteReference"/>
        </w:rPr>
        <w:footnoteRef/>
      </w:r>
      <w:r>
        <w:t xml:space="preserve"> EU Commission – DG </w:t>
      </w:r>
      <w:r w:rsidRPr="00652EE7">
        <w:t>Migration and Home Affairs</w:t>
      </w:r>
      <w:r>
        <w:t xml:space="preserve"> </w:t>
      </w:r>
    </w:p>
    <w:p w14:paraId="6AD69E7C" w14:textId="77777777" w:rsidR="00A45C89" w:rsidRDefault="00A45C89" w:rsidP="00B72DD7">
      <w:pPr>
        <w:pStyle w:val="FootnoteText"/>
      </w:pPr>
      <w:r w:rsidRPr="00652EE7">
        <w:t>https://ec.europa.eu/home-affairs/who-we-are/about-us_en</w:t>
      </w:r>
    </w:p>
  </w:footnote>
  <w:footnote w:id="45">
    <w:p w14:paraId="468AFC86" w14:textId="77777777" w:rsidR="00A45C89" w:rsidRDefault="00A45C89" w:rsidP="00B72DD7">
      <w:pPr>
        <w:pStyle w:val="FootnoteText"/>
      </w:pPr>
      <w:r>
        <w:rPr>
          <w:rStyle w:val="FootnoteReference"/>
        </w:rPr>
        <w:footnoteRef/>
      </w:r>
      <w:r>
        <w:t xml:space="preserve"> This is discussed in terms of the overlap/meaning of safety and security, within previous papers of the author:</w:t>
      </w:r>
    </w:p>
    <w:p w14:paraId="5D068143" w14:textId="77777777" w:rsidR="00A45C89" w:rsidRDefault="00A45C89" w:rsidP="00B72DD7">
      <w:pPr>
        <w:pStyle w:val="FootnoteText"/>
      </w:pPr>
      <w:r w:rsidRPr="00920729">
        <w:t>Fox, S. J. (2017) “</w:t>
      </w:r>
      <w:r w:rsidRPr="00920729">
        <w:rPr>
          <w:lang w:val="en-US"/>
        </w:rPr>
        <w:t xml:space="preserve">Mobility and Movement Are ‘Our’ Fundamental </w:t>
      </w:r>
      <w:proofErr w:type="gramStart"/>
      <w:r w:rsidRPr="00920729">
        <w:rPr>
          <w:lang w:val="en-US"/>
        </w:rPr>
        <w:t>Rights”</w:t>
      </w:r>
      <w:r w:rsidRPr="00920729">
        <w:t>. . .</w:t>
      </w:r>
      <w:proofErr w:type="gramEnd"/>
      <w:r w:rsidRPr="00920729">
        <w:t xml:space="preserve"> Safety &amp; Security – Risk, Choice &amp; Conflict! </w:t>
      </w:r>
      <w:r w:rsidRPr="00920729">
        <w:rPr>
          <w:i/>
          <w:lang w:val="en-US"/>
        </w:rPr>
        <w:t xml:space="preserve">Issues in Aviation Law and Policy. </w:t>
      </w:r>
      <w:r w:rsidRPr="00920729">
        <w:rPr>
          <w:lang w:val="en-US"/>
        </w:rPr>
        <w:t>Volume 17 No. 1. Autumn, 2017, pp 7-43</w:t>
      </w:r>
      <w:r>
        <w:t xml:space="preserve">  </w:t>
      </w:r>
    </w:p>
  </w:footnote>
  <w:footnote w:id="46">
    <w:p w14:paraId="64D74310" w14:textId="397BF3E3" w:rsidR="00A45C89" w:rsidRPr="00C65AF5" w:rsidRDefault="00A45C89" w:rsidP="00B72DD7">
      <w:pPr>
        <w:pStyle w:val="FootnoteText"/>
      </w:pPr>
      <w:r>
        <w:rPr>
          <w:rStyle w:val="FootnoteReference"/>
        </w:rPr>
        <w:footnoteRef/>
      </w:r>
      <w:r>
        <w:t xml:space="preserve"> </w:t>
      </w:r>
      <w:r w:rsidRPr="00C65AF5">
        <w:t xml:space="preserve">TITLE VI </w:t>
      </w:r>
      <w:r>
        <w:t xml:space="preserve">- </w:t>
      </w:r>
      <w:r w:rsidRPr="00C65AF5">
        <w:t xml:space="preserve">TRANSPORT </w:t>
      </w:r>
    </w:p>
    <w:p w14:paraId="5D99C659" w14:textId="3EE3BE5E" w:rsidR="00A45C89" w:rsidRPr="00C65AF5" w:rsidRDefault="00A45C89" w:rsidP="00B72DD7">
      <w:pPr>
        <w:pStyle w:val="FootnoteText"/>
      </w:pPr>
      <w:r w:rsidRPr="00C65AF5">
        <w:t xml:space="preserve">Articles 90 </w:t>
      </w:r>
      <w:r>
        <w:t>–</w:t>
      </w:r>
      <w:r w:rsidRPr="00C65AF5">
        <w:t xml:space="preserve"> 100</w:t>
      </w:r>
      <w:r>
        <w:t xml:space="preserve"> TFEU (Treaty on the Functioning of the European Union – Lisbon Treaty)</w:t>
      </w:r>
    </w:p>
  </w:footnote>
  <w:footnote w:id="47">
    <w:p w14:paraId="1AF60EF8" w14:textId="77777777" w:rsidR="00A45C89" w:rsidRPr="00F94CDB" w:rsidRDefault="00A45C89" w:rsidP="00B72DD7">
      <w:pPr>
        <w:pStyle w:val="FootnoteText"/>
      </w:pPr>
      <w:r>
        <w:rPr>
          <w:rStyle w:val="FootnoteReference"/>
        </w:rPr>
        <w:footnoteRef/>
      </w:r>
      <w:r>
        <w:t xml:space="preserve"> </w:t>
      </w:r>
      <w:r w:rsidRPr="00F94CDB">
        <w:t>For example:</w:t>
      </w:r>
    </w:p>
    <w:p w14:paraId="6CA90BB2" w14:textId="77777777" w:rsidR="00A45C89" w:rsidRPr="00F94CDB" w:rsidRDefault="00A45C89" w:rsidP="00F94CDB">
      <w:pPr>
        <w:rPr>
          <w:bCs/>
          <w:sz w:val="20"/>
          <w:szCs w:val="20"/>
        </w:rPr>
      </w:pPr>
      <w:r w:rsidRPr="00F94CDB">
        <w:rPr>
          <w:bCs/>
          <w:sz w:val="20"/>
          <w:szCs w:val="20"/>
        </w:rPr>
        <w:t xml:space="preserve">FREE MOVEMENT OF GOODS TITLE II (TFEU) – Articles 28 &amp; </w:t>
      </w:r>
      <w:proofErr w:type="gramStart"/>
      <w:r w:rsidRPr="00F94CDB">
        <w:rPr>
          <w:bCs/>
          <w:sz w:val="20"/>
          <w:szCs w:val="20"/>
        </w:rPr>
        <w:t>29;</w:t>
      </w:r>
      <w:proofErr w:type="gramEnd"/>
    </w:p>
    <w:p w14:paraId="2C32A713" w14:textId="2520B638" w:rsidR="00A45C89" w:rsidRPr="00F94CDB" w:rsidRDefault="00A45C89" w:rsidP="00F94CDB">
      <w:pPr>
        <w:rPr>
          <w:bCs/>
          <w:sz w:val="20"/>
          <w:szCs w:val="20"/>
        </w:rPr>
      </w:pPr>
      <w:r w:rsidRPr="00F94CDB">
        <w:rPr>
          <w:bCs/>
          <w:sz w:val="20"/>
          <w:szCs w:val="20"/>
        </w:rPr>
        <w:t xml:space="preserve">TITLE IV FREE MOVEMENT OF PERSONS, SERVICES AND CAPITAL </w:t>
      </w:r>
      <w:r>
        <w:rPr>
          <w:bCs/>
          <w:sz w:val="20"/>
          <w:szCs w:val="20"/>
        </w:rPr>
        <w:t>(TFEU)</w:t>
      </w:r>
    </w:p>
    <w:p w14:paraId="6F5B2A75" w14:textId="1A7316D5" w:rsidR="00A45C89" w:rsidRPr="00F94CDB" w:rsidRDefault="00A45C89" w:rsidP="00F94CDB">
      <w:pPr>
        <w:rPr>
          <w:bCs/>
          <w:sz w:val="20"/>
          <w:szCs w:val="20"/>
        </w:rPr>
      </w:pPr>
      <w:r w:rsidRPr="00F94CDB">
        <w:rPr>
          <w:bCs/>
          <w:sz w:val="20"/>
          <w:szCs w:val="20"/>
        </w:rPr>
        <w:t>Chapter 1, 2 &amp; 3</w:t>
      </w:r>
    </w:p>
  </w:footnote>
  <w:footnote w:id="48">
    <w:p w14:paraId="68CA067F" w14:textId="1FA12F1F" w:rsidR="00A45C89" w:rsidRDefault="00A45C89" w:rsidP="00B72DD7">
      <w:pPr>
        <w:pStyle w:val="FootnoteText"/>
      </w:pPr>
      <w:r>
        <w:rPr>
          <w:rStyle w:val="FootnoteReference"/>
        </w:rPr>
        <w:footnoteRef/>
      </w:r>
      <w:r>
        <w:t xml:space="preserve"> This was introduced at an EU level by Council Decision 2008/615 JHA of 23 </w:t>
      </w:r>
      <w:proofErr w:type="gramStart"/>
      <w:r>
        <w:t>June,</w:t>
      </w:r>
      <w:proofErr w:type="gramEnd"/>
      <w:r>
        <w:t xml:space="preserve"> 2008.</w:t>
      </w:r>
    </w:p>
    <w:p w14:paraId="0599775B" w14:textId="5765F9E0" w:rsidR="00A45C89" w:rsidRDefault="00A45C89" w:rsidP="00B72DD7">
      <w:pPr>
        <w:pStyle w:val="FootnoteText"/>
      </w:pPr>
      <w:r w:rsidRPr="0085756F">
        <w:t>To be returned to later within this paper.</w:t>
      </w:r>
    </w:p>
  </w:footnote>
  <w:footnote w:id="49">
    <w:p w14:paraId="6F66BF33" w14:textId="60358613" w:rsidR="00A45C89" w:rsidRDefault="00A45C89" w:rsidP="00B72DD7">
      <w:pPr>
        <w:pStyle w:val="FootnoteText"/>
      </w:pPr>
      <w:r>
        <w:rPr>
          <w:rStyle w:val="FootnoteReference"/>
        </w:rPr>
        <w:footnoteRef/>
      </w:r>
      <w:r>
        <w:t xml:space="preserve"> Signed on 13 </w:t>
      </w:r>
      <w:proofErr w:type="gramStart"/>
      <w:r>
        <w:t>December,</w:t>
      </w:r>
      <w:proofErr w:type="gramEnd"/>
      <w:r>
        <w:t xml:space="preserve"> 2007 at Lisbon – it did not enter into force until 1 December 2009.</w:t>
      </w:r>
    </w:p>
  </w:footnote>
  <w:footnote w:id="50">
    <w:p w14:paraId="40FA575B" w14:textId="0C61500B" w:rsidR="00A45C89" w:rsidRDefault="00A45C89" w:rsidP="00B72DD7">
      <w:pPr>
        <w:pStyle w:val="FootnoteText"/>
      </w:pPr>
      <w:r>
        <w:rPr>
          <w:rStyle w:val="FootnoteReference"/>
        </w:rPr>
        <w:footnoteRef/>
      </w:r>
      <w:r>
        <w:t xml:space="preserve"> For further information see:</w:t>
      </w:r>
    </w:p>
    <w:p w14:paraId="445342E7" w14:textId="6E795D39" w:rsidR="00A45C89" w:rsidRDefault="00A45C89" w:rsidP="00B72DD7">
      <w:pPr>
        <w:pStyle w:val="FootnoteText"/>
      </w:pPr>
      <w:r w:rsidRPr="0000500B">
        <w:t>https://www.europarl.europa.eu/factsheets/en/sheet/3/the-maastricht-and-amsterdam-treaties</w:t>
      </w:r>
    </w:p>
  </w:footnote>
  <w:footnote w:id="51">
    <w:p w14:paraId="0D958FA5" w14:textId="69EECC6B" w:rsidR="00A45C89" w:rsidRDefault="00A45C89" w:rsidP="00B72DD7">
      <w:pPr>
        <w:pStyle w:val="FootnoteText"/>
      </w:pPr>
      <w:r>
        <w:rPr>
          <w:rStyle w:val="FootnoteReference"/>
        </w:rPr>
        <w:footnoteRef/>
      </w:r>
      <w:r>
        <w:t xml:space="preserve"> Signed in Maastricht on 7 February 1992, entered into force on 1 November 1993.</w:t>
      </w:r>
    </w:p>
  </w:footnote>
  <w:footnote w:id="52">
    <w:p w14:paraId="296C78D3" w14:textId="752CA42E" w:rsidR="00A45C89" w:rsidRDefault="00A45C89" w:rsidP="00B72DD7">
      <w:pPr>
        <w:pStyle w:val="FootnoteText"/>
      </w:pPr>
      <w:r>
        <w:rPr>
          <w:rStyle w:val="FootnoteReference"/>
        </w:rPr>
        <w:footnoteRef/>
      </w:r>
      <w:r>
        <w:t xml:space="preserve"> </w:t>
      </w:r>
      <w:r w:rsidRPr="0000500B">
        <w:t>The Treaty of Amsterdam amending the Treaty on European Union, the Treaties establishing the European Communities and certain related acts</w:t>
      </w:r>
      <w:r>
        <w:t xml:space="preserve">, </w:t>
      </w:r>
      <w:r w:rsidRPr="0000500B">
        <w:t>signed in Amsterdam on 2 October 1997, entered into force on 1 May 1999.</w:t>
      </w:r>
    </w:p>
  </w:footnote>
  <w:footnote w:id="53">
    <w:p w14:paraId="2CD5C910" w14:textId="1480A7A5" w:rsidR="00A45C89" w:rsidRDefault="00A45C89" w:rsidP="00B72DD7">
      <w:pPr>
        <w:pStyle w:val="FootnoteText"/>
      </w:pPr>
      <w:r>
        <w:rPr>
          <w:rStyle w:val="FootnoteReference"/>
        </w:rPr>
        <w:footnoteRef/>
      </w:r>
      <w:r>
        <w:t xml:space="preserve"> Also see Title IV, Provisions of Enhanced Co-operation – Article 20 TEU (Treaty on European Union).</w:t>
      </w:r>
    </w:p>
    <w:p w14:paraId="072BE5BD" w14:textId="6EB27327" w:rsidR="00A45C89" w:rsidRDefault="00A45C89" w:rsidP="00B72DD7">
      <w:pPr>
        <w:pStyle w:val="FootnoteText"/>
      </w:pPr>
      <w:r>
        <w:t>To note: there are other key areas within the Treaty which are also relevant (but sit by and large outside the remit of this paper); such as,</w:t>
      </w:r>
    </w:p>
  </w:footnote>
  <w:footnote w:id="54">
    <w:p w14:paraId="6677EA2B" w14:textId="27501ECC" w:rsidR="00A45C89" w:rsidRDefault="00A45C89" w:rsidP="00B72DD7">
      <w:pPr>
        <w:pStyle w:val="FootnoteText"/>
      </w:pPr>
      <w:r>
        <w:rPr>
          <w:rStyle w:val="FootnoteReference"/>
        </w:rPr>
        <w:footnoteRef/>
      </w:r>
      <w:r>
        <w:t xml:space="preserve"> See also: </w:t>
      </w:r>
      <w:r w:rsidRPr="006F38BC">
        <w:t>Chapters 4 and 5 of Title V of Part Three relating to the area of freedom, security and justice</w:t>
      </w:r>
      <w:r>
        <w:t>.</w:t>
      </w:r>
      <w:r w:rsidRPr="006F38BC">
        <w:t xml:space="preserve"> </w:t>
      </w:r>
    </w:p>
  </w:footnote>
  <w:footnote w:id="55">
    <w:p w14:paraId="295A5A90" w14:textId="7360EB6E" w:rsidR="00A45C89" w:rsidRPr="00621E58" w:rsidRDefault="00A45C89" w:rsidP="00B72DD7">
      <w:pPr>
        <w:pStyle w:val="FootnoteText"/>
      </w:pPr>
      <w:r w:rsidRPr="00621E58">
        <w:rPr>
          <w:rStyle w:val="FootnoteReference"/>
        </w:rPr>
        <w:footnoteRef/>
      </w:r>
      <w:r w:rsidRPr="00621E58">
        <w:t xml:space="preserve"> </w:t>
      </w:r>
      <w:proofErr w:type="gramStart"/>
      <w:r w:rsidRPr="00621E58">
        <w:t>COM(</w:t>
      </w:r>
      <w:proofErr w:type="gramEnd"/>
      <w:r w:rsidRPr="00621E58">
        <w:t>2020) 605 final - COMMUNICATION FROM THE COMMISSION TO THE EUROPEAN PARLIAMENT, THE EUROPEAN COUNCIL, THE COUNCIL, THE EUROPEAN ECONOMIC AND SOCIAL COMMITTEE AND THE COMMITTEE OF THE REGIONS on the EU Security Union Strategy</w:t>
      </w:r>
    </w:p>
    <w:p w14:paraId="562A1607" w14:textId="0642A5F3" w:rsidR="00A45C89" w:rsidRDefault="00A45C89" w:rsidP="00B72DD7">
      <w:pPr>
        <w:pStyle w:val="FootnoteText"/>
      </w:pPr>
      <w:r w:rsidRPr="00621E58">
        <w:t xml:space="preserve">Brussels, 24.7.2020 </w:t>
      </w:r>
    </w:p>
    <w:p w14:paraId="19606AB9" w14:textId="77777777" w:rsidR="00A45C89" w:rsidRDefault="00A45C89" w:rsidP="00B72DD7">
      <w:pPr>
        <w:pStyle w:val="FootnoteText"/>
      </w:pPr>
      <w:r>
        <w:t xml:space="preserve">This has obvious origins back to the </w:t>
      </w:r>
      <w:r w:rsidRPr="00091FE0">
        <w:t>Stockholm Programme</w:t>
      </w:r>
      <w:r>
        <w:t xml:space="preserve"> and builds this recognising the need for</w:t>
      </w:r>
      <w:r w:rsidRPr="00091FE0">
        <w:t xml:space="preserve"> – An open and secure Europe serving and protecting citizens (Official Journal C 115 of 4 May 2010</w:t>
      </w:r>
      <w:r>
        <w:t>).</w:t>
      </w:r>
    </w:p>
    <w:p w14:paraId="66853939" w14:textId="6615EAEF" w:rsidR="00A45C89" w:rsidRDefault="00A45C89" w:rsidP="00B72DD7">
      <w:pPr>
        <w:pStyle w:val="FootnoteText"/>
      </w:pPr>
      <w:r>
        <w:t xml:space="preserve">Noting Article 71 (TFEU) </w:t>
      </w:r>
      <w:r w:rsidRPr="00091FE0">
        <w:t xml:space="preserve">Article 71 establishes a Standing Committee on </w:t>
      </w:r>
      <w:r>
        <w:t>Operational Cooperation on I</w:t>
      </w:r>
      <w:r w:rsidRPr="00091FE0">
        <w:t>nternal Security (</w:t>
      </w:r>
      <w:r>
        <w:t>COSI</w:t>
      </w:r>
      <w:r w:rsidRPr="00091FE0">
        <w:t xml:space="preserve">) within the Council. </w:t>
      </w:r>
      <w:r>
        <w:t>COSI</w:t>
      </w:r>
      <w:r w:rsidRPr="00091FE0">
        <w:t xml:space="preserve"> is composed of members of the </w:t>
      </w:r>
      <w:r>
        <w:t xml:space="preserve">respective </w:t>
      </w:r>
      <w:r w:rsidRPr="00091FE0">
        <w:t xml:space="preserve">competent national </w:t>
      </w:r>
      <w:r>
        <w:t xml:space="preserve">Ministries and authorities – </w:t>
      </w:r>
      <w:proofErr w:type="gramStart"/>
      <w:r>
        <w:t>i.e.</w:t>
      </w:r>
      <w:proofErr w:type="gramEnd"/>
      <w:r>
        <w:t xml:space="preserve"> justice</w:t>
      </w:r>
      <w:r w:rsidRPr="00091FE0">
        <w:t xml:space="preserve"> </w:t>
      </w:r>
      <w:r>
        <w:t>(</w:t>
      </w:r>
      <w:r w:rsidRPr="00091FE0">
        <w:t>who are assisted by the permanent representatives to the European Union in Brussels and by the Secretariat of the Council</w:t>
      </w:r>
      <w:r>
        <w:t>)</w:t>
      </w:r>
      <w:r w:rsidRPr="00091FE0">
        <w:t xml:space="preserve">. </w:t>
      </w:r>
    </w:p>
    <w:p w14:paraId="2C6DBAE5" w14:textId="3BFD25DD" w:rsidR="00A45C89" w:rsidRDefault="00A45C89" w:rsidP="00B72DD7">
      <w:pPr>
        <w:pStyle w:val="FootnoteText"/>
      </w:pPr>
      <w:r>
        <w:t xml:space="preserve">The Stockholm Programme </w:t>
      </w:r>
      <w:r w:rsidRPr="007523C8">
        <w:t xml:space="preserve">(2010-2015) </w:t>
      </w:r>
      <w:r>
        <w:t>build upon the earlier Hague Programme (2005-2010)</w:t>
      </w:r>
    </w:p>
    <w:p w14:paraId="0DD07AB4" w14:textId="268E83F7" w:rsidR="00A45C89" w:rsidRPr="00AA08AB" w:rsidRDefault="00A45C89" w:rsidP="00B72DD7">
      <w:pPr>
        <w:pStyle w:val="FootnoteText"/>
      </w:pPr>
      <w:r>
        <w:t xml:space="preserve">The Hague Programme: </w:t>
      </w:r>
      <w:r w:rsidRPr="00AA08AB">
        <w:t xml:space="preserve">introduced the principle of "availability" as the guiding concept for law enforcement information exchange. This concept means that throughout the Union, information that </w:t>
      </w:r>
      <w:r>
        <w:t>was</w:t>
      </w:r>
      <w:r w:rsidRPr="00AA08AB">
        <w:t xml:space="preserve"> available to law enforcement authorities in one Member State should also be made accessible to law enforcement authorities in other Member States.</w:t>
      </w:r>
    </w:p>
    <w:p w14:paraId="45E50430" w14:textId="309A9A2B" w:rsidR="00A45C89" w:rsidRPr="006418C6" w:rsidRDefault="00A45C89" w:rsidP="00B72DD7">
      <w:pPr>
        <w:pStyle w:val="FootnoteText"/>
      </w:pPr>
      <w:r>
        <w:t xml:space="preserve">The Stockholm Programme to take this further </w:t>
      </w:r>
      <w:r w:rsidRPr="007523C8">
        <w:t>highligh</w:t>
      </w:r>
      <w:r>
        <w:t>ting</w:t>
      </w:r>
      <w:r w:rsidRPr="007523C8">
        <w:t xml:space="preserve"> the need to further develop law enforcement cooperation instruments in the EU.</w:t>
      </w:r>
    </w:p>
  </w:footnote>
  <w:footnote w:id="56">
    <w:p w14:paraId="66A77125" w14:textId="23F1DE64" w:rsidR="00A45C89" w:rsidRDefault="00A45C89" w:rsidP="00B72DD7">
      <w:pPr>
        <w:pStyle w:val="FootnoteText"/>
      </w:pPr>
      <w:r>
        <w:rPr>
          <w:rStyle w:val="FootnoteReference"/>
        </w:rPr>
        <w:footnoteRef/>
      </w:r>
      <w:r>
        <w:t xml:space="preserve"> One of my previous papers considered the cyber threats to transport (aviation) and the reluctance to take these threats seriously and be proactive at an earlier time: </w:t>
      </w:r>
      <w:r w:rsidRPr="006418C6">
        <w:rPr>
          <w:lang w:val="en-US"/>
        </w:rPr>
        <w:t xml:space="preserve">Fox, S. J. (2016) </w:t>
      </w:r>
      <w:r w:rsidRPr="006418C6">
        <w:rPr>
          <w:i/>
          <w:lang w:val="en-US"/>
        </w:rPr>
        <w:t xml:space="preserve">Flying challenges for the future: </w:t>
      </w:r>
      <w:r w:rsidRPr="006418C6">
        <w:rPr>
          <w:lang w:val="en-US"/>
        </w:rPr>
        <w:t xml:space="preserve">Aviation preparedness – </w:t>
      </w:r>
      <w:r w:rsidRPr="006418C6">
        <w:rPr>
          <w:i/>
          <w:lang w:val="en-US"/>
        </w:rPr>
        <w:t xml:space="preserve">in the face of cyber-terrorism. Journal of Transportation Security. </w:t>
      </w:r>
      <w:r w:rsidRPr="006418C6">
        <w:rPr>
          <w:lang w:val="en-US"/>
        </w:rPr>
        <w:t xml:space="preserve">(Part delivered to UN </w:t>
      </w:r>
      <w:r>
        <w:rPr>
          <w:lang w:val="en-US"/>
        </w:rPr>
        <w:t>- 2016</w:t>
      </w:r>
      <w:r w:rsidRPr="006418C6">
        <w:rPr>
          <w:lang w:val="en-US"/>
        </w:rPr>
        <w:t>): First published online Sept. 2016.</w:t>
      </w:r>
    </w:p>
  </w:footnote>
  <w:footnote w:id="57">
    <w:p w14:paraId="474FE0FF" w14:textId="30FED87E" w:rsidR="00A45C89" w:rsidRPr="009C6189" w:rsidRDefault="00A45C89" w:rsidP="00B72DD7">
      <w:pPr>
        <w:pStyle w:val="FootnoteText"/>
      </w:pPr>
      <w:r w:rsidRPr="009C6189">
        <w:rPr>
          <w:rStyle w:val="FootnoteReference"/>
        </w:rPr>
        <w:footnoteRef/>
      </w:r>
      <w:r w:rsidRPr="009C6189">
        <w:t xml:space="preserve"> This is an area that I have spoken on, within Europe (including at the UN - Geneva) and internationally in terms of policing challenges for the future and the need to be proactive now – rather than responsive later.</w:t>
      </w:r>
    </w:p>
    <w:p w14:paraId="121AD7A5" w14:textId="43524C8F" w:rsidR="00A45C89" w:rsidRPr="009C6189" w:rsidRDefault="00A45C89" w:rsidP="00B72DD7">
      <w:pPr>
        <w:pStyle w:val="FootnoteText"/>
      </w:pPr>
      <w:r w:rsidRPr="009C6189">
        <w:t>S. J. Fox: Policing Society: Utilising “</w:t>
      </w:r>
      <w:r w:rsidRPr="009C6189">
        <w:rPr>
          <w:i/>
        </w:rPr>
        <w:t xml:space="preserve">cool gadgets and tools.” </w:t>
      </w:r>
      <w:r w:rsidRPr="009C6189">
        <w:t xml:space="preserve">Safety, Security and Disasters. WSIS Forum EC Medici Framework. 19-23 </w:t>
      </w:r>
      <w:proofErr w:type="gramStart"/>
      <w:r w:rsidRPr="009C6189">
        <w:t>March,</w:t>
      </w:r>
      <w:proofErr w:type="gramEnd"/>
      <w:r w:rsidRPr="009C6189">
        <w:t xml:space="preserve"> 2018 – UN, Geneva.</w:t>
      </w:r>
    </w:p>
    <w:p w14:paraId="5A9DD678" w14:textId="385818CD" w:rsidR="00A45C89" w:rsidRDefault="00A45C89" w:rsidP="00B72DD7">
      <w:pPr>
        <w:pStyle w:val="FootnoteText"/>
      </w:pPr>
      <w:r w:rsidRPr="009C6189">
        <w:t>S. J. Fox: Policing challenges in the Cyber and Autonomous era (</w:t>
      </w:r>
      <w:r w:rsidRPr="009C6189">
        <w:rPr>
          <w:i/>
        </w:rPr>
        <w:t xml:space="preserve">Cybercrimes: Emerging Trends…… and developing risks). </w:t>
      </w:r>
      <w:r w:rsidRPr="009C6189">
        <w:t>International Conference on Cyberlaw, Cybercrime and Cyber Security. 14–16</w:t>
      </w:r>
      <w:r w:rsidRPr="009C6189">
        <w:rPr>
          <w:vertAlign w:val="superscript"/>
        </w:rPr>
        <w:t xml:space="preserve">tth </w:t>
      </w:r>
      <w:proofErr w:type="gramStart"/>
      <w:r w:rsidRPr="009C6189">
        <w:t>November,</w:t>
      </w:r>
      <w:proofErr w:type="gramEnd"/>
      <w:r w:rsidRPr="009C6189">
        <w:t xml:space="preserve"> 2018 New Delhi, India. </w:t>
      </w:r>
    </w:p>
  </w:footnote>
  <w:footnote w:id="58">
    <w:p w14:paraId="75F59AF4" w14:textId="3F28E18C" w:rsidR="00A45C89" w:rsidRDefault="00A45C89" w:rsidP="00B72DD7">
      <w:pPr>
        <w:pStyle w:val="FootnoteText"/>
      </w:pPr>
      <w:r>
        <w:rPr>
          <w:rStyle w:val="FootnoteReference"/>
        </w:rPr>
        <w:footnoteRef/>
      </w:r>
      <w:r>
        <w:t xml:space="preserve"> As per the introduction to this paper.</w:t>
      </w:r>
    </w:p>
  </w:footnote>
  <w:footnote w:id="59">
    <w:p w14:paraId="3029DE2A" w14:textId="5EE22A29" w:rsidR="00A45C89" w:rsidRDefault="00A45C89" w:rsidP="00B72DD7">
      <w:pPr>
        <w:pStyle w:val="FootnoteText"/>
      </w:pPr>
      <w:r>
        <w:rPr>
          <w:rStyle w:val="FootnoteReference"/>
        </w:rPr>
        <w:footnoteRef/>
      </w:r>
      <w:r>
        <w:t xml:space="preserve">  </w:t>
      </w:r>
      <w:proofErr w:type="spellStart"/>
      <w:proofErr w:type="gramStart"/>
      <w:r>
        <w:t>G.</w:t>
      </w:r>
      <w:r w:rsidRPr="00A044DD">
        <w:t>Meško</w:t>
      </w:r>
      <w:proofErr w:type="spellEnd"/>
      <w:proofErr w:type="gramEnd"/>
      <w:r>
        <w:t xml:space="preserve"> </w:t>
      </w:r>
      <w:r w:rsidRPr="00A044DD">
        <w:t>(2017) Police Cooperation in the European Union, Supported by Strengthening the EU Internal Security’s External Dimension. (Editorial Comment) European Journal of Crime, Criminal Law and Criminal Justice 25 (2017) 109-12</w:t>
      </w:r>
      <w:r>
        <w:t>.</w:t>
      </w:r>
      <w:r w:rsidRPr="00A044DD">
        <w:t xml:space="preserve"> </w:t>
      </w:r>
    </w:p>
  </w:footnote>
  <w:footnote w:id="60">
    <w:p w14:paraId="5ED48327" w14:textId="0A8CDC64" w:rsidR="00A45C89" w:rsidRDefault="00A45C89" w:rsidP="00B72DD7">
      <w:pPr>
        <w:pStyle w:val="FootnoteText"/>
      </w:pPr>
      <w:r>
        <w:rPr>
          <w:rStyle w:val="FootnoteReference"/>
        </w:rPr>
        <w:footnoteRef/>
      </w:r>
      <w:r>
        <w:t xml:space="preserve"> As </w:t>
      </w:r>
      <w:proofErr w:type="spellStart"/>
      <w:r>
        <w:t>Meško</w:t>
      </w:r>
      <w:proofErr w:type="spellEnd"/>
      <w:r>
        <w:t xml:space="preserve"> (2017) identifies: this relates also to ‘</w:t>
      </w:r>
      <w:r w:rsidRPr="00DB13BA">
        <w:t>pre-trial criminal proceedings, as well as analytical support to the competent authorities of the member states</w:t>
      </w:r>
      <w:r>
        <w:t>;’ however it does not</w:t>
      </w:r>
      <w:r w:rsidRPr="00DB13BA">
        <w:t xml:space="preserve"> </w:t>
      </w:r>
      <w:r>
        <w:t>extend to the</w:t>
      </w:r>
      <w:r w:rsidRPr="00DB13BA">
        <w:t xml:space="preserve"> transferr</w:t>
      </w:r>
      <w:r>
        <w:t>al of</w:t>
      </w:r>
      <w:r w:rsidRPr="00DB13BA">
        <w:t xml:space="preserve"> investigative and police powers to the authorities of other member states or </w:t>
      </w:r>
      <w:r>
        <w:t>any EU</w:t>
      </w:r>
      <w:r w:rsidRPr="00DB13BA">
        <w:t xml:space="preserve"> institutions. </w:t>
      </w:r>
    </w:p>
  </w:footnote>
  <w:footnote w:id="61">
    <w:p w14:paraId="4F64560D" w14:textId="70740AC8" w:rsidR="00A45C89" w:rsidRDefault="00A45C89" w:rsidP="00B72DD7">
      <w:pPr>
        <w:pStyle w:val="FootnoteText"/>
      </w:pPr>
      <w:r>
        <w:rPr>
          <w:rStyle w:val="FootnoteReference"/>
        </w:rPr>
        <w:footnoteRef/>
      </w:r>
      <w:r>
        <w:t xml:space="preserve"> Initially established by a Council Decision 2009/371/JHA – a Regulation later replaced and repealed this (as well as several others earlier Decisions):</w:t>
      </w:r>
    </w:p>
    <w:p w14:paraId="2ECE7E03" w14:textId="46FE1232" w:rsidR="00A45C89" w:rsidRDefault="00A45C89" w:rsidP="00B72DD7">
      <w:pPr>
        <w:pStyle w:val="FootnoteText"/>
      </w:pPr>
      <w:r>
        <w:t xml:space="preserve">Regulation (EU) 2016/794 </w:t>
      </w:r>
      <w:r w:rsidRPr="00FA6918">
        <w:t>of the European Parliament and of the Council of 11 May 2016 on the European Union Agency for Law Enforcement Cooperation (Europol) and replacing and repealing Council Decisions 2009/371/JHA, 2009/934/JHA, 2009/935/JHA, 2009/936/JHA and 2009/968/JHA, applicable since 1 May 2017</w:t>
      </w:r>
      <w:r>
        <w:t xml:space="preserve">. </w:t>
      </w:r>
      <w:r w:rsidRPr="00BC1E22">
        <w:t>OJ L 135, 24.5.2016, p. 53–114</w:t>
      </w:r>
      <w:r>
        <w:t>.</w:t>
      </w:r>
    </w:p>
  </w:footnote>
  <w:footnote w:id="62">
    <w:p w14:paraId="68CF4209" w14:textId="382DF29E" w:rsidR="00A45C89" w:rsidRDefault="00A45C89" w:rsidP="00B72DD7">
      <w:pPr>
        <w:pStyle w:val="FootnoteText"/>
      </w:pPr>
      <w:r>
        <w:rPr>
          <w:rStyle w:val="FootnoteReference"/>
        </w:rPr>
        <w:footnoteRef/>
      </w:r>
      <w:r>
        <w:t xml:space="preserve"> See above – regarding the three areas linked to legislative instruments (as identified).</w:t>
      </w:r>
    </w:p>
  </w:footnote>
  <w:footnote w:id="63">
    <w:p w14:paraId="3F2FE411" w14:textId="4D9A9C8E" w:rsidR="00A45C89" w:rsidRPr="00501786" w:rsidRDefault="00A45C89" w:rsidP="00B72DD7">
      <w:pPr>
        <w:pStyle w:val="FootnoteText"/>
      </w:pPr>
      <w:r>
        <w:rPr>
          <w:rStyle w:val="FootnoteReference"/>
        </w:rPr>
        <w:footnoteRef/>
      </w:r>
      <w:r>
        <w:t xml:space="preserve"> Regulation (EU) 2018/1726 </w:t>
      </w:r>
      <w:r w:rsidRPr="00501786">
        <w:t>of the European Parliament and of the Council of 14 November 2018 on the European Union Agency for the Operational Management of Large-Scale IT Systems in the Area of Freedom, Security and Justice (</w:t>
      </w:r>
      <w:proofErr w:type="spellStart"/>
      <w:r w:rsidRPr="00501786">
        <w:t>eu</w:t>
      </w:r>
      <w:proofErr w:type="spellEnd"/>
      <w:r w:rsidRPr="00501786">
        <w:t>-LISA), and amending Regulation (EC) No 1987/2006 and Council Decision 2007/533/JHA and repealing Regulation (EU) No 1077/2011, applicable since 11 December 2018.</w:t>
      </w:r>
    </w:p>
    <w:p w14:paraId="3F74D4B2" w14:textId="78650A18" w:rsidR="00A45C89" w:rsidRDefault="00A45C89" w:rsidP="00B72DD7">
      <w:pPr>
        <w:pStyle w:val="FootnoteText"/>
      </w:pPr>
      <w:r w:rsidRPr="00501786">
        <w:t>OJ L 295, 21.11.2018, p. 99–137.</w:t>
      </w:r>
    </w:p>
  </w:footnote>
  <w:footnote w:id="64">
    <w:p w14:paraId="3831D460" w14:textId="2DFBDDD3" w:rsidR="00A45C89" w:rsidRDefault="00A45C89" w:rsidP="00B72DD7">
      <w:pPr>
        <w:pStyle w:val="FootnoteText"/>
      </w:pPr>
      <w:r>
        <w:rPr>
          <w:rStyle w:val="FootnoteReference"/>
        </w:rPr>
        <w:footnoteRef/>
      </w:r>
      <w:r>
        <w:t xml:space="preserve"> </w:t>
      </w:r>
      <w:proofErr w:type="spellStart"/>
      <w:r w:rsidRPr="00785167">
        <w:t>eu</w:t>
      </w:r>
      <w:proofErr w:type="spellEnd"/>
      <w:r w:rsidRPr="00785167">
        <w:t>-LISA ful</w:t>
      </w:r>
      <w:r>
        <w:t>l-</w:t>
      </w:r>
      <w:r w:rsidRPr="00785167">
        <w:t>fills the operational management tasks for Schengen Information System</w:t>
      </w:r>
      <w:r>
        <w:t xml:space="preserve"> (SIS II</w:t>
      </w:r>
      <w:proofErr w:type="gramStart"/>
      <w:r>
        <w:t>),</w:t>
      </w:r>
      <w:r w:rsidRPr="00785167">
        <w:t>Visa</w:t>
      </w:r>
      <w:proofErr w:type="gramEnd"/>
      <w:r w:rsidRPr="00785167">
        <w:t xml:space="preserve"> Information System</w:t>
      </w:r>
      <w:r>
        <w:t xml:space="preserve"> (VIS)</w:t>
      </w:r>
      <w:r w:rsidRPr="00785167">
        <w:t xml:space="preserve"> and</w:t>
      </w:r>
      <w:r>
        <w:t xml:space="preserve"> EURODAC.</w:t>
      </w:r>
      <w:r w:rsidRPr="00785167">
        <w:t xml:space="preserve"> It ensures that these IT systems are kept functioning 24 hours a day, seven days a week to allow continuous and uninterrupted exchange of data between the national authorities using these systems.</w:t>
      </w:r>
    </w:p>
  </w:footnote>
  <w:footnote w:id="65">
    <w:p w14:paraId="3AECA4B7" w14:textId="77777777" w:rsidR="00A45C89" w:rsidRPr="00805482" w:rsidRDefault="00A45C89" w:rsidP="00B72DD7">
      <w:pPr>
        <w:pStyle w:val="FootnoteText"/>
      </w:pPr>
      <w:r>
        <w:rPr>
          <w:rStyle w:val="FootnoteReference"/>
        </w:rPr>
        <w:footnoteRef/>
      </w:r>
      <w:r>
        <w:t xml:space="preserve"> </w:t>
      </w:r>
      <w:r w:rsidRPr="00805482">
        <w:t>Council Decision 2008/615/JHA of 23 June 2008 on the stepping up of cross-border cooperation, particularly in combating terrorism and cross-border crime</w:t>
      </w:r>
    </w:p>
    <w:p w14:paraId="2377E0FD" w14:textId="010131E5" w:rsidR="00A45C89" w:rsidRDefault="00A45C89" w:rsidP="00B72DD7">
      <w:pPr>
        <w:pStyle w:val="FootnoteText"/>
      </w:pPr>
      <w:r w:rsidRPr="00805482">
        <w:t>OJ L 210, 6.8.2008, p. 1–11</w:t>
      </w:r>
    </w:p>
    <w:p w14:paraId="25E3D27E" w14:textId="01D8C614" w:rsidR="00A45C89" w:rsidRPr="00805482" w:rsidRDefault="00A45C89" w:rsidP="00B72DD7">
      <w:pPr>
        <w:pStyle w:val="FootnoteText"/>
      </w:pPr>
      <w:r>
        <w:t xml:space="preserve">Also see the implementing provisions: </w:t>
      </w:r>
      <w:r w:rsidRPr="00BA1508">
        <w:t>COUNCIL DECISION 2008/616/JHA of 23 June 2008</w:t>
      </w:r>
      <w:r>
        <w:t>.</w:t>
      </w:r>
      <w:r w:rsidRPr="00BA1508">
        <w:t xml:space="preserve"> </w:t>
      </w:r>
    </w:p>
    <w:p w14:paraId="2C24A5A6" w14:textId="3986708A" w:rsidR="00A45C89" w:rsidRDefault="00A45C89" w:rsidP="00B72DD7">
      <w:pPr>
        <w:pStyle w:val="FootnoteText"/>
      </w:pPr>
      <w:r>
        <w:t>Noting the origins of the Decision was the</w:t>
      </w:r>
      <w:r w:rsidRPr="00D4171D">
        <w:t xml:space="preserve"> multilateral treaty signed in </w:t>
      </w:r>
      <w:proofErr w:type="spellStart"/>
      <w:r w:rsidRPr="00D4171D">
        <w:t>Prüm</w:t>
      </w:r>
      <w:proofErr w:type="spellEnd"/>
      <w:r>
        <w:t>, Germany,</w:t>
      </w:r>
      <w:r w:rsidRPr="00D4171D">
        <w:t xml:space="preserve"> in 2005 </w:t>
      </w:r>
      <w:r>
        <w:t>(</w:t>
      </w:r>
      <w:r w:rsidRPr="00D4171D">
        <w:t>by Germany, Spain, France, Luxembourg, the Netherlands, Austria and Belgium</w:t>
      </w:r>
      <w:r>
        <w:t>)</w:t>
      </w:r>
      <w:r w:rsidRPr="00D4171D">
        <w:t>.</w:t>
      </w:r>
    </w:p>
  </w:footnote>
  <w:footnote w:id="66">
    <w:p w14:paraId="4AD5A455" w14:textId="1FE71A78" w:rsidR="00A45C89" w:rsidRDefault="00A45C89" w:rsidP="00B72DD7">
      <w:pPr>
        <w:pStyle w:val="FootnoteText"/>
      </w:pPr>
      <w:r>
        <w:rPr>
          <w:rStyle w:val="FootnoteReference"/>
        </w:rPr>
        <w:footnoteRef/>
      </w:r>
      <w:r>
        <w:t xml:space="preserve"> </w:t>
      </w:r>
      <w:r w:rsidRPr="00AB120D">
        <w:t xml:space="preserve">The main legal instruments covered by EIXM are the </w:t>
      </w:r>
      <w:proofErr w:type="spellStart"/>
      <w:r w:rsidRPr="00AB120D">
        <w:t>Prüm</w:t>
      </w:r>
      <w:proofErr w:type="spellEnd"/>
      <w:r>
        <w:t xml:space="preserve"> </w:t>
      </w:r>
      <w:r w:rsidRPr="00AB120D">
        <w:t>Council Decision (2008/615/JHA) and the so-called Swedish Initiative (2006/960/JHA).</w:t>
      </w:r>
    </w:p>
  </w:footnote>
  <w:footnote w:id="67">
    <w:p w14:paraId="01BB2361" w14:textId="360DEF36" w:rsidR="00A45C89" w:rsidRDefault="00A45C89" w:rsidP="00B72DD7">
      <w:pPr>
        <w:pStyle w:val="FootnoteText"/>
      </w:pPr>
      <w:r>
        <w:rPr>
          <w:rStyle w:val="FootnoteReference"/>
        </w:rPr>
        <w:footnoteRef/>
      </w:r>
      <w:r>
        <w:t xml:space="preserve"> E</w:t>
      </w:r>
      <w:r w:rsidRPr="00D53938">
        <w:t>xcluding of course the added complexity in terms of sharing information with academics – a point to be returned to later</w:t>
      </w:r>
      <w:r>
        <w:t>.</w:t>
      </w:r>
    </w:p>
  </w:footnote>
  <w:footnote w:id="68">
    <w:p w14:paraId="36EFAEC4" w14:textId="0C4F4EF3" w:rsidR="00A45C89" w:rsidRDefault="00A45C89" w:rsidP="00B72DD7">
      <w:pPr>
        <w:pStyle w:val="FootnoteText"/>
      </w:pPr>
      <w:r>
        <w:rPr>
          <w:rStyle w:val="FootnoteReference"/>
        </w:rPr>
        <w:footnoteRef/>
      </w:r>
      <w:r>
        <w:t xml:space="preserve"> </w:t>
      </w:r>
      <w:r w:rsidRPr="0077695B">
        <w:t>Directive 2006/24/EC of the European Parliament and of the Council of 15 March 2006 on the retention of data generated or processed in connection with the provision of publicly available electronic communications services or of public communications networks and amending Directive 2002/58/EC, OJ L 105, 13.4.2006, p. 54-63</w:t>
      </w:r>
      <w:r>
        <w:t>.</w:t>
      </w:r>
      <w:r w:rsidRPr="0077695B">
        <w:t xml:space="preserve"> </w:t>
      </w:r>
    </w:p>
  </w:footnote>
  <w:footnote w:id="69">
    <w:p w14:paraId="1D2BDA36" w14:textId="0C94CACB" w:rsidR="00A45C89" w:rsidRPr="00413AEE" w:rsidRDefault="00A45C89" w:rsidP="00B72DD7">
      <w:pPr>
        <w:pStyle w:val="FootnoteText"/>
      </w:pPr>
      <w:r>
        <w:rPr>
          <w:rStyle w:val="FootnoteReference"/>
        </w:rPr>
        <w:footnoteRef/>
      </w:r>
      <w:r>
        <w:t xml:space="preserve"> REPORT</w:t>
      </w:r>
      <w:r w:rsidRPr="00413AEE">
        <w:t xml:space="preserve"> FROM THE COMMISSION TO THE COUNCIL AND THE EUROPEAN PARLIAMENT </w:t>
      </w:r>
    </w:p>
    <w:p w14:paraId="365F0C3B" w14:textId="77777777" w:rsidR="00A45C89" w:rsidRPr="00413AEE" w:rsidRDefault="00A45C89" w:rsidP="00B72DD7">
      <w:pPr>
        <w:pStyle w:val="FootnoteText"/>
      </w:pPr>
      <w:r w:rsidRPr="00413AEE">
        <w:t xml:space="preserve">Evaluation report on the Data Retention Directive (Directive 2006/24/EC) </w:t>
      </w:r>
    </w:p>
    <w:p w14:paraId="7D6B769C" w14:textId="079BE7E1" w:rsidR="00A45C89" w:rsidRDefault="00A45C89" w:rsidP="00B72DD7">
      <w:pPr>
        <w:pStyle w:val="FootnoteText"/>
      </w:pPr>
      <w:r w:rsidRPr="00413AEE">
        <w:t xml:space="preserve">18.4.2011 </w:t>
      </w:r>
      <w:proofErr w:type="gramStart"/>
      <w:r w:rsidRPr="00413AEE">
        <w:t>COM(</w:t>
      </w:r>
      <w:proofErr w:type="gramEnd"/>
      <w:r w:rsidRPr="00413AEE">
        <w:t>2011) 225 final</w:t>
      </w:r>
      <w:r>
        <w:t xml:space="preserve">. </w:t>
      </w:r>
      <w:r w:rsidRPr="00413AEE">
        <w:t xml:space="preserve"> Brussels, 18.4.201</w:t>
      </w:r>
      <w:r>
        <w:t>1.</w:t>
      </w:r>
    </w:p>
  </w:footnote>
  <w:footnote w:id="70">
    <w:p w14:paraId="50F37A31" w14:textId="70CE2856" w:rsidR="00A45C89" w:rsidRDefault="00A45C89" w:rsidP="00B72DD7">
      <w:pPr>
        <w:pStyle w:val="FootnoteText"/>
      </w:pPr>
      <w:r>
        <w:rPr>
          <w:rStyle w:val="FootnoteReference"/>
        </w:rPr>
        <w:footnoteRef/>
      </w:r>
      <w:r>
        <w:t xml:space="preserve"> </w:t>
      </w:r>
      <w:r w:rsidRPr="007F2209">
        <w:t>Cases C-293/12 and C-594/12</w:t>
      </w:r>
      <w:r>
        <w:t xml:space="preserve">. </w:t>
      </w:r>
      <w:r w:rsidRPr="007F2209">
        <w:t>8 April 2014</w:t>
      </w:r>
      <w:r>
        <w:t>.</w:t>
      </w:r>
    </w:p>
    <w:p w14:paraId="7385F522" w14:textId="32227AAB" w:rsidR="00A45C89" w:rsidRPr="008C256D" w:rsidRDefault="00A45C89" w:rsidP="00B72DD7">
      <w:pPr>
        <w:pStyle w:val="FootnoteText"/>
      </w:pPr>
      <w:r>
        <w:t xml:space="preserve">See also </w:t>
      </w:r>
      <w:r w:rsidRPr="008C256D">
        <w:t>Court of Justice of the European Union PRESS RELEASE No 54/14</w:t>
      </w:r>
      <w:r>
        <w:t>,</w:t>
      </w:r>
      <w:r w:rsidRPr="008C256D">
        <w:t xml:space="preserve"> Luxembourg, 8 April 2014 </w:t>
      </w:r>
    </w:p>
    <w:p w14:paraId="2FEE5AA9" w14:textId="3B96F4F6" w:rsidR="00A45C89" w:rsidRDefault="00A45C89" w:rsidP="00B72DD7">
      <w:pPr>
        <w:pStyle w:val="FootnoteText"/>
      </w:pPr>
      <w:r>
        <w:t xml:space="preserve">Relating to the </w:t>
      </w:r>
      <w:r w:rsidRPr="008C256D">
        <w:t xml:space="preserve">Judgment in </w:t>
      </w:r>
      <w:r>
        <w:t>the j</w:t>
      </w:r>
      <w:r w:rsidRPr="008C256D">
        <w:t xml:space="preserve">oined Cases C-293/12 and C-594/12 </w:t>
      </w:r>
      <w:r>
        <w:t>(</w:t>
      </w:r>
      <w:r w:rsidRPr="008C256D">
        <w:t xml:space="preserve">Press and Information Digital Rights Ireland and </w:t>
      </w:r>
      <w:proofErr w:type="spellStart"/>
      <w:r w:rsidRPr="008C256D">
        <w:t>Seitlinger</w:t>
      </w:r>
      <w:proofErr w:type="spellEnd"/>
      <w:r w:rsidRPr="008C256D">
        <w:t xml:space="preserve"> and Others</w:t>
      </w:r>
      <w:r>
        <w:t>).</w:t>
      </w:r>
      <w:r w:rsidRPr="008C256D">
        <w:t xml:space="preserve"> </w:t>
      </w:r>
    </w:p>
  </w:footnote>
  <w:footnote w:id="71">
    <w:p w14:paraId="63144BD8" w14:textId="08EC75BF" w:rsidR="00A45C89" w:rsidRDefault="00A45C89" w:rsidP="00B72DD7">
      <w:pPr>
        <w:pStyle w:val="FootnoteText"/>
      </w:pPr>
      <w:r>
        <w:rPr>
          <w:rStyle w:val="FootnoteReference"/>
        </w:rPr>
        <w:footnoteRef/>
      </w:r>
      <w:r>
        <w:t xml:space="preserve"> </w:t>
      </w:r>
      <w:r w:rsidRPr="007F2209">
        <w:t xml:space="preserve">The Court also </w:t>
      </w:r>
      <w:r>
        <w:t>recognised</w:t>
      </w:r>
      <w:r w:rsidRPr="007F2209">
        <w:t xml:space="preserve"> that data retention serves, under clear and precise conditions, a legitimate and general interest, namely the fight against serious crime and the protection of public security.</w:t>
      </w:r>
    </w:p>
  </w:footnote>
  <w:footnote w:id="72">
    <w:p w14:paraId="1067EDF0" w14:textId="5BD8BF2C" w:rsidR="00A45C89" w:rsidRDefault="00A45C89" w:rsidP="00B72DD7">
      <w:pPr>
        <w:pStyle w:val="FootnoteText"/>
      </w:pPr>
      <w:r>
        <w:rPr>
          <w:rStyle w:val="FootnoteReference"/>
        </w:rPr>
        <w:footnoteRef/>
      </w:r>
      <w:r>
        <w:t xml:space="preserve"> </w:t>
      </w:r>
      <w:r w:rsidRPr="0067455A">
        <w:t>DNA and fingerprint exchanges take place based on a "hit/no-hit" approach</w:t>
      </w:r>
      <w:r>
        <w:t>.</w:t>
      </w:r>
      <w:r w:rsidRPr="0067455A">
        <w:t xml:space="preserve"> </w:t>
      </w:r>
      <w:r>
        <w:t>This</w:t>
      </w:r>
      <w:r w:rsidRPr="0067455A">
        <w:t xml:space="preserve"> means that DNA profiles or fingerprints found at a crime scene in one EU Member State can be compared automatically with profiles held in the databases of other EU States.</w:t>
      </w:r>
    </w:p>
  </w:footnote>
  <w:footnote w:id="73">
    <w:p w14:paraId="07C02D9D" w14:textId="48BA298F" w:rsidR="00A45C89" w:rsidRDefault="00A45C89" w:rsidP="00B72DD7">
      <w:pPr>
        <w:pStyle w:val="FootnoteText"/>
      </w:pPr>
      <w:r>
        <w:rPr>
          <w:rStyle w:val="FootnoteReference"/>
        </w:rPr>
        <w:footnoteRef/>
      </w:r>
      <w:r>
        <w:t xml:space="preserve"> EUCARIS is </w:t>
      </w:r>
      <w:r w:rsidRPr="00104E18">
        <w:t>not a database nor a central repository</w:t>
      </w:r>
      <w:r>
        <w:t>. T</w:t>
      </w:r>
      <w:r w:rsidRPr="00104E18">
        <w:t>he </w:t>
      </w:r>
      <w:proofErr w:type="spellStart"/>
      <w:r w:rsidRPr="00104E18">
        <w:rPr>
          <w:i/>
          <w:iCs/>
        </w:rPr>
        <w:t>EU</w:t>
      </w:r>
      <w:r w:rsidRPr="00104E18">
        <w:t>ropean</w:t>
      </w:r>
      <w:proofErr w:type="spellEnd"/>
      <w:r w:rsidRPr="00104E18">
        <w:t> </w:t>
      </w:r>
      <w:r w:rsidRPr="00104E18">
        <w:rPr>
          <w:i/>
          <w:iCs/>
        </w:rPr>
        <w:t>CAR</w:t>
      </w:r>
      <w:r w:rsidRPr="00104E18">
        <w:t> and driving licence </w:t>
      </w:r>
      <w:r w:rsidRPr="00104E18">
        <w:rPr>
          <w:i/>
          <w:iCs/>
        </w:rPr>
        <w:t>I</w:t>
      </w:r>
      <w:r w:rsidRPr="00104E18">
        <w:t>nformation </w:t>
      </w:r>
      <w:r w:rsidRPr="00104E18">
        <w:rPr>
          <w:i/>
          <w:iCs/>
        </w:rPr>
        <w:t>S</w:t>
      </w:r>
      <w:r w:rsidRPr="00104E18">
        <w:t>ystem</w:t>
      </w:r>
      <w:r>
        <w:t xml:space="preserve"> (EUCARIS) </w:t>
      </w:r>
      <w:r w:rsidRPr="00104E18">
        <w:t xml:space="preserve">is a system that connects </w:t>
      </w:r>
      <w:r>
        <w:t>States</w:t>
      </w:r>
      <w:r w:rsidRPr="00104E18">
        <w:t xml:space="preserve"> so they can share vehicle and driving licence information and other transport related data</w:t>
      </w:r>
      <w:r>
        <w:t>.</w:t>
      </w:r>
    </w:p>
  </w:footnote>
  <w:footnote w:id="74">
    <w:p w14:paraId="6C0666EA" w14:textId="3F4BD00F" w:rsidR="00A45C89" w:rsidRDefault="00A45C89" w:rsidP="00B72DD7">
      <w:pPr>
        <w:pStyle w:val="FootnoteText"/>
      </w:pPr>
      <w:r>
        <w:rPr>
          <w:rStyle w:val="FootnoteReference"/>
        </w:rPr>
        <w:footnoteRef/>
      </w:r>
      <w:r>
        <w:t xml:space="preserve"> The l</w:t>
      </w:r>
      <w:r w:rsidRPr="00ED3D81">
        <w:t>egal framework</w:t>
      </w:r>
      <w:r>
        <w:t xml:space="preserve"> comes from various elements:</w:t>
      </w:r>
    </w:p>
    <w:p w14:paraId="5A79A252" w14:textId="3553AB2C" w:rsidR="00A45C89" w:rsidRDefault="00A45C89" w:rsidP="00B72DD7">
      <w:pPr>
        <w:pStyle w:val="FootnoteText"/>
        <w:numPr>
          <w:ilvl w:val="0"/>
          <w:numId w:val="5"/>
        </w:numPr>
      </w:pPr>
      <w:r>
        <w:t>Council Decision 2008/615/JHA and Council Decision 2008/616/JHA</w:t>
      </w:r>
    </w:p>
    <w:p w14:paraId="65DA8608" w14:textId="086BC453" w:rsidR="00A45C89" w:rsidRDefault="00A45C89" w:rsidP="00B72DD7">
      <w:pPr>
        <w:pStyle w:val="FootnoteText"/>
        <w:numPr>
          <w:ilvl w:val="0"/>
          <w:numId w:val="5"/>
        </w:numPr>
      </w:pPr>
      <w:r>
        <w:t>The Third Driving Licence Directive (2006/126)</w:t>
      </w:r>
    </w:p>
    <w:p w14:paraId="3EBDC4C5" w14:textId="0E738040" w:rsidR="00A45C89" w:rsidRPr="00A36438" w:rsidRDefault="00A45C89" w:rsidP="00B72DD7">
      <w:pPr>
        <w:pStyle w:val="FootnoteText"/>
        <w:numPr>
          <w:ilvl w:val="0"/>
          <w:numId w:val="5"/>
        </w:numPr>
      </w:pPr>
      <w:r w:rsidRPr="00A36438">
        <w:t>Directive (EU) 2015/413 of the European Parliament and of the Council of 11 March 2015 facilitating cross-border exchange of information on road-safety-related traffic offences</w:t>
      </w:r>
      <w:r>
        <w:t>.</w:t>
      </w:r>
      <w:r w:rsidRPr="00A36438">
        <w:t xml:space="preserve"> </w:t>
      </w:r>
    </w:p>
    <w:p w14:paraId="11329C8D" w14:textId="77777777" w:rsidR="00A45C89" w:rsidRPr="00A36438" w:rsidRDefault="00A45C89" w:rsidP="0062793C">
      <w:pPr>
        <w:pStyle w:val="FootnoteText"/>
        <w:ind w:left="720" w:firstLine="720"/>
      </w:pPr>
      <w:r w:rsidRPr="00A36438">
        <w:t>OJ L 68, 13.3.2015, p. 9–25</w:t>
      </w:r>
    </w:p>
    <w:p w14:paraId="29574F2A" w14:textId="733CB2A9" w:rsidR="00A45C89" w:rsidRDefault="00A45C89" w:rsidP="00B72DD7">
      <w:pPr>
        <w:pStyle w:val="FootnoteText"/>
        <w:numPr>
          <w:ilvl w:val="0"/>
          <w:numId w:val="5"/>
        </w:numPr>
      </w:pPr>
      <w:r>
        <w:t>The Register of Road Transport Undertakings (ERRU): Regulations (EU) No 1071/2009, 1072/2009, 1073/2009 and 1213/2010</w:t>
      </w:r>
    </w:p>
    <w:p w14:paraId="0E9ECD0D" w14:textId="6D6AC750" w:rsidR="00A45C89" w:rsidRDefault="00A45C89" w:rsidP="00B72DD7">
      <w:pPr>
        <w:pStyle w:val="FootnoteText"/>
        <w:numPr>
          <w:ilvl w:val="0"/>
          <w:numId w:val="5"/>
        </w:numPr>
      </w:pPr>
      <w:r>
        <w:t xml:space="preserve">Delegated Regulation (EU) No. 305/2013 relating to </w:t>
      </w:r>
      <w:r w:rsidRPr="00ED3D81">
        <w:t xml:space="preserve">the interoperable EU-wide </w:t>
      </w:r>
      <w:proofErr w:type="spellStart"/>
      <w:r w:rsidRPr="00ED3D81">
        <w:t>eCall</w:t>
      </w:r>
      <w:proofErr w:type="spellEnd"/>
      <w:r>
        <w:t xml:space="preserve"> (t</w:t>
      </w:r>
      <w:r w:rsidRPr="00ED3D81">
        <w:t>echnical information</w:t>
      </w:r>
      <w:r>
        <w:t>)</w:t>
      </w:r>
      <w:r w:rsidRPr="00ED3D81">
        <w:t xml:space="preserve"> </w:t>
      </w:r>
    </w:p>
    <w:p w14:paraId="4C67D6A7" w14:textId="524FDD04" w:rsidR="00A45C89" w:rsidRPr="00ED3D81" w:rsidRDefault="00A45C89" w:rsidP="00B72DD7">
      <w:pPr>
        <w:pStyle w:val="FootnoteText"/>
        <w:numPr>
          <w:ilvl w:val="0"/>
          <w:numId w:val="5"/>
        </w:numPr>
      </w:pPr>
      <w:r>
        <w:t>Tachograph data exchange – Council Regulation (EEC) No. 3821/85 of 20 December 1985</w:t>
      </w:r>
    </w:p>
    <w:p w14:paraId="75153041" w14:textId="6393C9A8" w:rsidR="00A45C89" w:rsidRDefault="00A45C89" w:rsidP="00B72DD7">
      <w:pPr>
        <w:pStyle w:val="FootnoteText"/>
      </w:pPr>
      <w:r w:rsidRPr="00ED3D81">
        <w:t>on recording equipment in road transport</w:t>
      </w:r>
      <w:r>
        <w:t>.</w:t>
      </w:r>
    </w:p>
  </w:footnote>
  <w:footnote w:id="75">
    <w:p w14:paraId="00C8C04D" w14:textId="380DCE4C" w:rsidR="00A45C89" w:rsidRDefault="00A45C89" w:rsidP="00B72DD7">
      <w:pPr>
        <w:pStyle w:val="FootnoteText"/>
      </w:pPr>
      <w:r>
        <w:rPr>
          <w:rStyle w:val="FootnoteReference"/>
        </w:rPr>
        <w:footnoteRef/>
      </w:r>
      <w:r>
        <w:t xml:space="preserve"> </w:t>
      </w:r>
      <w:r w:rsidRPr="00720D2F">
        <w:t>Noting JHA is commonly still used</w:t>
      </w:r>
      <w:r>
        <w:t>,</w:t>
      </w:r>
      <w:r w:rsidRPr="00720D2F">
        <w:t xml:space="preserve"> including within Europol.</w:t>
      </w:r>
    </w:p>
  </w:footnote>
  <w:footnote w:id="76">
    <w:p w14:paraId="2588A081" w14:textId="19A70367" w:rsidR="00A45C89" w:rsidRDefault="00A45C89" w:rsidP="00B72DD7">
      <w:pPr>
        <w:pStyle w:val="FootnoteText"/>
      </w:pPr>
      <w:r>
        <w:rPr>
          <w:rStyle w:val="FootnoteReference"/>
        </w:rPr>
        <w:footnoteRef/>
      </w:r>
      <w:r>
        <w:t xml:space="preserve"> For example, after 9/11, as discussed in the following publications by the author: </w:t>
      </w:r>
    </w:p>
    <w:p w14:paraId="347FDA7B" w14:textId="6149EC1A" w:rsidR="00A45C89" w:rsidRPr="00217FB3" w:rsidRDefault="00A45C89" w:rsidP="00B72DD7">
      <w:pPr>
        <w:pStyle w:val="FootnoteText"/>
        <w:rPr>
          <w:i/>
        </w:rPr>
      </w:pPr>
      <w:r w:rsidRPr="00217FB3">
        <w:t xml:space="preserve">S. J. </w:t>
      </w:r>
      <w:r>
        <w:t xml:space="preserve">Fox </w:t>
      </w:r>
      <w:r w:rsidRPr="00217FB3">
        <w:t xml:space="preserve">(2014) ‘Safety &amp; Security: </w:t>
      </w:r>
      <w:r w:rsidRPr="00217FB3">
        <w:rPr>
          <w:i/>
        </w:rPr>
        <w:t xml:space="preserve">The influence of 9/11 to the EU Framework.’ </w:t>
      </w:r>
      <w:r w:rsidRPr="00217FB3">
        <w:t xml:space="preserve">Research in Transportation Economics – Special Edition </w:t>
      </w:r>
      <w:r w:rsidRPr="00217FB3">
        <w:rPr>
          <w:lang w:val="en-US"/>
        </w:rPr>
        <w:t>DOI: 10.1016/j.retrec.2014.07.004 Vol. 45 (2014), pp. 24–33.</w:t>
      </w:r>
    </w:p>
    <w:p w14:paraId="54BBDD6F" w14:textId="001D2124" w:rsidR="00A45C89" w:rsidRPr="00217FB3" w:rsidRDefault="00A45C89" w:rsidP="00B72DD7">
      <w:pPr>
        <w:pStyle w:val="FootnoteText"/>
        <w:rPr>
          <w:lang w:val="en-US"/>
        </w:rPr>
      </w:pPr>
      <w:r w:rsidRPr="00217FB3">
        <w:rPr>
          <w:lang w:val="en-US"/>
        </w:rPr>
        <w:t>See also: S. J.</w:t>
      </w:r>
      <w:r>
        <w:rPr>
          <w:lang w:val="en-US"/>
        </w:rPr>
        <w:t xml:space="preserve"> Fox</w:t>
      </w:r>
      <w:r w:rsidRPr="00217FB3">
        <w:rPr>
          <w:lang w:val="en-US"/>
        </w:rPr>
        <w:t xml:space="preserve"> (2019) </w:t>
      </w:r>
      <w:r w:rsidRPr="00217FB3">
        <w:t xml:space="preserve">Policing aviation and keeping peace: intelligence-fed security. </w:t>
      </w:r>
      <w:r w:rsidRPr="00217FB3">
        <w:rPr>
          <w:lang w:val="en-US"/>
        </w:rPr>
        <w:t>International Journal on World Peace. Vol. XXXVI, No.1 (March - 2019) pp. 63-92.</w:t>
      </w:r>
    </w:p>
  </w:footnote>
  <w:footnote w:id="77">
    <w:p w14:paraId="06312925" w14:textId="1355BBA7" w:rsidR="00A45C89" w:rsidRDefault="00A45C89" w:rsidP="00B72DD7">
      <w:pPr>
        <w:pStyle w:val="FootnoteText"/>
      </w:pPr>
      <w:r w:rsidRPr="00217FB3">
        <w:rPr>
          <w:rStyle w:val="FootnoteReference"/>
        </w:rPr>
        <w:footnoteRef/>
      </w:r>
      <w:r w:rsidRPr="00217FB3">
        <w:t xml:space="preserve"> </w:t>
      </w:r>
      <w:r>
        <w:t xml:space="preserve">It is an area that </w:t>
      </w:r>
      <w:r w:rsidRPr="00B50CC3">
        <w:t xml:space="preserve">I have written extensively on </w:t>
      </w:r>
      <w:r>
        <w:t>– that is,</w:t>
      </w:r>
      <w:r w:rsidRPr="00B50CC3">
        <w:t xml:space="preserve"> aviation security (and terrorist attacks) and regional and international approaches</w:t>
      </w:r>
      <w:r>
        <w:t>:</w:t>
      </w:r>
    </w:p>
    <w:p w14:paraId="79CAD669" w14:textId="7DDF9A58" w:rsidR="00A45C89" w:rsidRPr="00217FB3" w:rsidRDefault="00A45C89" w:rsidP="00B72DD7">
      <w:pPr>
        <w:pStyle w:val="FootnoteText"/>
        <w:rPr>
          <w:i/>
        </w:rPr>
      </w:pPr>
      <w:r w:rsidRPr="00217FB3">
        <w:t>S. J.</w:t>
      </w:r>
      <w:r>
        <w:t xml:space="preserve"> Fox</w:t>
      </w:r>
      <w:r w:rsidRPr="00217FB3">
        <w:t xml:space="preserve"> (2014) ‘Safety &amp; Security: </w:t>
      </w:r>
      <w:r w:rsidRPr="00217FB3">
        <w:rPr>
          <w:i/>
        </w:rPr>
        <w:t xml:space="preserve">The influence of 9/11 to the EU Framework.’ </w:t>
      </w:r>
      <w:r w:rsidRPr="00217FB3">
        <w:t xml:space="preserve">Research in Transportation Economics – Special Edition </w:t>
      </w:r>
      <w:r w:rsidRPr="00217FB3">
        <w:rPr>
          <w:lang w:val="en-US"/>
        </w:rPr>
        <w:t>DOI: 10.1016/j.retrec.2014.07.004 Vol. 45 (2014), pp. 24–33.</w:t>
      </w:r>
    </w:p>
  </w:footnote>
  <w:footnote w:id="78">
    <w:p w14:paraId="68B5E048" w14:textId="179B9189" w:rsidR="00A45C89" w:rsidRPr="00217FB3" w:rsidRDefault="00A45C89" w:rsidP="00B72DD7">
      <w:pPr>
        <w:pStyle w:val="FootnoteText"/>
      </w:pPr>
      <w:r w:rsidRPr="00217FB3">
        <w:rPr>
          <w:rStyle w:val="FootnoteReference"/>
        </w:rPr>
        <w:footnoteRef/>
      </w:r>
      <w:r w:rsidRPr="00217FB3">
        <w:t xml:space="preserve"> This is discussed extensively within:</w:t>
      </w:r>
    </w:p>
    <w:p w14:paraId="462AFEF3" w14:textId="7B5F0C5F" w:rsidR="00A45C89" w:rsidRDefault="00A45C89" w:rsidP="00B72DD7">
      <w:pPr>
        <w:pStyle w:val="FootnoteText"/>
      </w:pPr>
      <w:r w:rsidRPr="00217FB3">
        <w:rPr>
          <w:lang w:val="en-US"/>
        </w:rPr>
        <w:t xml:space="preserve">S. J. </w:t>
      </w:r>
      <w:r>
        <w:rPr>
          <w:lang w:val="en-US"/>
        </w:rPr>
        <w:t xml:space="preserve">Fox </w:t>
      </w:r>
      <w:r w:rsidRPr="00217FB3">
        <w:rPr>
          <w:lang w:val="en-US"/>
        </w:rPr>
        <w:t xml:space="preserve">(2019) </w:t>
      </w:r>
      <w:r w:rsidRPr="00217FB3">
        <w:t xml:space="preserve">Policing aviation and keeping peace: intelligence-fed security. </w:t>
      </w:r>
      <w:r w:rsidRPr="00217FB3">
        <w:rPr>
          <w:lang w:val="en-US"/>
        </w:rPr>
        <w:t>International Journal on World Peace. Vol. XXXVI, No.1 (March - 2019) pp. 63-92.</w:t>
      </w:r>
      <w:r w:rsidRPr="00217FB3">
        <w:t xml:space="preserve"> Fox, S. J. (2014) ‘Safety &amp; Security: </w:t>
      </w:r>
      <w:r w:rsidRPr="00217FB3">
        <w:rPr>
          <w:i/>
        </w:rPr>
        <w:t xml:space="preserve">The influence of 9/11 to the EU Framework.’ </w:t>
      </w:r>
      <w:r w:rsidRPr="00217FB3">
        <w:t xml:space="preserve">Research in Transportation Economics – Special Edition </w:t>
      </w:r>
      <w:r w:rsidRPr="00217FB3">
        <w:rPr>
          <w:lang w:val="en-US"/>
        </w:rPr>
        <w:t>DOI: 10.1016/j.retrec.2014.07.004 Vol. 45 (2014), pp. 24–33.</w:t>
      </w:r>
    </w:p>
  </w:footnote>
  <w:footnote w:id="79">
    <w:p w14:paraId="60687293" w14:textId="7109054B" w:rsidR="00A45C89" w:rsidRPr="008275E7" w:rsidRDefault="00A45C89" w:rsidP="00B72DD7">
      <w:pPr>
        <w:pStyle w:val="FootnoteText"/>
        <w:rPr>
          <w:i/>
        </w:rPr>
      </w:pPr>
      <w:r w:rsidRPr="008275E7">
        <w:rPr>
          <w:rStyle w:val="FootnoteReference"/>
        </w:rPr>
        <w:footnoteRef/>
      </w:r>
      <w:r w:rsidRPr="008275E7">
        <w:t xml:space="preserve"> S. J. </w:t>
      </w:r>
      <w:r>
        <w:t xml:space="preserve">Fox </w:t>
      </w:r>
      <w:r w:rsidRPr="008275E7">
        <w:t xml:space="preserve">(2014) ‘Safety &amp; Security: </w:t>
      </w:r>
      <w:r w:rsidRPr="008275E7">
        <w:rPr>
          <w:i/>
        </w:rPr>
        <w:t xml:space="preserve">The influence of 9/11 to the EU Framework.’ </w:t>
      </w:r>
      <w:r w:rsidRPr="008275E7">
        <w:t xml:space="preserve">Research in Transportation Economics – Special Edition </w:t>
      </w:r>
      <w:r w:rsidRPr="008275E7">
        <w:rPr>
          <w:lang w:val="en-US"/>
        </w:rPr>
        <w:t>DOI: 10.1016/j.retrec.2014.07.004 Vol. 45 (2014), pp. 24–33.</w:t>
      </w:r>
    </w:p>
    <w:p w14:paraId="5B850F6B" w14:textId="1B8481D2" w:rsidR="00A45C89" w:rsidRPr="008275E7" w:rsidRDefault="00A45C89" w:rsidP="00B72DD7">
      <w:pPr>
        <w:pStyle w:val="FootnoteText"/>
        <w:rPr>
          <w:lang w:val="en-US"/>
        </w:rPr>
      </w:pPr>
      <w:r w:rsidRPr="008275E7">
        <w:rPr>
          <w:lang w:val="en-US"/>
        </w:rPr>
        <w:t xml:space="preserve">See also: S. J. </w:t>
      </w:r>
      <w:r>
        <w:rPr>
          <w:lang w:val="en-US"/>
        </w:rPr>
        <w:t xml:space="preserve">Fox </w:t>
      </w:r>
      <w:r w:rsidRPr="008275E7">
        <w:rPr>
          <w:lang w:val="en-US"/>
        </w:rPr>
        <w:t xml:space="preserve">(2019) </w:t>
      </w:r>
      <w:r w:rsidRPr="008275E7">
        <w:t xml:space="preserve">Policing aviation and keeping peace: intelligence-fed security. </w:t>
      </w:r>
      <w:r w:rsidRPr="008275E7">
        <w:rPr>
          <w:lang w:val="en-US"/>
        </w:rPr>
        <w:t>International Journal on World Peace. Vol. XXXVI, No.1 (March - 2019) pp. 63-92.</w:t>
      </w:r>
    </w:p>
  </w:footnote>
  <w:footnote w:id="80">
    <w:p w14:paraId="7E2BEC07" w14:textId="2EF5948A" w:rsidR="00A45C89" w:rsidRPr="008275E7" w:rsidRDefault="00A45C89" w:rsidP="00B72DD7">
      <w:pPr>
        <w:pStyle w:val="FootnoteText"/>
      </w:pPr>
      <w:r w:rsidRPr="008275E7">
        <w:rPr>
          <w:rStyle w:val="FootnoteReference"/>
        </w:rPr>
        <w:footnoteRef/>
      </w:r>
      <w:r w:rsidRPr="008275E7">
        <w:t xml:space="preserve"> Directive (EU) 2016/681 of the European Parliament and of the Council of 27 April 2016 on the use of passenger name record (PNR) data for the prevention, detection, investigation and prosecution of terrorist offences and serious crime. OJ L 119, 4.5.2016, p. 132–149.</w:t>
      </w:r>
    </w:p>
  </w:footnote>
  <w:footnote w:id="81">
    <w:p w14:paraId="15CE7BA4" w14:textId="114A006D" w:rsidR="00A45C89" w:rsidRDefault="00A45C89" w:rsidP="00B72DD7">
      <w:pPr>
        <w:pStyle w:val="FootnoteText"/>
      </w:pPr>
      <w:r w:rsidRPr="008275E7">
        <w:rPr>
          <w:rStyle w:val="FootnoteReference"/>
        </w:rPr>
        <w:footnoteRef/>
      </w:r>
      <w:r w:rsidRPr="008275E7">
        <w:t xml:space="preserve"> Discussed at length in: </w:t>
      </w:r>
      <w:r w:rsidRPr="008275E7">
        <w:rPr>
          <w:lang w:val="en-US"/>
        </w:rPr>
        <w:t xml:space="preserve">Fox, S. J. (2019) </w:t>
      </w:r>
      <w:r w:rsidRPr="008275E7">
        <w:t xml:space="preserve">Policing aviation and keeping peace: intelligence-fed security. </w:t>
      </w:r>
      <w:r w:rsidRPr="008275E7">
        <w:rPr>
          <w:lang w:val="en-US"/>
        </w:rPr>
        <w:t>International Journal on World Peace. Vol. XXXVI, No.1 (March - 2019) pp. 63-92.</w:t>
      </w:r>
    </w:p>
  </w:footnote>
  <w:footnote w:id="82">
    <w:p w14:paraId="2B4D938C" w14:textId="0300B6FB" w:rsidR="00A45C89" w:rsidRPr="00BA4757" w:rsidRDefault="00A45C89" w:rsidP="00B72DD7">
      <w:pPr>
        <w:pStyle w:val="FootnoteText"/>
      </w:pPr>
      <w:r>
        <w:rPr>
          <w:rStyle w:val="FootnoteReference"/>
        </w:rPr>
        <w:footnoteRef/>
      </w:r>
      <w:r>
        <w:t xml:space="preserve"> </w:t>
      </w:r>
      <w:r w:rsidRPr="003547DE">
        <w:t xml:space="preserve">Judgment in Case C-311/18 Press and Information Data Protection Commissioner v Facebook Ireland and Maximillian </w:t>
      </w:r>
      <w:proofErr w:type="spellStart"/>
      <w:r w:rsidRPr="003547DE">
        <w:t>Schrems</w:t>
      </w:r>
      <w:proofErr w:type="spellEnd"/>
      <w:r>
        <w:t xml:space="preserve">. </w:t>
      </w:r>
      <w:r w:rsidRPr="00BA4757">
        <w:t>ECLI:EU:</w:t>
      </w:r>
      <w:proofErr w:type="gramStart"/>
      <w:r w:rsidRPr="00BA4757">
        <w:t>C:2020:559</w:t>
      </w:r>
      <w:proofErr w:type="gramEnd"/>
    </w:p>
    <w:p w14:paraId="26676C7D" w14:textId="15F97158" w:rsidR="00A45C89" w:rsidRDefault="00A45C89" w:rsidP="00B72DD7">
      <w:pPr>
        <w:pStyle w:val="FootnoteText"/>
      </w:pPr>
      <w:r>
        <w:t>The CJEU ruling</w:t>
      </w:r>
      <w:r w:rsidRPr="003547DE">
        <w:t xml:space="preserve"> invalidate</w:t>
      </w:r>
      <w:r>
        <w:t>d</w:t>
      </w:r>
      <w:r w:rsidRPr="003547DE">
        <w:t xml:space="preserve"> Decision 2016/1250 on the adequacy of the protection provided by the EU-US Data Protection Shield</w:t>
      </w:r>
      <w:r>
        <w:t xml:space="preserve">.  </w:t>
      </w:r>
      <w:r w:rsidRPr="003547DE">
        <w:t>However, it did consider that Commission Decision 2010/87 on standard contractual clauses for the transfer of personal data to processors established in third countries is valid.</w:t>
      </w:r>
      <w:r w:rsidRPr="003547DE">
        <w:rPr>
          <w:i/>
          <w:iCs/>
        </w:rPr>
        <w:t xml:space="preserve"> </w:t>
      </w:r>
    </w:p>
  </w:footnote>
  <w:footnote w:id="83">
    <w:p w14:paraId="6B727A07" w14:textId="0EC52C05" w:rsidR="00A45C89" w:rsidRPr="001474EF" w:rsidRDefault="00A45C89" w:rsidP="00B72DD7">
      <w:pPr>
        <w:pStyle w:val="FootnoteText"/>
      </w:pPr>
      <w:r>
        <w:rPr>
          <w:rStyle w:val="FootnoteReference"/>
        </w:rPr>
        <w:footnoteRef/>
      </w:r>
      <w:r>
        <w:t xml:space="preserve"> In June 2020, the EU published a Communication relating to the ‘</w:t>
      </w:r>
      <w:r w:rsidRPr="001474EF">
        <w:t>Way forward on aligning the former third pillar acquis with data protection rules</w:t>
      </w:r>
      <w:r>
        <w:t>.’</w:t>
      </w:r>
    </w:p>
    <w:p w14:paraId="478835C1" w14:textId="2121870D" w:rsidR="00A45C89" w:rsidRDefault="00A45C89" w:rsidP="00B72DD7">
      <w:pPr>
        <w:pStyle w:val="FootnoteText"/>
      </w:pPr>
      <w:proofErr w:type="gramStart"/>
      <w:r w:rsidRPr="001474EF">
        <w:t>COM(</w:t>
      </w:r>
      <w:proofErr w:type="gramEnd"/>
      <w:r w:rsidRPr="001474EF">
        <w:t>2020) 262 final</w:t>
      </w:r>
      <w:r>
        <w:t xml:space="preserve">. </w:t>
      </w:r>
      <w:r w:rsidRPr="001474EF">
        <w:t>Brussels, 24.6.2020</w:t>
      </w:r>
      <w:r>
        <w:t>.</w:t>
      </w:r>
    </w:p>
    <w:p w14:paraId="1E46C3DC" w14:textId="7F9D8723" w:rsidR="00A45C89" w:rsidRDefault="00A45C89" w:rsidP="00B72DD7">
      <w:pPr>
        <w:pStyle w:val="FootnoteText"/>
      </w:pPr>
      <w:r>
        <w:t>This recognised the need to realign many of the agreements (Regulation, Directive, Decisions, etc.,) under the former third pillar – JHA.</w:t>
      </w:r>
    </w:p>
    <w:p w14:paraId="59563FA7" w14:textId="37260079" w:rsidR="00A45C89" w:rsidRDefault="00A45C89" w:rsidP="00B72DD7">
      <w:pPr>
        <w:pStyle w:val="FootnoteText"/>
      </w:pPr>
      <w:r>
        <w:t>The review was</w:t>
      </w:r>
      <w:r w:rsidRPr="00D32795">
        <w:t xml:space="preserve"> conducted by the Commission under Article 62(6) of the Data Protection Law Enforcement Directive (Directive 2016/680</w:t>
      </w:r>
      <w:r>
        <w:t>.</w:t>
      </w:r>
    </w:p>
  </w:footnote>
  <w:footnote w:id="84">
    <w:p w14:paraId="0CC0BD19" w14:textId="450E3206" w:rsidR="00A45C89" w:rsidRDefault="00A45C89" w:rsidP="00B72DD7">
      <w:pPr>
        <w:pStyle w:val="FootnoteText"/>
        <w:rPr>
          <w:lang w:val="en-US"/>
        </w:rPr>
      </w:pPr>
      <w:r w:rsidRPr="0084158D">
        <w:rPr>
          <w:rStyle w:val="FootnoteReference"/>
        </w:rPr>
        <w:footnoteRef/>
      </w:r>
      <w:r w:rsidRPr="0084158D">
        <w:t xml:space="preserve"> </w:t>
      </w:r>
      <w:r w:rsidRPr="00A55984">
        <w:rPr>
          <w:lang w:val="en-US"/>
        </w:rPr>
        <w:t xml:space="preserve">S. J. </w:t>
      </w:r>
      <w:r>
        <w:rPr>
          <w:lang w:val="en-US"/>
        </w:rPr>
        <w:t xml:space="preserve">Fox </w:t>
      </w:r>
      <w:r w:rsidRPr="00A55984">
        <w:rPr>
          <w:lang w:val="en-US"/>
        </w:rPr>
        <w:t xml:space="preserve">(2016) BREXIT: A bolt from the blue! – </w:t>
      </w:r>
      <w:r w:rsidRPr="00A55984">
        <w:rPr>
          <w:i/>
          <w:lang w:val="en-US"/>
        </w:rPr>
        <w:t xml:space="preserve">Red sky in the morning? Issues in Aviation Law and Policy. </w:t>
      </w:r>
      <w:r w:rsidRPr="00A55984">
        <w:rPr>
          <w:lang w:val="en-US"/>
        </w:rPr>
        <w:t>Volume 16, No. 1. Autumn, 2016, pp 83-119.</w:t>
      </w:r>
    </w:p>
    <w:p w14:paraId="1D953589" w14:textId="52099022" w:rsidR="00A45C89" w:rsidRDefault="00A45C89" w:rsidP="00B72DD7">
      <w:pPr>
        <w:pStyle w:val="FootnoteText"/>
      </w:pPr>
      <w:r w:rsidRPr="00380186">
        <w:t xml:space="preserve">In 1997 the UK secured EU agreement to give the UK the right to choose whether to participate in any new EU legislation covering asylum and judicial cooperation in civil matters. </w:t>
      </w:r>
    </w:p>
  </w:footnote>
  <w:footnote w:id="85">
    <w:p w14:paraId="27DA7264" w14:textId="5C4DE9C0" w:rsidR="00A45C89" w:rsidRDefault="00A45C89" w:rsidP="00B72DD7">
      <w:pPr>
        <w:pStyle w:val="FootnoteText"/>
      </w:pPr>
      <w:r>
        <w:rPr>
          <w:rStyle w:val="FootnoteReference"/>
        </w:rPr>
        <w:footnoteRef/>
      </w:r>
      <w:r>
        <w:t xml:space="preserve"> Protocol annexed to the Lisbon Treaty:</w:t>
      </w:r>
    </w:p>
    <w:p w14:paraId="340D414B" w14:textId="0FB08E89" w:rsidR="00A45C89" w:rsidRDefault="00A45C89" w:rsidP="00B72DD7">
      <w:pPr>
        <w:pStyle w:val="FootnoteText"/>
      </w:pPr>
      <w:r w:rsidRPr="001705D3">
        <w:t xml:space="preserve">PROTOCOL ON THE SCHENGEN </w:t>
      </w:r>
      <w:r w:rsidRPr="001705D3">
        <w:rPr>
          <w:i/>
          <w:iCs/>
        </w:rPr>
        <w:t xml:space="preserve">ACQUIS </w:t>
      </w:r>
      <w:r w:rsidRPr="001705D3">
        <w:t>INTEGRATED INTO THE FRAMEWORK OF THE EUROPEAN UNION</w:t>
      </w:r>
      <w:r>
        <w:t xml:space="preserve"> and the UK position.</w:t>
      </w:r>
      <w:r w:rsidRPr="001705D3">
        <w:t xml:space="preserve"> </w:t>
      </w:r>
    </w:p>
  </w:footnote>
  <w:footnote w:id="86">
    <w:p w14:paraId="57619721" w14:textId="79FC8913" w:rsidR="00A45C89" w:rsidRDefault="00A45C89" w:rsidP="00B72DD7">
      <w:pPr>
        <w:pStyle w:val="FootnoteText"/>
      </w:pPr>
      <w:r>
        <w:rPr>
          <w:rStyle w:val="FootnoteReference"/>
        </w:rPr>
        <w:footnoteRef/>
      </w:r>
      <w:r>
        <w:t xml:space="preserve"> PROTOCOL </w:t>
      </w:r>
      <w:r w:rsidRPr="00E93A27">
        <w:t>ON THE POSITION OF THE UNITED KINGDOM AND IRELAND IN RESPECT OF THE AREA OF FREEDOM, SECURITY AND JUSTICE</w:t>
      </w:r>
      <w:r>
        <w:t>: which includes data processing also.</w:t>
      </w:r>
      <w:r w:rsidRPr="00E93A27">
        <w:t xml:space="preserve"> </w:t>
      </w:r>
    </w:p>
  </w:footnote>
  <w:footnote w:id="87">
    <w:p w14:paraId="7EBC8687" w14:textId="24DC9BB3" w:rsidR="00A45C89" w:rsidRDefault="00A45C89" w:rsidP="00B72DD7">
      <w:pPr>
        <w:pStyle w:val="FootnoteText"/>
      </w:pPr>
      <w:r>
        <w:rPr>
          <w:rStyle w:val="FootnoteReference"/>
        </w:rPr>
        <w:footnoteRef/>
      </w:r>
      <w:r>
        <w:t xml:space="preserve"> </w:t>
      </w:r>
      <w:r w:rsidRPr="003C066B">
        <w:t xml:space="preserve">PROTOCOL ON THE APPLICATION OF THE CHARTER OF FUNDAMENTAL RIGHTS OF THE EUROPEAN UNION TO POLAND AND TO THE UNITED KINGDOM </w:t>
      </w:r>
    </w:p>
  </w:footnote>
  <w:footnote w:id="88">
    <w:p w14:paraId="71BB4AA1" w14:textId="3AB635CE" w:rsidR="00A45C89" w:rsidRDefault="00A45C89" w:rsidP="00B72DD7">
      <w:pPr>
        <w:pStyle w:val="FootnoteText"/>
      </w:pPr>
      <w:r>
        <w:rPr>
          <w:rStyle w:val="FootnoteReference"/>
        </w:rPr>
        <w:footnoteRef/>
      </w:r>
      <w:r>
        <w:t xml:space="preserve"> </w:t>
      </w:r>
      <w:r w:rsidRPr="00127A8A">
        <w:t>The phrase </w:t>
      </w:r>
      <w:r w:rsidRPr="00127A8A">
        <w:rPr>
          <w:b/>
        </w:rPr>
        <w:t>"Lest we forget"</w:t>
      </w:r>
      <w:r w:rsidRPr="00127A8A">
        <w:t> is commonly used in war remembrance services and commemorative occasions in English speaking countries</w:t>
      </w:r>
      <w:r>
        <w:t>. It was also used</w:t>
      </w:r>
      <w:r w:rsidRPr="00127A8A">
        <w:t xml:space="preserve"> </w:t>
      </w:r>
      <w:r>
        <w:t xml:space="preserve">throughout </w:t>
      </w:r>
      <w:r w:rsidRPr="00127A8A">
        <w:t xml:space="preserve">Rudyard Kipling </w:t>
      </w:r>
      <w:r>
        <w:t>1</w:t>
      </w:r>
      <w:r w:rsidRPr="00127A8A">
        <w:t xml:space="preserve">897 </w:t>
      </w:r>
      <w:r>
        <w:t xml:space="preserve">poem, </w:t>
      </w:r>
      <w:r w:rsidRPr="00127A8A">
        <w:t>called " Recessional</w:t>
      </w:r>
      <w:r>
        <w:t>.</w:t>
      </w:r>
      <w:r w:rsidRPr="00127A8A">
        <w:t>"</w:t>
      </w:r>
      <w:r>
        <w:t xml:space="preserve"> </w:t>
      </w:r>
      <w:r w:rsidRPr="00127A8A">
        <w:t xml:space="preserve">The phrase </w:t>
      </w:r>
      <w:r>
        <w:t>is repeated a number of times to warn of the</w:t>
      </w:r>
      <w:r w:rsidRPr="00127A8A">
        <w:t xml:space="preserve"> dangers of failing to remember.</w:t>
      </w:r>
    </w:p>
  </w:footnote>
  <w:footnote w:id="89">
    <w:p w14:paraId="377FF246" w14:textId="77777777" w:rsidR="00A45C89" w:rsidRDefault="00A45C89" w:rsidP="00B72DD7">
      <w:pPr>
        <w:pStyle w:val="FootnoteText"/>
      </w:pPr>
      <w:r>
        <w:rPr>
          <w:rStyle w:val="FootnoteReference"/>
        </w:rPr>
        <w:footnoteRef/>
      </w:r>
      <w:r>
        <w:t xml:space="preserve"> Known as the Blair (International) Doctrine (speech in Chicago, April 1999).</w:t>
      </w:r>
    </w:p>
    <w:p w14:paraId="427E4996" w14:textId="77777777" w:rsidR="00A45C89" w:rsidRDefault="00A45C89" w:rsidP="00B72DD7">
      <w:pPr>
        <w:pStyle w:val="FootnoteText"/>
      </w:pPr>
      <w:r w:rsidRPr="00955BBB">
        <w:t>ww.chicagotribune.com/news/ct-xpm-1999-04</w:t>
      </w:r>
    </w:p>
  </w:footnote>
  <w:footnote w:id="90">
    <w:p w14:paraId="53FBE765" w14:textId="228A9682" w:rsidR="00A45C89" w:rsidRDefault="00A45C89" w:rsidP="00B72DD7">
      <w:pPr>
        <w:pStyle w:val="FootnoteText"/>
      </w:pPr>
      <w:r>
        <w:rPr>
          <w:rStyle w:val="FootnoteReference"/>
        </w:rPr>
        <w:footnoteRef/>
      </w:r>
      <w:r>
        <w:t xml:space="preserve"> Justice and Home Affairs: Used to refer specifically to Frontex: </w:t>
      </w:r>
      <w:hyperlink r:id="rId9" w:history="1">
        <w:r w:rsidRPr="00931679">
          <w:rPr>
            <w:rStyle w:val="Hyperlink"/>
          </w:rPr>
          <w:t>https://ec.europa.eu/home-affairs/index_en</w:t>
        </w:r>
      </w:hyperlink>
    </w:p>
    <w:p w14:paraId="673A2D29" w14:textId="35DA917B" w:rsidR="00A45C89" w:rsidRDefault="00A45C89" w:rsidP="00B72DD7">
      <w:pPr>
        <w:pStyle w:val="FootnoteText"/>
      </w:pPr>
      <w:r>
        <w:t xml:space="preserve">Frontex information can be found at: </w:t>
      </w:r>
      <w:r w:rsidRPr="00D32795">
        <w:t>https://frontex.europa.eu</w:t>
      </w:r>
    </w:p>
  </w:footnote>
  <w:footnote w:id="91">
    <w:p w14:paraId="777A1382" w14:textId="450E73A0" w:rsidR="00A45C89" w:rsidRDefault="00A45C89" w:rsidP="00B72DD7">
      <w:pPr>
        <w:pStyle w:val="FootnoteText"/>
      </w:pPr>
      <w:r>
        <w:rPr>
          <w:rStyle w:val="FootnoteReference"/>
        </w:rPr>
        <w:footnoteRef/>
      </w:r>
      <w:r>
        <w:t xml:space="preserve"> </w:t>
      </w:r>
      <w:proofErr w:type="gramStart"/>
      <w:r>
        <w:rPr>
          <w:i/>
          <w:iCs/>
        </w:rPr>
        <w:t>A</w:t>
      </w:r>
      <w:r w:rsidRPr="0069782A">
        <w:rPr>
          <w:i/>
          <w:iCs/>
        </w:rPr>
        <w:t>ctually</w:t>
      </w:r>
      <w:proofErr w:type="gramEnd"/>
      <w:r w:rsidRPr="0069782A">
        <w:rPr>
          <w:i/>
          <w:iCs/>
        </w:rPr>
        <w:t xml:space="preserve"> a tunnel under the Channel</w:t>
      </w:r>
      <w:r>
        <w:t>: facilitating the ease of movement and transport of persons, goods and services.</w:t>
      </w:r>
    </w:p>
  </w:footnote>
  <w:footnote w:id="92">
    <w:p w14:paraId="44A7EE4A" w14:textId="12139B57" w:rsidR="00A45C89" w:rsidRDefault="00A45C89" w:rsidP="00B72DD7">
      <w:pPr>
        <w:pStyle w:val="FootnoteText"/>
      </w:pPr>
      <w:r>
        <w:rPr>
          <w:rStyle w:val="FootnoteReference"/>
        </w:rPr>
        <w:footnoteRef/>
      </w:r>
      <w:r>
        <w:t xml:space="preserve"> </w:t>
      </w:r>
      <w:r w:rsidRPr="00045892">
        <w:t>The United Kingdom joined the</w:t>
      </w:r>
      <w:r>
        <w:t>, then,</w:t>
      </w:r>
      <w:r w:rsidRPr="00045892">
        <w:t xml:space="preserve"> European Communities on 1 January 1973, along with Denmark and the Republic of Ireland</w:t>
      </w:r>
      <w:r>
        <w:t>.</w:t>
      </w:r>
    </w:p>
  </w:footnote>
  <w:footnote w:id="93">
    <w:p w14:paraId="0C13113E" w14:textId="01F2075B" w:rsidR="00A45C89" w:rsidRDefault="00A45C89" w:rsidP="00B72DD7">
      <w:pPr>
        <w:pStyle w:val="FootnoteText"/>
      </w:pPr>
      <w:r>
        <w:rPr>
          <w:rStyle w:val="FootnoteReference"/>
        </w:rPr>
        <w:footnoteRef/>
      </w:r>
      <w:r>
        <w:t xml:space="preserve"> Viewed as a </w:t>
      </w:r>
      <w:proofErr w:type="gramStart"/>
      <w:r>
        <w:t>multi-interpretations</w:t>
      </w:r>
      <w:proofErr w:type="gramEnd"/>
      <w:r>
        <w:t xml:space="preserve">: </w:t>
      </w:r>
      <w:r w:rsidRPr="002D7453">
        <w:t>individuals</w:t>
      </w:r>
      <w:r>
        <w:t xml:space="preserve">; </w:t>
      </w:r>
      <w:r w:rsidRPr="002D7453">
        <w:t>society</w:t>
      </w:r>
      <w:r>
        <w:t>;</w:t>
      </w:r>
      <w:r w:rsidRPr="002D7453">
        <w:t xml:space="preserve"> the UK as a nation</w:t>
      </w:r>
      <w:r>
        <w:t xml:space="preserve">; as </w:t>
      </w:r>
      <w:r w:rsidRPr="002D7453">
        <w:t>part of the EU</w:t>
      </w:r>
      <w:r>
        <w:t xml:space="preserve"> and as part of an international entity…</w:t>
      </w:r>
    </w:p>
  </w:footnote>
  <w:footnote w:id="94">
    <w:p w14:paraId="297F529F" w14:textId="341A1427" w:rsidR="00A45C89" w:rsidRDefault="00A45C89" w:rsidP="00B72DD7">
      <w:pPr>
        <w:pStyle w:val="FootnoteText"/>
      </w:pPr>
      <w:r>
        <w:rPr>
          <w:rStyle w:val="FootnoteReference"/>
        </w:rPr>
        <w:footnoteRef/>
      </w:r>
      <w:r>
        <w:t xml:space="preserve"> Entitled - A</w:t>
      </w:r>
      <w:r w:rsidRPr="002B70CA">
        <w:t>GREEMENT on the withdrawal of the United Kingdom of Great Britain and Northern Ireland from the European Union and the European Atomic Energy Community</w:t>
      </w:r>
      <w:r>
        <w:t xml:space="preserve">. </w:t>
      </w:r>
      <w:r w:rsidRPr="002B70CA">
        <w:t>OJ C 66I, 19.2.2019, p. 1–184</w:t>
      </w:r>
      <w:r>
        <w:t>.</w:t>
      </w:r>
    </w:p>
    <w:p w14:paraId="6783FC26" w14:textId="11B24AA5" w:rsidR="00A45C89" w:rsidRDefault="00A45C89" w:rsidP="00B72DD7">
      <w:pPr>
        <w:pStyle w:val="FootnoteText"/>
      </w:pPr>
      <w:r w:rsidRPr="00882474">
        <w:t xml:space="preserve">and, although it is not in force (basically because the terms have not been agreed/finalised) – it is very telling </w:t>
      </w:r>
      <w:r w:rsidR="00431695" w:rsidRPr="00882474">
        <w:t>in terms of the risks and possible potential to the UK and, therefore, arguably, also to the EU.</w:t>
      </w:r>
    </w:p>
  </w:footnote>
  <w:footnote w:id="95">
    <w:p w14:paraId="2A2780ED" w14:textId="3967C5D3" w:rsidR="00A45C89" w:rsidRDefault="00A45C89" w:rsidP="00B72DD7">
      <w:pPr>
        <w:pStyle w:val="FootnoteText"/>
      </w:pPr>
      <w:r>
        <w:rPr>
          <w:rStyle w:val="FootnoteReference"/>
        </w:rPr>
        <w:footnoteRef/>
      </w:r>
      <w:r>
        <w:t xml:space="preserve"> EU-UK </w:t>
      </w:r>
      <w:r w:rsidRPr="00386F2A">
        <w:t xml:space="preserve">Trade and Cooperation Agreement. The agreement creates significant changes to the mechanisms and policies that support law enforcement and judicial cooperation (Brussels, 25.12.2020 </w:t>
      </w:r>
      <w:proofErr w:type="gramStart"/>
      <w:r w:rsidRPr="00386F2A">
        <w:t>COM(</w:t>
      </w:r>
      <w:proofErr w:type="gramEnd"/>
      <w:r w:rsidRPr="00386F2A">
        <w:t xml:space="preserve">2020) 857 final) </w:t>
      </w:r>
    </w:p>
    <w:p w14:paraId="71995E65" w14:textId="7E6A4B7A" w:rsidR="00A45C89" w:rsidRDefault="00A45C89" w:rsidP="00B72DD7">
      <w:pPr>
        <w:pStyle w:val="FootnoteText"/>
      </w:pPr>
      <w:r w:rsidRPr="00386F2A">
        <w:t>This interim period expires on 30 June 2021.</w:t>
      </w:r>
    </w:p>
  </w:footnote>
  <w:footnote w:id="96">
    <w:p w14:paraId="334EAD7E" w14:textId="77777777" w:rsidR="00A45C89" w:rsidRPr="007202CF" w:rsidRDefault="00A45C89" w:rsidP="00B72DD7">
      <w:pPr>
        <w:pStyle w:val="FootnoteText"/>
      </w:pPr>
      <w:r>
        <w:rPr>
          <w:rStyle w:val="FootnoteReference"/>
        </w:rPr>
        <w:footnoteRef/>
      </w:r>
      <w:r>
        <w:t xml:space="preserve"> UK Home Office document: </w:t>
      </w:r>
      <w:r w:rsidRPr="007202CF">
        <w:t xml:space="preserve">National Law Enforcement Data Programme </w:t>
      </w:r>
    </w:p>
    <w:p w14:paraId="6C6289AC" w14:textId="77777777" w:rsidR="00A45C89" w:rsidRPr="007202CF" w:rsidRDefault="00A45C89" w:rsidP="00B72DD7">
      <w:pPr>
        <w:pStyle w:val="FootnoteText"/>
      </w:pPr>
      <w:r w:rsidRPr="007202CF">
        <w:t xml:space="preserve">Law Enforcement Data Service (LEDS) – Privacy Impact Assessment Report </w:t>
      </w:r>
    </w:p>
    <w:p w14:paraId="7821E873" w14:textId="0346372B" w:rsidR="00A45C89" w:rsidRPr="007202CF" w:rsidRDefault="00A45C89" w:rsidP="00B72DD7">
      <w:pPr>
        <w:pStyle w:val="FootnoteText"/>
      </w:pPr>
      <w:r w:rsidRPr="007202CF">
        <w:t>Published: July 2018</w:t>
      </w:r>
      <w:r>
        <w:t>.</w:t>
      </w:r>
      <w:r w:rsidRPr="007202CF">
        <w:t xml:space="preserve"> </w:t>
      </w:r>
    </w:p>
    <w:p w14:paraId="47DF7332" w14:textId="77777777" w:rsidR="00A45C89" w:rsidRPr="007202CF" w:rsidRDefault="00A45C89" w:rsidP="00B72DD7">
      <w:pPr>
        <w:pStyle w:val="FootnoteText"/>
      </w:pPr>
      <w:r w:rsidRPr="007202CF">
        <w:t xml:space="preserve">The key objectives of the Law Enforcement Data Service (LEDS) programme are to: </w:t>
      </w:r>
    </w:p>
    <w:p w14:paraId="625322E6" w14:textId="77777777" w:rsidR="00A45C89" w:rsidRPr="007202CF" w:rsidRDefault="00A45C89" w:rsidP="00B72DD7">
      <w:pPr>
        <w:pStyle w:val="FootnoteText"/>
        <w:numPr>
          <w:ilvl w:val="1"/>
          <w:numId w:val="29"/>
        </w:numPr>
      </w:pPr>
      <w:r w:rsidRPr="007202CF">
        <w:t xml:space="preserve">rationalise national information </w:t>
      </w:r>
      <w:proofErr w:type="gramStart"/>
      <w:r w:rsidRPr="007202CF">
        <w:t>systems;</w:t>
      </w:r>
      <w:proofErr w:type="gramEnd"/>
      <w:r w:rsidRPr="007202CF">
        <w:t xml:space="preserve"> </w:t>
      </w:r>
    </w:p>
    <w:p w14:paraId="2A6EB450" w14:textId="77777777" w:rsidR="00A45C89" w:rsidRPr="007202CF" w:rsidRDefault="00A45C89" w:rsidP="00B72DD7">
      <w:pPr>
        <w:pStyle w:val="FootnoteText"/>
        <w:numPr>
          <w:ilvl w:val="1"/>
          <w:numId w:val="29"/>
        </w:numPr>
      </w:pPr>
      <w:r w:rsidRPr="007202CF">
        <w:t xml:space="preserve">enhance the national information data </w:t>
      </w:r>
      <w:proofErr w:type="gramStart"/>
      <w:r w:rsidRPr="007202CF">
        <w:t>set;</w:t>
      </w:r>
      <w:proofErr w:type="gramEnd"/>
      <w:r w:rsidRPr="007202CF">
        <w:t xml:space="preserve"> </w:t>
      </w:r>
    </w:p>
    <w:p w14:paraId="740823F8" w14:textId="77777777" w:rsidR="00A45C89" w:rsidRPr="007202CF" w:rsidRDefault="00A45C89" w:rsidP="00B72DD7">
      <w:pPr>
        <w:pStyle w:val="FootnoteText"/>
        <w:numPr>
          <w:ilvl w:val="1"/>
          <w:numId w:val="29"/>
        </w:numPr>
      </w:pPr>
      <w:r w:rsidRPr="007202CF">
        <w:t xml:space="preserve">deliver more service capabilities from the national information data set; and </w:t>
      </w:r>
    </w:p>
    <w:p w14:paraId="35EA49E7" w14:textId="02A8C4EC" w:rsidR="00A45C89" w:rsidRDefault="00A45C89" w:rsidP="00B72DD7">
      <w:pPr>
        <w:pStyle w:val="FootnoteText"/>
        <w:numPr>
          <w:ilvl w:val="1"/>
          <w:numId w:val="29"/>
        </w:numPr>
      </w:pPr>
      <w:r w:rsidRPr="007202CF">
        <w:t xml:space="preserve">reduce the cost of providing and maintaining national information. </w:t>
      </w:r>
    </w:p>
  </w:footnote>
  <w:footnote w:id="97">
    <w:p w14:paraId="7A38DF8F" w14:textId="522061D2" w:rsidR="00A45C89" w:rsidRDefault="00A45C89" w:rsidP="00B72DD7">
      <w:pPr>
        <w:pStyle w:val="FootnoteText"/>
      </w:pPr>
      <w:r>
        <w:rPr>
          <w:rStyle w:val="FootnoteReference"/>
        </w:rPr>
        <w:footnoteRef/>
      </w:r>
      <w:r>
        <w:t xml:space="preserve"> Parliamentary questions on LEDS:</w:t>
      </w:r>
    </w:p>
    <w:p w14:paraId="18001BDE" w14:textId="5423B034" w:rsidR="00A45C89" w:rsidRPr="004F0863" w:rsidRDefault="00A45C89" w:rsidP="00B72DD7">
      <w:pPr>
        <w:pStyle w:val="FootnoteText"/>
      </w:pPr>
      <w:r w:rsidRPr="004F0863">
        <w:t>The programme had expected to transition all users of PNC to LEDS by December 2021 and decommission PNC by June 2022. The programme is now targeting the transition of PNC users to LEDS by June 2023 and the decommission of PNC by December 2023.</w:t>
      </w:r>
    </w:p>
    <w:p w14:paraId="573F5E91" w14:textId="782BA450" w:rsidR="00A45C89" w:rsidRPr="004F0863" w:rsidRDefault="00A45C89" w:rsidP="00B72DD7">
      <w:pPr>
        <w:pStyle w:val="FootnoteText"/>
      </w:pPr>
      <w:r w:rsidRPr="004F0863">
        <w:t>The programme had expected to transition all users of PND to LEDS by June 2023 and decommission PND by December 2023. The programme is now targeting the transition of PND users to LEDS by September 2024 and the decommission of PND by March 2025.</w:t>
      </w:r>
    </w:p>
    <w:p w14:paraId="4029DD96" w14:textId="6EC54425" w:rsidR="00A45C89" w:rsidRDefault="00A45C89" w:rsidP="00B72DD7">
      <w:pPr>
        <w:pStyle w:val="FootnoteText"/>
      </w:pPr>
      <w:r w:rsidRPr="004F0863">
        <w:t>https://questions-statements.parliament.uk/written-questions/detail/2020-11-02/110205</w:t>
      </w:r>
    </w:p>
  </w:footnote>
  <w:footnote w:id="98">
    <w:p w14:paraId="23BD23F3" w14:textId="4E24DB39" w:rsidR="00A45C89" w:rsidRDefault="00A45C89" w:rsidP="00B72DD7">
      <w:pPr>
        <w:pStyle w:val="FootnoteText"/>
      </w:pPr>
      <w:r>
        <w:rPr>
          <w:rStyle w:val="FootnoteReference"/>
        </w:rPr>
        <w:footnoteRef/>
      </w:r>
      <w:r>
        <w:t xml:space="preserve"> See Privacy International: </w:t>
      </w:r>
      <w:r w:rsidRPr="00D024C3">
        <w:t>https://privacyinternational.org/long-read/4122/over-policing-future-development-uk-law-enforcement-data-service-leds</w:t>
      </w:r>
    </w:p>
  </w:footnote>
  <w:footnote w:id="99">
    <w:p w14:paraId="2F4D05CA" w14:textId="6B0D375A" w:rsidR="00A45C89" w:rsidRDefault="00A45C89" w:rsidP="00B72DD7">
      <w:pPr>
        <w:pStyle w:val="FootnoteText"/>
      </w:pPr>
      <w:r>
        <w:rPr>
          <w:rStyle w:val="FootnoteReference"/>
        </w:rPr>
        <w:footnoteRef/>
      </w:r>
      <w:r>
        <w:t xml:space="preserve"> BBC News: </w:t>
      </w:r>
      <w:r w:rsidRPr="00C9692E">
        <w:t>Technical issue resolved after 150,000 police records lost</w:t>
      </w:r>
      <w:r>
        <w:t xml:space="preserve">. 15 </w:t>
      </w:r>
      <w:proofErr w:type="gramStart"/>
      <w:r>
        <w:t>January,</w:t>
      </w:r>
      <w:proofErr w:type="gramEnd"/>
      <w:r>
        <w:t xml:space="preserve"> 2021. </w:t>
      </w:r>
      <w:hyperlink r:id="rId10" w:history="1">
        <w:r w:rsidRPr="006E74EF">
          <w:rPr>
            <w:rStyle w:val="Hyperlink"/>
          </w:rPr>
          <w:t>https://www.bbc.co.uk/news/uk-55672194</w:t>
        </w:r>
      </w:hyperlink>
    </w:p>
    <w:p w14:paraId="57B5DAA9" w14:textId="12CE416F" w:rsidR="00A45C89" w:rsidRDefault="00A45C89" w:rsidP="00B72DD7">
      <w:pPr>
        <w:pStyle w:val="FootnoteText"/>
      </w:pPr>
      <w:r>
        <w:t xml:space="preserve">See also the letter from the Home Affairs Committee (UK) 15 </w:t>
      </w:r>
      <w:proofErr w:type="gramStart"/>
      <w:r>
        <w:t>January,</w:t>
      </w:r>
      <w:proofErr w:type="gramEnd"/>
      <w:r>
        <w:t xml:space="preserve"> 2021.</w:t>
      </w:r>
    </w:p>
    <w:p w14:paraId="7BED3F58" w14:textId="16BCC2F0" w:rsidR="00A45C89" w:rsidRDefault="00CB7864" w:rsidP="00B72DD7">
      <w:pPr>
        <w:pStyle w:val="FootnoteText"/>
      </w:pPr>
      <w:hyperlink r:id="rId11" w:history="1">
        <w:r w:rsidR="00A45C89" w:rsidRPr="006E74EF">
          <w:rPr>
            <w:rStyle w:val="Hyperlink"/>
          </w:rPr>
          <w:t>https://committees.parliament.uk/publications/4321/documents/43864/default/</w:t>
        </w:r>
      </w:hyperlink>
    </w:p>
  </w:footnote>
  <w:footnote w:id="100">
    <w:p w14:paraId="0DCF0C3B" w14:textId="4285A0DE" w:rsidR="00A45C89" w:rsidRDefault="00A45C89" w:rsidP="00B72DD7">
      <w:pPr>
        <w:pStyle w:val="FootnoteText"/>
      </w:pPr>
      <w:r>
        <w:rPr>
          <w:rStyle w:val="FootnoteReference"/>
        </w:rPr>
        <w:footnoteRef/>
      </w:r>
      <w:r>
        <w:t xml:space="preserve"> </w:t>
      </w:r>
      <w:r w:rsidRPr="00442647">
        <w:t>Regulation (EU) 2018/1862 of the European Parliament and of the Council</w:t>
      </w:r>
      <w:r>
        <w:t xml:space="preserve"> </w:t>
      </w:r>
      <w:r w:rsidRPr="00442647">
        <w:t xml:space="preserve">constitutes the legal basis for SIS in respect of matters falling within the scope of Chapters 4 and 5 of Title V of Part Three of the Treaty on Functioning of the European Union (TFEU). </w:t>
      </w:r>
    </w:p>
    <w:p w14:paraId="35A8CD47" w14:textId="020FAA6B" w:rsidR="00A45C89" w:rsidRDefault="00A45C89" w:rsidP="00B72DD7">
      <w:pPr>
        <w:pStyle w:val="FootnoteText"/>
      </w:pPr>
      <w:r>
        <w:t xml:space="preserve">Noting: </w:t>
      </w:r>
      <w:r w:rsidRPr="00DD7794">
        <w:t>The European Union Agency for Law Enforcement Cooperation (Europol)</w:t>
      </w:r>
      <w:r>
        <w:t xml:space="preserve"> was </w:t>
      </w:r>
      <w:r w:rsidRPr="00DD7794">
        <w:t>established by Regulation (EU) 2016/794 of the European Parliament and of the Council</w:t>
      </w:r>
      <w:r>
        <w:t xml:space="preserve"> and </w:t>
      </w:r>
      <w:r w:rsidRPr="00DD7794">
        <w:t xml:space="preserve">plays an important role in the use of SIS and in the exchange of supplementary information with Member States on SIS alerts </w:t>
      </w:r>
    </w:p>
  </w:footnote>
  <w:footnote w:id="101">
    <w:p w14:paraId="2545CE7F" w14:textId="35AC638B" w:rsidR="00A45C89" w:rsidRDefault="00A45C89" w:rsidP="00B72DD7">
      <w:pPr>
        <w:pStyle w:val="FootnoteText"/>
      </w:pPr>
      <w:r>
        <w:rPr>
          <w:rStyle w:val="FootnoteReference"/>
        </w:rPr>
        <w:footnoteRef/>
      </w:r>
      <w:r>
        <w:t xml:space="preserve"> </w:t>
      </w:r>
      <w:r w:rsidRPr="00295531">
        <w:t>The security relationship between the UK and EU, following the end of the transition period on 31 December 2020, is set out as part of the Trade and Cooperation Agreement. The agreement creates significant changes to the mechanisms and policies that support law enforcement and judicial cooperation</w:t>
      </w:r>
      <w:r>
        <w:t xml:space="preserve"> (</w:t>
      </w:r>
      <w:r w:rsidRPr="00295531">
        <w:t xml:space="preserve">Brussels, 25.12.2020 </w:t>
      </w:r>
      <w:proofErr w:type="gramStart"/>
      <w:r w:rsidRPr="00295531">
        <w:t>COM(</w:t>
      </w:r>
      <w:proofErr w:type="gramEnd"/>
      <w:r w:rsidRPr="00295531">
        <w:t>2020) 857 final</w:t>
      </w:r>
      <w:r>
        <w:t>)</w:t>
      </w:r>
      <w:r w:rsidRPr="00295531">
        <w:t xml:space="preserve"> </w:t>
      </w:r>
    </w:p>
  </w:footnote>
  <w:footnote w:id="102">
    <w:p w14:paraId="76816A38" w14:textId="77777777" w:rsidR="00A45C89" w:rsidRPr="00324A49" w:rsidRDefault="00A45C89" w:rsidP="00B72DD7">
      <w:pPr>
        <w:pStyle w:val="FootnoteText"/>
      </w:pPr>
      <w:r>
        <w:rPr>
          <w:rStyle w:val="FootnoteReference"/>
        </w:rPr>
        <w:footnoteRef/>
      </w:r>
      <w:r>
        <w:t xml:space="preserve"> </w:t>
      </w:r>
      <w:r w:rsidRPr="00324A49">
        <w:t>Currently SIS II is used by 29 countries (25 EU MS + 4 Associated Countries).</w:t>
      </w:r>
    </w:p>
    <w:p w14:paraId="5DD4D490" w14:textId="0C501188" w:rsidR="00A45C89" w:rsidRPr="00324A49" w:rsidRDefault="00A45C89" w:rsidP="00B72DD7">
      <w:pPr>
        <w:pStyle w:val="FootnoteText"/>
      </w:pPr>
      <w:r w:rsidRPr="00324A49">
        <w:t>25 EU</w:t>
      </w:r>
      <w:r>
        <w:t xml:space="preserve"> are</w:t>
      </w:r>
      <w:r w:rsidRPr="00324A49">
        <w:t>: Austria; Belgium; Bulgaria; Croatia; Czech Republic; Denmark; Estonia; Finland; France; Germany; Greece; Hungary; Italy; Latvia; Lithuania; Luxembourg; Malta; the Netherlands; Poland; Portugal; Romania; Slovakia; Slovenia; Spain; Sweden</w:t>
      </w:r>
    </w:p>
    <w:p w14:paraId="7F71778F" w14:textId="4CBFC949" w:rsidR="00A45C89" w:rsidRDefault="00A45C89" w:rsidP="00B72DD7">
      <w:pPr>
        <w:pStyle w:val="FootnoteText"/>
      </w:pPr>
      <w:r>
        <w:t xml:space="preserve">The </w:t>
      </w:r>
      <w:r w:rsidRPr="00324A49">
        <w:t xml:space="preserve">Associated Countries connected to SIS II </w:t>
      </w:r>
      <w:proofErr w:type="gramStart"/>
      <w:r w:rsidRPr="00324A49">
        <w:t>are:</w:t>
      </w:r>
      <w:proofErr w:type="gramEnd"/>
      <w:r w:rsidRPr="00324A49">
        <w:t xml:space="preserve"> Iceland; Liechtenstein; Norway and Switzerland.</w:t>
      </w:r>
    </w:p>
    <w:p w14:paraId="7499D3C7" w14:textId="41FFCA50" w:rsidR="00A45C89" w:rsidRDefault="00A45C89" w:rsidP="00B72DD7">
      <w:pPr>
        <w:pStyle w:val="FootnoteText"/>
      </w:pPr>
      <w:r>
        <w:t>The UK is not an EU or an associated country – as it currently stands.</w:t>
      </w:r>
    </w:p>
  </w:footnote>
  <w:footnote w:id="103">
    <w:p w14:paraId="0C256F36" w14:textId="42864DBB" w:rsidR="00A45C89" w:rsidRDefault="00A45C89" w:rsidP="00B72DD7">
      <w:pPr>
        <w:pStyle w:val="FootnoteText"/>
      </w:pPr>
      <w:r w:rsidRPr="000D4B6D">
        <w:rPr>
          <w:rStyle w:val="FootnoteReference"/>
        </w:rPr>
        <w:footnoteRef/>
      </w:r>
      <w:r>
        <w:t xml:space="preserve"> ECRIS is the </w:t>
      </w:r>
      <w:r w:rsidRPr="001F7507">
        <w:t xml:space="preserve">European Criminal Records Information System </w:t>
      </w:r>
      <w:r>
        <w:t>and was</w:t>
      </w:r>
      <w:r w:rsidRPr="001F7507">
        <w:t xml:space="preserve"> established in April 2012 in order to improve the exchange of information on criminal records throughout the EU. All EU countries are currently connected to ECRIS</w:t>
      </w:r>
      <w:r>
        <w:t xml:space="preserve"> – the UK, since leaving the EU, is not.</w:t>
      </w:r>
    </w:p>
    <w:p w14:paraId="6A69E5DB" w14:textId="5FF3197B" w:rsidR="00A45C89" w:rsidRDefault="00A45C89" w:rsidP="00B72DD7">
      <w:pPr>
        <w:pStyle w:val="FootnoteText"/>
      </w:pPr>
      <w:r w:rsidRPr="00A66325">
        <w:t>https://ec.europa.eu/info/law/cross-border-cases/judicial-cooperation/tools-judicial-cooperation/european-criminal-records-information-system-ecris_en</w:t>
      </w:r>
    </w:p>
  </w:footnote>
  <w:footnote w:id="104">
    <w:p w14:paraId="62E597A1" w14:textId="1D6731B4" w:rsidR="00A45C89" w:rsidRDefault="00A45C89" w:rsidP="00B72DD7">
      <w:pPr>
        <w:pStyle w:val="FootnoteText"/>
      </w:pPr>
      <w:r>
        <w:rPr>
          <w:rStyle w:val="FootnoteReference"/>
        </w:rPr>
        <w:footnoteRef/>
      </w:r>
      <w:r>
        <w:t xml:space="preserve"> UK Parliament - </w:t>
      </w:r>
      <w:r w:rsidRPr="005B77D4">
        <w:t>Security cooperation with the European Union examined</w:t>
      </w:r>
      <w:r>
        <w:t xml:space="preserve"> (9/10 </w:t>
      </w:r>
      <w:proofErr w:type="gramStart"/>
      <w:r>
        <w:t>February,</w:t>
      </w:r>
      <w:proofErr w:type="gramEnd"/>
      <w:r>
        <w:t xml:space="preserve"> 2021)</w:t>
      </w:r>
    </w:p>
    <w:p w14:paraId="2B597066" w14:textId="2BB5DE6C" w:rsidR="00A45C89" w:rsidRDefault="00A45C89" w:rsidP="00B72DD7">
      <w:pPr>
        <w:pStyle w:val="FootnoteText"/>
      </w:pPr>
      <w:r w:rsidRPr="005B77D4">
        <w:t>https://committees.parliament.uk/committee/83/home-affairs-committee/news/139076/security-cooperation-with-the-european-union-examined/</w:t>
      </w:r>
    </w:p>
  </w:footnote>
  <w:footnote w:id="105">
    <w:p w14:paraId="41E86C0E" w14:textId="49A02AB8" w:rsidR="00A45C89" w:rsidRDefault="00A45C89" w:rsidP="00B72DD7">
      <w:pPr>
        <w:pStyle w:val="FootnoteText"/>
      </w:pPr>
      <w:r>
        <w:rPr>
          <w:rStyle w:val="FootnoteReference"/>
        </w:rPr>
        <w:footnoteRef/>
      </w:r>
      <w:r>
        <w:t xml:space="preserve"> Including on the Europol website.</w:t>
      </w:r>
    </w:p>
  </w:footnote>
  <w:footnote w:id="106">
    <w:p w14:paraId="176EDFF8" w14:textId="3891BE4C" w:rsidR="00A45C89" w:rsidRDefault="00A45C89" w:rsidP="00B72DD7">
      <w:pPr>
        <w:pStyle w:val="FootnoteText"/>
      </w:pPr>
      <w:r>
        <w:rPr>
          <w:rStyle w:val="FootnoteReference"/>
        </w:rPr>
        <w:footnoteRef/>
      </w:r>
      <w:r>
        <w:t xml:space="preserve"> Conversation on Thursday 18 February by the author with Europol.</w:t>
      </w:r>
    </w:p>
  </w:footnote>
  <w:footnote w:id="107">
    <w:p w14:paraId="42C8561A" w14:textId="36A26D92" w:rsidR="00A45C89" w:rsidRDefault="00A45C89" w:rsidP="00B72DD7">
      <w:pPr>
        <w:pStyle w:val="FootnoteText"/>
      </w:pPr>
      <w:r>
        <w:rPr>
          <w:rStyle w:val="FootnoteReference"/>
        </w:rPr>
        <w:footnoteRef/>
      </w:r>
      <w:r>
        <w:t xml:space="preserve"> </w:t>
      </w:r>
      <w:r w:rsidRPr="005B328F">
        <w:t xml:space="preserve">Due to </w:t>
      </w:r>
      <w:r>
        <w:t xml:space="preserve">the </w:t>
      </w:r>
      <w:r w:rsidRPr="005B328F">
        <w:t xml:space="preserve">BREXIT measurements, </w:t>
      </w:r>
      <w:r>
        <w:t>as of 1</w:t>
      </w:r>
      <w:r w:rsidRPr="005B328F">
        <w:rPr>
          <w:vertAlign w:val="superscript"/>
        </w:rPr>
        <w:t>st</w:t>
      </w:r>
      <w:r>
        <w:t xml:space="preserve"> January 2021, </w:t>
      </w:r>
      <w:r w:rsidRPr="005B328F">
        <w:t xml:space="preserve">the UK </w:t>
      </w:r>
      <w:r>
        <w:t xml:space="preserve">is </w:t>
      </w:r>
      <w:r w:rsidRPr="005B328F">
        <w:t>no longer</w:t>
      </w:r>
      <w:r>
        <w:t xml:space="preserve"> able to</w:t>
      </w:r>
      <w:r w:rsidRPr="005B328F">
        <w:t xml:space="preserve"> participate</w:t>
      </w:r>
      <w:r>
        <w:t xml:space="preserve"> in certain systems</w:t>
      </w:r>
      <w:r w:rsidRPr="005B328F">
        <w:t xml:space="preserve"> </w:t>
      </w:r>
      <w:r>
        <w:t xml:space="preserve">(i.e. - </w:t>
      </w:r>
      <w:r w:rsidRPr="005B328F">
        <w:t>the VDL, ERRU, RESPER, CBE and VAT services</w:t>
      </w:r>
      <w:r>
        <w:t>). It continues to explore solutions: for example, w</w:t>
      </w:r>
      <w:r w:rsidRPr="005B328F">
        <w:t>hen it comes to the services based on the EUCARIS Treaty (</w:t>
      </w:r>
      <w:proofErr w:type="spellStart"/>
      <w:r w:rsidRPr="005B328F">
        <w:t>VHInfo</w:t>
      </w:r>
      <w:proofErr w:type="spellEnd"/>
      <w:r w:rsidRPr="005B328F">
        <w:t xml:space="preserve">, </w:t>
      </w:r>
      <w:proofErr w:type="spellStart"/>
      <w:r w:rsidRPr="005B328F">
        <w:t>DLInfo</w:t>
      </w:r>
      <w:proofErr w:type="spellEnd"/>
      <w:r w:rsidRPr="005B328F">
        <w:t xml:space="preserve">/AVI), the EUCARIS Operations Team and </w:t>
      </w:r>
      <w:r>
        <w:t>the UK Driver and Vehicle Licensing Agency (</w:t>
      </w:r>
      <w:r w:rsidRPr="005B328F">
        <w:t>DVLA</w:t>
      </w:r>
      <w:r>
        <w:t>)</w:t>
      </w:r>
      <w:r w:rsidRPr="005B328F">
        <w:t xml:space="preserve"> are currently looking into the options for a connection via internet.</w:t>
      </w:r>
    </w:p>
    <w:p w14:paraId="64EFD3D2" w14:textId="33E32BCF" w:rsidR="00A45C89" w:rsidRDefault="00A45C89" w:rsidP="00B72DD7">
      <w:pPr>
        <w:pStyle w:val="FootnoteText"/>
      </w:pPr>
      <w:r>
        <w:rPr>
          <w:b/>
          <w:bCs/>
        </w:rPr>
        <w:t>Overview</w:t>
      </w:r>
      <w:r w:rsidRPr="005B328F">
        <w:rPr>
          <w:b/>
          <w:bCs/>
        </w:rPr>
        <w:t xml:space="preserve"> </w:t>
      </w:r>
      <w:r>
        <w:rPr>
          <w:b/>
          <w:bCs/>
        </w:rPr>
        <w:t xml:space="preserve">of the </w:t>
      </w:r>
      <w:r w:rsidRPr="005B328F">
        <w:rPr>
          <w:b/>
          <w:bCs/>
        </w:rPr>
        <w:t>UK</w:t>
      </w:r>
      <w:r>
        <w:rPr>
          <w:b/>
          <w:bCs/>
        </w:rPr>
        <w:t xml:space="preserve"> situation (Jan. 2021):</w:t>
      </w:r>
      <w:r w:rsidRPr="005B328F">
        <w:rPr>
          <w:b/>
          <w:bCs/>
        </w:rPr>
        <w:t> </w:t>
      </w:r>
      <w:r w:rsidRPr="005B328F">
        <w:br/>
      </w:r>
      <w:r>
        <w:t>It is o</w:t>
      </w:r>
      <w:r w:rsidRPr="005B328F">
        <w:t>nly</w:t>
      </w:r>
      <w:r>
        <w:t xml:space="preserve"> able to</w:t>
      </w:r>
      <w:r w:rsidRPr="005B328F">
        <w:t xml:space="preserve"> exchange tachograph card information based on Council Regulation (EEC) no 3821/85 in combination with the respective AETR Agreement,</w:t>
      </w:r>
      <w:r>
        <w:t xml:space="preserve"> with</w:t>
      </w:r>
      <w:r w:rsidRPr="005B328F">
        <w:t xml:space="preserve"> the </w:t>
      </w:r>
      <w:proofErr w:type="spellStart"/>
      <w:r w:rsidRPr="005B328F">
        <w:t>TACHOnet</w:t>
      </w:r>
      <w:proofErr w:type="spellEnd"/>
      <w:r w:rsidRPr="005B328F">
        <w:t xml:space="preserve"> connection via TESTA stay</w:t>
      </w:r>
      <w:r>
        <w:t>ing</w:t>
      </w:r>
      <w:r w:rsidRPr="005B328F">
        <w:t xml:space="preserve"> available.</w:t>
      </w:r>
      <w:r w:rsidRPr="005B328F">
        <w:br/>
        <w:t xml:space="preserve">All the other EUCARIS/EU-hub services </w:t>
      </w:r>
      <w:r>
        <w:t>were</w:t>
      </w:r>
      <w:r w:rsidRPr="005B328F">
        <w:t xml:space="preserve"> disconnected as from the 1st of January.</w:t>
      </w:r>
      <w:r w:rsidRPr="005B328F">
        <w:br/>
        <w:t xml:space="preserve">– </w:t>
      </w:r>
      <w:proofErr w:type="spellStart"/>
      <w:r w:rsidRPr="005B328F">
        <w:t>VHInfo</w:t>
      </w:r>
      <w:proofErr w:type="spellEnd"/>
      <w:r w:rsidRPr="005B328F">
        <w:t xml:space="preserve">, </w:t>
      </w:r>
      <w:proofErr w:type="spellStart"/>
      <w:r w:rsidRPr="005B328F">
        <w:t>DLInfo</w:t>
      </w:r>
      <w:proofErr w:type="spellEnd"/>
      <w:r w:rsidRPr="005B328F">
        <w:t>, AVI (based on the EUCARIS Treaty);</w:t>
      </w:r>
      <w:r w:rsidRPr="005B328F">
        <w:br/>
        <w:t>– RESPER (3rd Driving Licence Directive 20016/126/EC);</w:t>
      </w:r>
      <w:r w:rsidRPr="005B328F">
        <w:br/>
        <w:t>– ERRU (Regulation (EC) No 1071/2009, 1072/2009, 1073/2009);</w:t>
      </w:r>
      <w:r w:rsidRPr="005B328F">
        <w:br/>
        <w:t>– ERRU/RSI-part (Directive 2014/47/EU) ;</w:t>
      </w:r>
      <w:r w:rsidRPr="005B328F">
        <w:br/>
        <w:t>– CBE (Directive (EU) 2015/413);</w:t>
      </w:r>
      <w:r w:rsidRPr="005B328F">
        <w:br/>
        <w:t>– VAT (Directive 2010/24 EU and 2011/16/EU, Council Regulation (EU) No 904/2010)</w:t>
      </w:r>
      <w:r>
        <w:t>;</w:t>
      </w:r>
    </w:p>
    <w:p w14:paraId="47F44382" w14:textId="16328848" w:rsidR="00A45C89" w:rsidRDefault="00A45C89" w:rsidP="00B72DD7">
      <w:pPr>
        <w:pStyle w:val="FootnoteText"/>
      </w:pPr>
      <w:r>
        <w:t>The</w:t>
      </w:r>
      <w:r w:rsidRPr="005B328F">
        <w:t xml:space="preserve"> </w:t>
      </w:r>
      <w:proofErr w:type="spellStart"/>
      <w:r w:rsidRPr="005B328F">
        <w:t>Prüm</w:t>
      </w:r>
      <w:proofErr w:type="spellEnd"/>
      <w:r w:rsidRPr="005B328F">
        <w:t xml:space="preserve"> Council Decisions</w:t>
      </w:r>
      <w:r>
        <w:t>:</w:t>
      </w:r>
      <w:r w:rsidRPr="005B328F">
        <w:t xml:space="preserve"> the EU-UK Trade Agreement offers a legal base for the exchange of DNA, Fingerprints and Vehicle Data via TESTA. Th</w:t>
      </w:r>
      <w:r>
        <w:t>is said, the</w:t>
      </w:r>
      <w:r w:rsidRPr="005B328F">
        <w:t xml:space="preserve">e respective services for the exchange of vehicle data however are not implemented yet by the </w:t>
      </w:r>
      <w:proofErr w:type="gramStart"/>
      <w:r w:rsidRPr="005B328F">
        <w:t>UK..</w:t>
      </w:r>
      <w:proofErr w:type="gramEnd"/>
    </w:p>
  </w:footnote>
  <w:footnote w:id="108">
    <w:p w14:paraId="628C8290" w14:textId="704E3C11" w:rsidR="00A45C89" w:rsidRDefault="00A45C89" w:rsidP="00B72DD7">
      <w:pPr>
        <w:pStyle w:val="FootnoteText"/>
      </w:pPr>
      <w:r>
        <w:rPr>
          <w:rStyle w:val="FootnoteReference"/>
        </w:rPr>
        <w:footnoteRef/>
      </w:r>
      <w:r>
        <w:t xml:space="preserve"> Emphasis added.</w:t>
      </w:r>
    </w:p>
    <w:p w14:paraId="1C2F39BD" w14:textId="1E5EC9FF" w:rsidR="00A45C89" w:rsidRDefault="00A45C89" w:rsidP="00B72DD7">
      <w:pPr>
        <w:pStyle w:val="FootnoteText"/>
      </w:pPr>
      <w:r>
        <w:t xml:space="preserve">UK Select Committee on EU cooperation – 9/10 February, 2021: </w:t>
      </w:r>
      <w:hyperlink r:id="rId12" w:history="1">
        <w:r w:rsidRPr="006E74EF">
          <w:rPr>
            <w:rStyle w:val="Hyperlink"/>
          </w:rPr>
          <w:t>https://committees.parliament.uk/committee/83/home-affairs-committee/news/139076/security-cooperation-with-the-european-union-examined/</w:t>
        </w:r>
      </w:hyperlink>
    </w:p>
  </w:footnote>
  <w:footnote w:id="109">
    <w:p w14:paraId="2EB68C63" w14:textId="197FACD6" w:rsidR="00A45C89" w:rsidRDefault="00A45C89" w:rsidP="00B72DD7">
      <w:pPr>
        <w:pStyle w:val="FootnoteText"/>
      </w:pPr>
      <w:r w:rsidRPr="00C47F5C">
        <w:rPr>
          <w:rStyle w:val="FootnoteReference"/>
        </w:rPr>
        <w:footnoteRef/>
      </w:r>
      <w:r w:rsidRPr="00C47F5C">
        <w:t xml:space="preserve"> See also FN </w:t>
      </w:r>
      <w:r w:rsidR="00460366" w:rsidRPr="00C47F5C">
        <w:t>–</w:t>
      </w:r>
      <w:r w:rsidRPr="00C47F5C">
        <w:t xml:space="preserve"> 8</w:t>
      </w:r>
      <w:r w:rsidR="00460366" w:rsidRPr="00C47F5C">
        <w:t>4.</w:t>
      </w:r>
    </w:p>
  </w:footnote>
  <w:footnote w:id="110">
    <w:p w14:paraId="615F62DD" w14:textId="4E18BAB8" w:rsidR="00A45C89" w:rsidRDefault="00A45C89" w:rsidP="00B72DD7">
      <w:pPr>
        <w:pStyle w:val="FootnoteText"/>
      </w:pPr>
      <w:r>
        <w:rPr>
          <w:rStyle w:val="FootnoteReference"/>
        </w:rPr>
        <w:footnoteRef/>
      </w:r>
      <w:r>
        <w:t xml:space="preserve"> Protocol </w:t>
      </w:r>
      <w:r w:rsidRPr="00113CEF">
        <w:t>No. 21</w:t>
      </w:r>
      <w:r>
        <w:t xml:space="preserve"> </w:t>
      </w:r>
      <w:r w:rsidRPr="00113CEF">
        <w:t>to the EU Treaties, Articles 3 and 4</w:t>
      </w:r>
      <w:r>
        <w:t>.</w:t>
      </w:r>
      <w:r w:rsidRPr="00113CEF">
        <w:t xml:space="preserve"> </w:t>
      </w:r>
    </w:p>
  </w:footnote>
  <w:footnote w:id="111">
    <w:p w14:paraId="1B579C56" w14:textId="77777777" w:rsidR="00A45C89" w:rsidRPr="00FD6A6F" w:rsidRDefault="00A45C89" w:rsidP="00B72DD7">
      <w:pPr>
        <w:pStyle w:val="FootnoteText"/>
      </w:pPr>
      <w:r>
        <w:rPr>
          <w:rStyle w:val="FootnoteReference"/>
        </w:rPr>
        <w:footnoteRef/>
      </w:r>
      <w:r>
        <w:t xml:space="preserve"> </w:t>
      </w:r>
      <w:r w:rsidRPr="00FD6A6F">
        <w:t xml:space="preserve">Annex D to the Review of the United Kingdom's Extradition Arrangements, presented to the Home </w:t>
      </w:r>
    </w:p>
    <w:p w14:paraId="0B154605" w14:textId="77777777" w:rsidR="00A45C89" w:rsidRPr="00FD6A6F" w:rsidRDefault="00A45C89" w:rsidP="00B72DD7">
      <w:pPr>
        <w:pStyle w:val="FootnoteText"/>
      </w:pPr>
      <w:r w:rsidRPr="00FD6A6F">
        <w:t xml:space="preserve">Secretary on 30 September 2011. </w:t>
      </w:r>
    </w:p>
    <w:p w14:paraId="14CD2A86" w14:textId="035AA55F" w:rsidR="00A45C89" w:rsidRDefault="00A45C89" w:rsidP="00B72DD7">
      <w:pPr>
        <w:pStyle w:val="FootnoteText"/>
      </w:pPr>
      <w:r w:rsidRPr="00FD6A6F">
        <w:t xml:space="preserve">Historical European Arrest Warrant Statistics: Calendar and Financial Year Totals 2004-April 2015, National Crime Agency. </w:t>
      </w:r>
    </w:p>
  </w:footnote>
  <w:footnote w:id="112">
    <w:p w14:paraId="65A4A7D9" w14:textId="2156D94A" w:rsidR="00A45C89" w:rsidRDefault="00A45C89" w:rsidP="00B72DD7">
      <w:pPr>
        <w:pStyle w:val="FootnoteText"/>
      </w:pPr>
      <w:r>
        <w:rPr>
          <w:rStyle w:val="FootnoteReference"/>
        </w:rPr>
        <w:footnoteRef/>
      </w:r>
      <w:r>
        <w:t xml:space="preserve"> Ibid.</w:t>
      </w:r>
    </w:p>
  </w:footnote>
  <w:footnote w:id="113">
    <w:p w14:paraId="55F0DA26" w14:textId="38837EC1" w:rsidR="00A45C89" w:rsidRDefault="00A45C89" w:rsidP="00B72DD7">
      <w:pPr>
        <w:pStyle w:val="FootnoteText"/>
      </w:pPr>
      <w:r w:rsidRPr="00C0118E">
        <w:rPr>
          <w:rStyle w:val="FootnoteReference"/>
        </w:rPr>
        <w:footnoteRef/>
      </w:r>
      <w:r w:rsidRPr="00C0118E">
        <w:t xml:space="preserve"> See at 1.1. of this paper</w:t>
      </w:r>
    </w:p>
  </w:footnote>
  <w:footnote w:id="114">
    <w:p w14:paraId="1FFD9318" w14:textId="304A39EB" w:rsidR="00A45C89" w:rsidRDefault="00A45C89" w:rsidP="00B72DD7">
      <w:pPr>
        <w:pStyle w:val="FootnoteText"/>
      </w:pPr>
      <w:r>
        <w:rPr>
          <w:rStyle w:val="FootnoteReference"/>
        </w:rPr>
        <w:footnoteRef/>
      </w:r>
      <w:r>
        <w:t xml:space="preserve"> In comparison it took 10-years from the French to extradite</w:t>
      </w:r>
      <w:r w:rsidRPr="00324A49">
        <w:t xml:space="preserve"> Rachid </w:t>
      </w:r>
      <w:proofErr w:type="spellStart"/>
      <w:r w:rsidRPr="00324A49">
        <w:t>Ramda</w:t>
      </w:r>
      <w:proofErr w:type="spellEnd"/>
      <w:r>
        <w:t xml:space="preserve"> from the UK prior to the EWA being in place and under the previous arrangements. </w:t>
      </w:r>
      <w:r w:rsidRPr="00324A49">
        <w:t xml:space="preserve"> </w:t>
      </w:r>
      <w:r>
        <w:t>He was</w:t>
      </w:r>
      <w:r w:rsidRPr="00324A49">
        <w:t xml:space="preserve"> convicted of terrorist bombings in Paris in 1995. </w:t>
      </w:r>
    </w:p>
  </w:footnote>
  <w:footnote w:id="115">
    <w:p w14:paraId="517889F4" w14:textId="77777777" w:rsidR="00A45C89" w:rsidRDefault="00A45C89" w:rsidP="00B72DD7">
      <w:pPr>
        <w:pStyle w:val="FootnoteText"/>
      </w:pPr>
      <w:r>
        <w:rPr>
          <w:rStyle w:val="FootnoteReference"/>
        </w:rPr>
        <w:footnoteRef/>
      </w:r>
      <w:r>
        <w:t xml:space="preserve"> UK news outlet – Evening Express – 7 </w:t>
      </w:r>
      <w:proofErr w:type="gramStart"/>
      <w:r>
        <w:t>January,</w:t>
      </w:r>
      <w:proofErr w:type="gramEnd"/>
      <w:r>
        <w:t xml:space="preserve"> 2021.</w:t>
      </w:r>
    </w:p>
    <w:p w14:paraId="18512EA8" w14:textId="77777777" w:rsidR="00A45C89" w:rsidRDefault="00A45C89" w:rsidP="00B72DD7">
      <w:pPr>
        <w:pStyle w:val="FootnoteText"/>
      </w:pPr>
      <w:r w:rsidRPr="00B51040">
        <w:t>https://www.eveningexpress.co.uk/news/uk/uk-not-missing-out-on-crime-intelligence-since-brexit/</w:t>
      </w:r>
    </w:p>
  </w:footnote>
  <w:footnote w:id="116">
    <w:p w14:paraId="3658D6EA" w14:textId="77777777" w:rsidR="00A45C89" w:rsidRDefault="00A45C89" w:rsidP="00B72DD7">
      <w:pPr>
        <w:pStyle w:val="FootnoteText"/>
      </w:pPr>
      <w:r>
        <w:rPr>
          <w:rStyle w:val="FootnoteReference"/>
        </w:rPr>
        <w:footnoteRef/>
      </w:r>
      <w:r>
        <w:t xml:space="preserve"> As identified within Section 3 of this paper.</w:t>
      </w:r>
    </w:p>
  </w:footnote>
  <w:footnote w:id="117">
    <w:p w14:paraId="2ED1A66B" w14:textId="77777777" w:rsidR="00A45C89" w:rsidRDefault="00A45C89" w:rsidP="00B72DD7">
      <w:pPr>
        <w:pStyle w:val="FootnoteText"/>
      </w:pPr>
      <w:r>
        <w:rPr>
          <w:rStyle w:val="FootnoteReference"/>
        </w:rPr>
        <w:footnoteRef/>
      </w:r>
      <w:r>
        <w:t xml:space="preserve"> </w:t>
      </w:r>
      <w:r w:rsidRPr="00E875E0">
        <w:t xml:space="preserve">It was first developed by Sir David </w:t>
      </w:r>
      <w:proofErr w:type="spellStart"/>
      <w:r w:rsidRPr="00E875E0">
        <w:t>Omand</w:t>
      </w:r>
      <w:proofErr w:type="spellEnd"/>
      <w:r w:rsidRPr="00E875E0">
        <w:t xml:space="preserve"> and </w:t>
      </w:r>
      <w:r>
        <w:t>the Home Office in</w:t>
      </w:r>
      <w:r w:rsidRPr="00E875E0">
        <w:t xml:space="preserve"> 2003 </w:t>
      </w:r>
      <w:r>
        <w:t>in the aftermath of</w:t>
      </w:r>
      <w:r w:rsidRPr="00E875E0">
        <w:t xml:space="preserve"> 9/11, </w:t>
      </w:r>
      <w:r>
        <w:t xml:space="preserve">having since been revised several times. </w:t>
      </w:r>
    </w:p>
    <w:p w14:paraId="2C7333E8" w14:textId="0908B9EE" w:rsidR="00A45C89" w:rsidRDefault="00A45C89" w:rsidP="00B72DD7">
      <w:pPr>
        <w:pStyle w:val="FootnoteText"/>
      </w:pPr>
      <w:r w:rsidRPr="005F1DFA">
        <w:t>https://www.gov.uk/government/publications/counter-terrorism-strategy-contest</w:t>
      </w:r>
    </w:p>
  </w:footnote>
  <w:footnote w:id="118">
    <w:p w14:paraId="483E553D" w14:textId="104275FA" w:rsidR="00A45C89" w:rsidRDefault="00A45C89" w:rsidP="00B72DD7">
      <w:pPr>
        <w:pStyle w:val="FootnoteText"/>
      </w:pPr>
      <w:r>
        <w:rPr>
          <w:rStyle w:val="FootnoteReference"/>
        </w:rPr>
        <w:footnoteRef/>
      </w:r>
      <w:r>
        <w:t xml:space="preserve"> </w:t>
      </w:r>
      <w:r w:rsidRPr="00002841">
        <w:t>This framework decision</w:t>
      </w:r>
      <w:r>
        <w:t xml:space="preserve"> (2002/475/JHA)</w:t>
      </w:r>
      <w:r w:rsidRPr="00002841">
        <w:t xml:space="preserve"> and amending decision</w:t>
      </w:r>
      <w:r>
        <w:t xml:space="preserve"> (2008/919/JHA)</w:t>
      </w:r>
      <w:r w:rsidRPr="00002841">
        <w:t xml:space="preserve"> require</w:t>
      </w:r>
      <w:r>
        <w:t>d</w:t>
      </w:r>
      <w:r w:rsidRPr="00002841">
        <w:t xml:space="preserve"> </w:t>
      </w:r>
      <w:r>
        <w:t xml:space="preserve">all </w:t>
      </w:r>
      <w:r w:rsidRPr="00002841">
        <w:t>EU countries</w:t>
      </w:r>
      <w:r>
        <w:t xml:space="preserve"> (hence the UK)</w:t>
      </w:r>
      <w:r w:rsidRPr="00002841">
        <w:t xml:space="preserve"> to align their legislation and introduce minimum penalties regarding terrorist offences. </w:t>
      </w:r>
    </w:p>
  </w:footnote>
  <w:footnote w:id="119">
    <w:p w14:paraId="4582D6F0" w14:textId="23E11A67" w:rsidR="00A45C89" w:rsidRPr="009067CB" w:rsidRDefault="00A45C89" w:rsidP="00B72DD7">
      <w:pPr>
        <w:pStyle w:val="FootnoteText"/>
      </w:pPr>
      <w:r w:rsidRPr="009067CB">
        <w:rPr>
          <w:rStyle w:val="FootnoteReference"/>
        </w:rPr>
        <w:footnoteRef/>
      </w:r>
      <w:r>
        <w:t xml:space="preserve"> </w:t>
      </w:r>
      <w:r w:rsidRPr="009067CB">
        <w:t>Directive (EU) 2016/681 of the European Parliament and of the Council of 27 April on the use of passenger name record (PNR) data for the prevention, detection, investigation and prosecution of terrorist offences and serious crime</w:t>
      </w:r>
      <w:r>
        <w:t xml:space="preserve">. </w:t>
      </w:r>
      <w:r w:rsidRPr="009067CB">
        <w:t>OJ L 119, 4.5.2016, p. 132–149</w:t>
      </w:r>
    </w:p>
    <w:p w14:paraId="7B376FDC" w14:textId="36876F6F" w:rsidR="00A45C89" w:rsidRDefault="00A45C89" w:rsidP="00B72DD7">
      <w:pPr>
        <w:pStyle w:val="FootnoteText"/>
      </w:pPr>
      <w:r>
        <w:t>Also see: the LED (Law Enforcement Directive)</w:t>
      </w:r>
    </w:p>
    <w:p w14:paraId="4A4D1987" w14:textId="153EC4D6" w:rsidR="00A45C89" w:rsidRDefault="00A45C89" w:rsidP="00B72DD7">
      <w:pPr>
        <w:pStyle w:val="FootnoteText"/>
      </w:pPr>
      <w:r w:rsidRPr="009067CB">
        <w:t>Directive (EU) 2016/680 of the European Parliament and of the Council of 27 April 2016 on the protection of natural persons with regard to the processing of personal data by competent authorities for the purposes of the prevention, investigation, detection or prosecution of criminal offences or the execution of criminal penalties, and on the free movement of such data, and repealing Council Framework Decision 2008/977/JHA</w:t>
      </w:r>
    </w:p>
    <w:p w14:paraId="234BC06B" w14:textId="74D71B18" w:rsidR="00A45C89" w:rsidRDefault="00A45C89" w:rsidP="00B72DD7">
      <w:pPr>
        <w:pStyle w:val="FootnoteText"/>
      </w:pPr>
      <w:r w:rsidRPr="009067CB">
        <w:t>OJ L 119, 4.5.2016, p. 89–131</w:t>
      </w:r>
    </w:p>
  </w:footnote>
  <w:footnote w:id="120">
    <w:p w14:paraId="5B39D139" w14:textId="49246C36" w:rsidR="00A45C89" w:rsidRDefault="00A45C89" w:rsidP="00B72DD7">
      <w:pPr>
        <w:pStyle w:val="FootnoteText"/>
      </w:pPr>
      <w:r>
        <w:rPr>
          <w:rStyle w:val="FootnoteReference"/>
        </w:rPr>
        <w:footnoteRef/>
      </w:r>
      <w:r>
        <w:t xml:space="preserve"> </w:t>
      </w:r>
      <w:r w:rsidRPr="009067CB">
        <w:t xml:space="preserve">The national legislation transposing the Directive </w:t>
      </w:r>
      <w:r>
        <w:t>provided the</w:t>
      </w:r>
      <w:r w:rsidRPr="009067CB">
        <w:t xml:space="preserve"> legal basis for the collection and processing of PNR data </w:t>
      </w:r>
      <w:r>
        <w:t>this was in accordance with the</w:t>
      </w:r>
      <w:r w:rsidRPr="009067CB">
        <w:t xml:space="preserve"> horizontal provisions, in particular those of Directive (EU) 2016/6803 ("the Police Directive") which replace</w:t>
      </w:r>
      <w:r>
        <w:t>d</w:t>
      </w:r>
      <w:r w:rsidRPr="009067CB">
        <w:t xml:space="preserve"> Framework Decision 2008/977/</w:t>
      </w:r>
      <w:proofErr w:type="gramStart"/>
      <w:r w:rsidRPr="009067CB">
        <w:t>JHA</w:t>
      </w:r>
      <w:proofErr w:type="gramEnd"/>
      <w:r w:rsidRPr="009067CB">
        <w:t xml:space="preserve"> and which </w:t>
      </w:r>
      <w:r>
        <w:t>needed</w:t>
      </w:r>
      <w:r w:rsidRPr="009067CB">
        <w:t xml:space="preserve"> to be transposed, save exceptional circumstances, by 6 May 2018 i.e. before the deadline for transposition of the EU PNR Directive. </w:t>
      </w:r>
    </w:p>
  </w:footnote>
  <w:footnote w:id="121">
    <w:p w14:paraId="7DA4893D" w14:textId="48787A5F" w:rsidR="00A45C89" w:rsidRPr="009B3604" w:rsidRDefault="00A45C89" w:rsidP="00B72DD7">
      <w:pPr>
        <w:pStyle w:val="FootnoteText"/>
      </w:pPr>
      <w:r>
        <w:rPr>
          <w:rStyle w:val="FootnoteReference"/>
        </w:rPr>
        <w:footnoteRef/>
      </w:r>
      <w:r>
        <w:t xml:space="preserve"> Taken from the o</w:t>
      </w:r>
      <w:r w:rsidRPr="009B3604">
        <w:t>ral statement to Parliament</w:t>
      </w:r>
      <w:r>
        <w:t xml:space="preserve"> on the proposal for an </w:t>
      </w:r>
      <w:r w:rsidRPr="009B3604">
        <w:t>EU Directive on Passenger Name Records</w:t>
      </w:r>
      <w:r w:rsidRPr="009067CB">
        <w:t>.</w:t>
      </w:r>
      <w:r>
        <w:rPr>
          <w:b/>
          <w:bCs/>
        </w:rPr>
        <w:t xml:space="preserve"> </w:t>
      </w:r>
      <w:r>
        <w:t>Given</w:t>
      </w:r>
      <w:r w:rsidRPr="009B3604">
        <w:t xml:space="preserve"> to the House of Commons by the minister for immigration on Tuesday 10 May 2011.</w:t>
      </w:r>
    </w:p>
    <w:p w14:paraId="1160CEA7" w14:textId="5EEB1F17" w:rsidR="00A45C89" w:rsidRDefault="00A45C89" w:rsidP="00B72DD7">
      <w:pPr>
        <w:pStyle w:val="FootnoteText"/>
      </w:pPr>
      <w:r w:rsidRPr="009B3604">
        <w:t>https://www.gov.uk/government/speeches/eu-directive-on-passenger-name-records</w:t>
      </w:r>
    </w:p>
  </w:footnote>
  <w:footnote w:id="122">
    <w:p w14:paraId="6C5C291C" w14:textId="5DF13DDB" w:rsidR="00A45C89" w:rsidRDefault="00A45C89" w:rsidP="00B72DD7">
      <w:pPr>
        <w:pStyle w:val="FootnoteText"/>
      </w:pPr>
      <w:r>
        <w:rPr>
          <w:rStyle w:val="FootnoteReference"/>
        </w:rPr>
        <w:footnoteRef/>
      </w:r>
      <w:r>
        <w:t xml:space="preserve"> </w:t>
      </w:r>
      <w:r w:rsidRPr="009067CB">
        <w:t>Passenger Name Record Data and Miscellaneous Amendments Regulations 2018</w:t>
      </w:r>
      <w:r>
        <w:t>. It</w:t>
      </w:r>
      <w:r w:rsidRPr="009067CB">
        <w:t xml:space="preserve"> c</w:t>
      </w:r>
      <w:r>
        <w:t>a</w:t>
      </w:r>
      <w:r w:rsidRPr="009067CB">
        <w:t xml:space="preserve">me into force on 25th May 2018. </w:t>
      </w:r>
      <w:r>
        <w:t>Statutory Instrument: 598 refers.</w:t>
      </w:r>
    </w:p>
  </w:footnote>
  <w:footnote w:id="123">
    <w:p w14:paraId="2D01DA72" w14:textId="2F5DB822" w:rsidR="00A45C89" w:rsidRDefault="00A45C89" w:rsidP="00B72DD7">
      <w:pPr>
        <w:pStyle w:val="FootnoteText"/>
      </w:pPr>
      <w:r>
        <w:rPr>
          <w:rStyle w:val="FootnoteReference"/>
        </w:rPr>
        <w:footnoteRef/>
      </w:r>
      <w:r>
        <w:t xml:space="preserve"> </w:t>
      </w:r>
      <w:r w:rsidRPr="0023680E">
        <w:t>A Counter-Terrorism Agenda for the EU</w:t>
      </w:r>
      <w:r>
        <w:t>.</w:t>
      </w:r>
      <w:r w:rsidRPr="0023680E">
        <w:rPr>
          <w:b/>
          <w:sz w:val="24"/>
        </w:rPr>
        <w:t xml:space="preserve"> </w:t>
      </w:r>
      <w:r w:rsidRPr="0023680E">
        <w:t xml:space="preserve">Brussels, 9.12.2020 </w:t>
      </w:r>
      <w:proofErr w:type="gramStart"/>
      <w:r w:rsidRPr="0023680E">
        <w:t>COM(</w:t>
      </w:r>
      <w:proofErr w:type="gramEnd"/>
      <w:r w:rsidRPr="0023680E">
        <w:t>2020) 795 final</w:t>
      </w:r>
      <w:r>
        <w:t>.</w:t>
      </w:r>
      <w:r w:rsidRPr="0023680E">
        <w:t xml:space="preserve">  </w:t>
      </w:r>
    </w:p>
    <w:p w14:paraId="2F049063" w14:textId="0B91FDE1" w:rsidR="00A45C89" w:rsidRDefault="00A45C89" w:rsidP="00B72DD7">
      <w:pPr>
        <w:pStyle w:val="FootnoteText"/>
      </w:pPr>
      <w:r>
        <w:t>Note: the author has a separate paper pending relating purely to the impact and consequences to aviation.</w:t>
      </w:r>
    </w:p>
  </w:footnote>
  <w:footnote w:id="124">
    <w:p w14:paraId="07C05D8C" w14:textId="77777777" w:rsidR="00A45C89" w:rsidRPr="00086A0E" w:rsidRDefault="00A45C89" w:rsidP="00B72DD7">
      <w:pPr>
        <w:pStyle w:val="FootnoteText"/>
      </w:pPr>
      <w:r>
        <w:rPr>
          <w:rStyle w:val="FootnoteReference"/>
        </w:rPr>
        <w:footnoteRef/>
      </w:r>
      <w:r>
        <w:t xml:space="preserve"> </w:t>
      </w:r>
      <w:r w:rsidRPr="00086A0E">
        <w:t xml:space="preserve">This Eurobarometer survey of the European Parliament (EP/EB 89.2) was carried out in all 28 Member </w:t>
      </w:r>
    </w:p>
    <w:p w14:paraId="1ED43F5B" w14:textId="2AD77038" w:rsidR="00A45C89" w:rsidRDefault="00A45C89" w:rsidP="00B72DD7">
      <w:pPr>
        <w:pStyle w:val="FootnoteText"/>
      </w:pPr>
      <w:r w:rsidRPr="00086A0E">
        <w:t>States of the European Union, from 11 until 22 April 2018</w:t>
      </w:r>
      <w:r>
        <w:t>.</w:t>
      </w:r>
      <w:r w:rsidRPr="00086A0E">
        <w:t xml:space="preserve"> </w:t>
      </w:r>
    </w:p>
    <w:p w14:paraId="65234E4C" w14:textId="3B1F8838" w:rsidR="00A45C89" w:rsidRDefault="00A45C89" w:rsidP="00B72DD7">
      <w:pPr>
        <w:pStyle w:val="FootnoteText"/>
      </w:pPr>
      <w:r w:rsidRPr="00851D8C">
        <w:t>https://www.europarl.europa.eu/at-your-service/files/be-heard/eurobarometer/2018/delivering_on_europe_citizens_views_on_current_and_future_eu_action/report.pdf</w:t>
      </w:r>
    </w:p>
  </w:footnote>
  <w:footnote w:id="125">
    <w:p w14:paraId="189BCB66" w14:textId="12A615A4" w:rsidR="00546AD0" w:rsidRDefault="00546AD0">
      <w:pPr>
        <w:pStyle w:val="FootnoteText"/>
      </w:pPr>
      <w:r>
        <w:rPr>
          <w:rStyle w:val="FootnoteReference"/>
        </w:rPr>
        <w:footnoteRef/>
      </w:r>
      <w:r>
        <w:t xml:space="preserve"> I would identify that I voted to stay a member of the EU – having studied EU law and policy, transport, security/safety and policing for a number of years.</w:t>
      </w:r>
    </w:p>
  </w:footnote>
  <w:footnote w:id="126">
    <w:p w14:paraId="05A54F3C" w14:textId="5F799275" w:rsidR="00A45C89" w:rsidRDefault="00A45C89" w:rsidP="00B72DD7">
      <w:pPr>
        <w:pStyle w:val="FootnoteText"/>
      </w:pPr>
      <w:r w:rsidRPr="00680F1F">
        <w:rPr>
          <w:rStyle w:val="FootnoteReference"/>
        </w:rPr>
        <w:footnoteRef/>
      </w:r>
      <w:r>
        <w:t xml:space="preserve"> </w:t>
      </w:r>
      <w:r w:rsidRPr="003318A3">
        <w:t>Press release</w:t>
      </w:r>
      <w:r>
        <w:t xml:space="preserve">: </w:t>
      </w:r>
      <w:r w:rsidRPr="003318A3">
        <w:t>UK government welcomes the European Commission’s draft data adequacy decisions</w:t>
      </w:r>
    </w:p>
    <w:p w14:paraId="55F4715D" w14:textId="5F36C026" w:rsidR="00A45C89" w:rsidRPr="003318A3" w:rsidRDefault="00A45C89" w:rsidP="00B72DD7">
      <w:pPr>
        <w:pStyle w:val="FootnoteText"/>
      </w:pPr>
      <w:r>
        <w:t xml:space="preserve">Department for Digital, Culture, Media and Sport. 19 </w:t>
      </w:r>
      <w:proofErr w:type="gramStart"/>
      <w:r>
        <w:t>February,</w:t>
      </w:r>
      <w:proofErr w:type="gramEnd"/>
      <w:r>
        <w:t xml:space="preserve"> 2021.</w:t>
      </w:r>
    </w:p>
    <w:p w14:paraId="50DD1F7A" w14:textId="71287BFF" w:rsidR="00A45C89" w:rsidRDefault="00A45C89" w:rsidP="00B72DD7">
      <w:pPr>
        <w:pStyle w:val="FootnoteText"/>
      </w:pPr>
      <w:r w:rsidRPr="00275753">
        <w:t>https://www.gov.uk/government/news/uk-government-welcomes-the-european-commissions-draft-data-adequacy-decisions</w:t>
      </w:r>
    </w:p>
  </w:footnote>
  <w:footnote w:id="127">
    <w:p w14:paraId="4F631D27" w14:textId="3852F32A" w:rsidR="00A45C89" w:rsidRDefault="00A45C89" w:rsidP="00B72DD7">
      <w:pPr>
        <w:pStyle w:val="FootnoteText"/>
      </w:pPr>
      <w:r>
        <w:rPr>
          <w:rStyle w:val="FootnoteReference"/>
        </w:rPr>
        <w:footnoteRef/>
      </w:r>
      <w:r>
        <w:t xml:space="preserve"> Ibid.</w:t>
      </w:r>
    </w:p>
  </w:footnote>
  <w:footnote w:id="128">
    <w:p w14:paraId="7D9407C3" w14:textId="089D916B" w:rsidR="00A45C89" w:rsidRDefault="00A45C89" w:rsidP="00B72DD7">
      <w:pPr>
        <w:pStyle w:val="FootnoteText"/>
      </w:pPr>
      <w:r>
        <w:rPr>
          <w:rStyle w:val="FootnoteReference"/>
        </w:rPr>
        <w:footnoteRef/>
      </w:r>
      <w:r>
        <w:t xml:space="preserve"> Noting: </w:t>
      </w:r>
      <w:r w:rsidRPr="00671387">
        <w:t>Data flows in the other direction – from the UK to the EU – are regulated by UK legislation, which applies since 1 January 2021</w:t>
      </w:r>
      <w:r>
        <w:t>, given that t</w:t>
      </w:r>
      <w:r w:rsidRPr="00671387">
        <w:t>he UK decided that the EU ensures an adequate level of protection and that therefore data can flow freely from the UK to the EU.</w:t>
      </w:r>
    </w:p>
  </w:footnote>
  <w:footnote w:id="129">
    <w:p w14:paraId="5E062349" w14:textId="77777777" w:rsidR="00A45C89" w:rsidRPr="00AB41E9" w:rsidRDefault="00A45C89" w:rsidP="00B72DD7">
      <w:pPr>
        <w:pStyle w:val="FootnoteText"/>
      </w:pPr>
      <w:r w:rsidRPr="00680F1F">
        <w:rPr>
          <w:rStyle w:val="FootnoteReference"/>
        </w:rPr>
        <w:footnoteRef/>
      </w:r>
      <w:r>
        <w:t xml:space="preserve"> </w:t>
      </w:r>
      <w:r w:rsidRPr="00AB41E9">
        <w:t>Regulation (EU) 2016/679 of the European Parliament and of the Council of 27 April 2016 on the protection of natural persons with regard to the processing of personal data and on the free movement of such data, and repealing Directive 95/46/EC (General Data Protection Regulation) (Text with EEA relevance)</w:t>
      </w:r>
    </w:p>
    <w:p w14:paraId="6D1D7C21" w14:textId="2FF4560D" w:rsidR="00A45C89" w:rsidRDefault="00A45C89" w:rsidP="00B72DD7">
      <w:pPr>
        <w:pStyle w:val="FootnoteText"/>
      </w:pPr>
      <w:r w:rsidRPr="00AB41E9">
        <w:t>OJ L 119, 4.5.2016, p. 1–88.</w:t>
      </w:r>
    </w:p>
  </w:footnote>
  <w:footnote w:id="130">
    <w:p w14:paraId="49512D6D" w14:textId="77777777" w:rsidR="00A45C89" w:rsidRPr="00D91C5A" w:rsidRDefault="00A45C89" w:rsidP="00B72DD7">
      <w:pPr>
        <w:pStyle w:val="FootnoteText"/>
      </w:pPr>
      <w:r>
        <w:rPr>
          <w:rStyle w:val="FootnoteReference"/>
        </w:rPr>
        <w:footnoteRef/>
      </w:r>
      <w:r>
        <w:t xml:space="preserve"> </w:t>
      </w:r>
      <w:r w:rsidRPr="00D91C5A">
        <w:t>Directive (EU) 2016/680 of the European Parliament and of the Council of 27 April 2016 on the protection of natural persons with regard to the processing of personal data by competent authorities for the purposes of the prevention, investigation, detection or prosecution of criminal offences or the execution of criminal penalties, and on the free movement of such data, and repealing Council Framework Decision 2008/977/JHA</w:t>
      </w:r>
    </w:p>
    <w:p w14:paraId="23E9B941" w14:textId="282D749E" w:rsidR="00A45C89" w:rsidRPr="00D91C5A" w:rsidRDefault="00A45C89" w:rsidP="00B72DD7">
      <w:pPr>
        <w:pStyle w:val="FootnoteText"/>
      </w:pPr>
      <w:r w:rsidRPr="00D91C5A">
        <w:t xml:space="preserve">OJ L 119, 4.5.2016, p. 89–131. </w:t>
      </w:r>
    </w:p>
  </w:footnote>
  <w:footnote w:id="131">
    <w:p w14:paraId="5E23EE9E" w14:textId="13CB1AAB" w:rsidR="00A45C89" w:rsidRDefault="00A45C89" w:rsidP="00B72DD7">
      <w:pPr>
        <w:pStyle w:val="FootnoteText"/>
      </w:pPr>
      <w:r>
        <w:rPr>
          <w:rStyle w:val="FootnoteReference"/>
        </w:rPr>
        <w:footnoteRef/>
      </w:r>
      <w:r>
        <w:t xml:space="preserve"> Comitology process explained:</w:t>
      </w:r>
    </w:p>
    <w:p w14:paraId="3030E2D8" w14:textId="61288DE5" w:rsidR="00A45C89" w:rsidRDefault="00A45C89" w:rsidP="00B72DD7">
      <w:pPr>
        <w:pStyle w:val="FootnoteText"/>
      </w:pPr>
      <w:r w:rsidRPr="00671387">
        <w:t>https://ec.europa.eu/info/law/law-making-process/adopting-eu-law/implementing-and-delegated-acts/comitology_en</w:t>
      </w:r>
    </w:p>
  </w:footnote>
  <w:footnote w:id="132">
    <w:p w14:paraId="36DA0F11" w14:textId="56F8E895" w:rsidR="00A45C89" w:rsidRPr="00E9388A" w:rsidRDefault="00A45C89" w:rsidP="00B72DD7">
      <w:pPr>
        <w:pStyle w:val="FootnoteText"/>
        <w:rPr>
          <w:bCs/>
        </w:rPr>
      </w:pPr>
      <w:r w:rsidRPr="008275E7">
        <w:rPr>
          <w:rStyle w:val="FootnoteReference"/>
        </w:rPr>
        <w:footnoteRef/>
      </w:r>
      <w:r w:rsidRPr="008275E7">
        <w:t xml:space="preserve"> It should be noted at part of my research in 2020 I have also investigated the implications to satellite systems (including in a policing and post Brexit environment):</w:t>
      </w:r>
      <w:r>
        <w:t xml:space="preserve"> </w:t>
      </w:r>
      <w:r w:rsidRPr="001C40D6">
        <w:t xml:space="preserve"> </w:t>
      </w:r>
      <w:r w:rsidRPr="00E37164">
        <w:rPr>
          <w:bCs/>
        </w:rPr>
        <w:t xml:space="preserve">Fox, S. J. </w:t>
      </w:r>
      <w:r w:rsidRPr="00E37164">
        <w:rPr>
          <w:bCs/>
          <w:i/>
          <w:iCs/>
        </w:rPr>
        <w:t xml:space="preserve">Tracking the position. </w:t>
      </w:r>
      <w:r w:rsidRPr="00CD58BF">
        <w:rPr>
          <w:bCs/>
          <w:i/>
          <w:iCs/>
        </w:rPr>
        <w:t>Global satellite navigations in Europe</w:t>
      </w:r>
      <w:r>
        <w:rPr>
          <w:i/>
          <w:iCs/>
        </w:rPr>
        <w:t xml:space="preserve">. </w:t>
      </w:r>
      <w:r w:rsidRPr="00E37164">
        <w:rPr>
          <w:bCs/>
          <w:i/>
          <w:iCs/>
        </w:rPr>
        <w:t xml:space="preserve">Expanding man's understanding: </w:t>
      </w:r>
      <w:r w:rsidRPr="00E37164">
        <w:rPr>
          <w:bCs/>
        </w:rPr>
        <w:t>‘</w:t>
      </w:r>
      <w:r w:rsidRPr="00E37164">
        <w:rPr>
          <w:bCs/>
          <w:i/>
          <w:iCs/>
        </w:rPr>
        <w:t>GALILEO</w:t>
      </w:r>
      <w:r w:rsidRPr="00E37164">
        <w:rPr>
          <w:bCs/>
        </w:rPr>
        <w:t xml:space="preserve">: 2020!’ </w:t>
      </w:r>
      <w:r w:rsidRPr="00E9388A">
        <w:rPr>
          <w:bCs/>
        </w:rPr>
        <w:t>Communications Law Vol. 25, No. 4, 2020. 191-208</w:t>
      </w:r>
      <w:r>
        <w:rPr>
          <w:bC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57A73"/>
    <w:multiLevelType w:val="hybridMultilevel"/>
    <w:tmpl w:val="B31A9066"/>
    <w:lvl w:ilvl="0" w:tplc="577A33BA">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231F8"/>
    <w:multiLevelType w:val="hybridMultilevel"/>
    <w:tmpl w:val="0AB8B50E"/>
    <w:lvl w:ilvl="0" w:tplc="509E3FF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F508CF"/>
    <w:multiLevelType w:val="multilevel"/>
    <w:tmpl w:val="427E3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5004C7"/>
    <w:multiLevelType w:val="hybridMultilevel"/>
    <w:tmpl w:val="FB6E2DE8"/>
    <w:lvl w:ilvl="0" w:tplc="979EEF8A">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5216F"/>
    <w:multiLevelType w:val="multilevel"/>
    <w:tmpl w:val="C96489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7701F1"/>
    <w:multiLevelType w:val="hybridMultilevel"/>
    <w:tmpl w:val="E6DAF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FD06E3"/>
    <w:multiLevelType w:val="hybridMultilevel"/>
    <w:tmpl w:val="030AD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4424A6"/>
    <w:multiLevelType w:val="hybridMultilevel"/>
    <w:tmpl w:val="21CE468E"/>
    <w:lvl w:ilvl="0" w:tplc="9A6A7F7C">
      <w:start w:val="1"/>
      <w:numFmt w:val="lowerRoman"/>
      <w:lvlText w:val="(%1)"/>
      <w:lvlJc w:val="left"/>
      <w:pPr>
        <w:ind w:left="1140" w:hanging="72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8" w15:restartNumberingAfterBreak="0">
    <w:nsid w:val="1CA04EA4"/>
    <w:multiLevelType w:val="hybridMultilevel"/>
    <w:tmpl w:val="0518BD20"/>
    <w:lvl w:ilvl="0" w:tplc="CAA47272">
      <w:start w:val="2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361B3D"/>
    <w:multiLevelType w:val="multilevel"/>
    <w:tmpl w:val="38D0FAF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6943DB"/>
    <w:multiLevelType w:val="multilevel"/>
    <w:tmpl w:val="D5907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2D776E"/>
    <w:multiLevelType w:val="hybridMultilevel"/>
    <w:tmpl w:val="FCA63A20"/>
    <w:lvl w:ilvl="0" w:tplc="979EEF8A">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546D49"/>
    <w:multiLevelType w:val="hybridMultilevel"/>
    <w:tmpl w:val="91E6BED2"/>
    <w:lvl w:ilvl="0" w:tplc="979EEF8A">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BF5BC3"/>
    <w:multiLevelType w:val="hybridMultilevel"/>
    <w:tmpl w:val="418C0F7E"/>
    <w:lvl w:ilvl="0" w:tplc="6EC86960">
      <w:start w:val="202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797C98"/>
    <w:multiLevelType w:val="multilevel"/>
    <w:tmpl w:val="4C5A9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D22DB7"/>
    <w:multiLevelType w:val="multilevel"/>
    <w:tmpl w:val="EC2010C2"/>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6" w15:restartNumberingAfterBreak="0">
    <w:nsid w:val="37492AC1"/>
    <w:multiLevelType w:val="hybridMultilevel"/>
    <w:tmpl w:val="FD788F1E"/>
    <w:lvl w:ilvl="0" w:tplc="6EC86960">
      <w:start w:val="202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36453A"/>
    <w:multiLevelType w:val="hybridMultilevel"/>
    <w:tmpl w:val="FA96F04A"/>
    <w:lvl w:ilvl="0" w:tplc="979EEF8A">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8328EA"/>
    <w:multiLevelType w:val="hybridMultilevel"/>
    <w:tmpl w:val="8D14B252"/>
    <w:lvl w:ilvl="0" w:tplc="979EEF8A">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A81101"/>
    <w:multiLevelType w:val="multilevel"/>
    <w:tmpl w:val="2FE0F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2A16C9"/>
    <w:multiLevelType w:val="multilevel"/>
    <w:tmpl w:val="90906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E17B82"/>
    <w:multiLevelType w:val="hybridMultilevel"/>
    <w:tmpl w:val="DAF22D58"/>
    <w:lvl w:ilvl="0" w:tplc="979EEF8A">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C67A5B"/>
    <w:multiLevelType w:val="hybridMultilevel"/>
    <w:tmpl w:val="30E083F6"/>
    <w:lvl w:ilvl="0" w:tplc="04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E4A22C3"/>
    <w:multiLevelType w:val="hybridMultilevel"/>
    <w:tmpl w:val="85660CD2"/>
    <w:lvl w:ilvl="0" w:tplc="979EEF8A">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D62D9C"/>
    <w:multiLevelType w:val="hybridMultilevel"/>
    <w:tmpl w:val="F5FAFB22"/>
    <w:lvl w:ilvl="0" w:tplc="979EEF8A">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877439"/>
    <w:multiLevelType w:val="hybridMultilevel"/>
    <w:tmpl w:val="BE543100"/>
    <w:lvl w:ilvl="0" w:tplc="21FE8690">
      <w:start w:val="3"/>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B6E47F6"/>
    <w:multiLevelType w:val="hybridMultilevel"/>
    <w:tmpl w:val="D3223D7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FE479F"/>
    <w:multiLevelType w:val="hybridMultilevel"/>
    <w:tmpl w:val="E46A5F42"/>
    <w:lvl w:ilvl="0" w:tplc="979EEF8A">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5B00D9"/>
    <w:multiLevelType w:val="multilevel"/>
    <w:tmpl w:val="6F520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0B717FD"/>
    <w:multiLevelType w:val="multilevel"/>
    <w:tmpl w:val="FDCAC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1427786"/>
    <w:multiLevelType w:val="multilevel"/>
    <w:tmpl w:val="29B68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FB5779"/>
    <w:multiLevelType w:val="hybridMultilevel"/>
    <w:tmpl w:val="2B001FE6"/>
    <w:lvl w:ilvl="0" w:tplc="09C2B378">
      <w:start w:val="1"/>
      <w:numFmt w:val="lowerRoman"/>
      <w:lvlText w:val="%1)"/>
      <w:lvlJc w:val="left"/>
      <w:pPr>
        <w:ind w:left="1440" w:hanging="720"/>
      </w:pPr>
      <w:rPr>
        <w:rFonts w:ascii="Times New Roman" w:eastAsia="Times New Roman" w:hAnsi="Times New Roman"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700A0F32"/>
    <w:multiLevelType w:val="hybridMultilevel"/>
    <w:tmpl w:val="418E51EE"/>
    <w:lvl w:ilvl="0" w:tplc="E020BC6E">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CC20CC"/>
    <w:multiLevelType w:val="hybridMultilevel"/>
    <w:tmpl w:val="DB225DAE"/>
    <w:lvl w:ilvl="0" w:tplc="979EEF8A">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3435D3"/>
    <w:multiLevelType w:val="multilevel"/>
    <w:tmpl w:val="1A8858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4507AA9"/>
    <w:multiLevelType w:val="multilevel"/>
    <w:tmpl w:val="03E010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45706A3"/>
    <w:multiLevelType w:val="hybridMultilevel"/>
    <w:tmpl w:val="578C1B2A"/>
    <w:lvl w:ilvl="0" w:tplc="0D584D2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7205815"/>
    <w:multiLevelType w:val="multilevel"/>
    <w:tmpl w:val="B9EE8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9D6286"/>
    <w:multiLevelType w:val="hybridMultilevel"/>
    <w:tmpl w:val="0EA8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6"/>
  </w:num>
  <w:num w:numId="3">
    <w:abstractNumId w:val="5"/>
  </w:num>
  <w:num w:numId="4">
    <w:abstractNumId w:val="16"/>
  </w:num>
  <w:num w:numId="5">
    <w:abstractNumId w:val="25"/>
  </w:num>
  <w:num w:numId="6">
    <w:abstractNumId w:val="32"/>
  </w:num>
  <w:num w:numId="7">
    <w:abstractNumId w:val="31"/>
  </w:num>
  <w:num w:numId="8">
    <w:abstractNumId w:val="6"/>
  </w:num>
  <w:num w:numId="9">
    <w:abstractNumId w:val="38"/>
  </w:num>
  <w:num w:numId="10">
    <w:abstractNumId w:val="22"/>
  </w:num>
  <w:num w:numId="11">
    <w:abstractNumId w:val="19"/>
  </w:num>
  <w:num w:numId="12">
    <w:abstractNumId w:val="34"/>
  </w:num>
  <w:num w:numId="13">
    <w:abstractNumId w:val="35"/>
  </w:num>
  <w:num w:numId="14">
    <w:abstractNumId w:val="20"/>
  </w:num>
  <w:num w:numId="15">
    <w:abstractNumId w:val="10"/>
  </w:num>
  <w:num w:numId="16">
    <w:abstractNumId w:val="37"/>
  </w:num>
  <w:num w:numId="17">
    <w:abstractNumId w:val="30"/>
  </w:num>
  <w:num w:numId="18">
    <w:abstractNumId w:val="1"/>
  </w:num>
  <w:num w:numId="19">
    <w:abstractNumId w:val="7"/>
  </w:num>
  <w:num w:numId="20">
    <w:abstractNumId w:val="0"/>
  </w:num>
  <w:num w:numId="21">
    <w:abstractNumId w:val="13"/>
  </w:num>
  <w:num w:numId="22">
    <w:abstractNumId w:val="3"/>
  </w:num>
  <w:num w:numId="23">
    <w:abstractNumId w:val="27"/>
  </w:num>
  <w:num w:numId="24">
    <w:abstractNumId w:val="33"/>
  </w:num>
  <w:num w:numId="25">
    <w:abstractNumId w:val="12"/>
  </w:num>
  <w:num w:numId="26">
    <w:abstractNumId w:val="23"/>
  </w:num>
  <w:num w:numId="27">
    <w:abstractNumId w:val="15"/>
  </w:num>
  <w:num w:numId="28">
    <w:abstractNumId w:val="2"/>
  </w:num>
  <w:num w:numId="29">
    <w:abstractNumId w:val="9"/>
  </w:num>
  <w:num w:numId="30">
    <w:abstractNumId w:val="28"/>
  </w:num>
  <w:num w:numId="31">
    <w:abstractNumId w:val="29"/>
  </w:num>
  <w:num w:numId="32">
    <w:abstractNumId w:val="26"/>
  </w:num>
  <w:num w:numId="33">
    <w:abstractNumId w:val="8"/>
  </w:num>
  <w:num w:numId="34">
    <w:abstractNumId w:val="14"/>
  </w:num>
  <w:num w:numId="35">
    <w:abstractNumId w:val="24"/>
  </w:num>
  <w:num w:numId="36">
    <w:abstractNumId w:val="18"/>
  </w:num>
  <w:num w:numId="37">
    <w:abstractNumId w:val="21"/>
  </w:num>
  <w:num w:numId="38">
    <w:abstractNumId w:val="17"/>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2"/>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14B"/>
    <w:rsid w:val="00000FA9"/>
    <w:rsid w:val="000012E3"/>
    <w:rsid w:val="00002841"/>
    <w:rsid w:val="0000500B"/>
    <w:rsid w:val="0002112B"/>
    <w:rsid w:val="0002405E"/>
    <w:rsid w:val="00025424"/>
    <w:rsid w:val="000261EC"/>
    <w:rsid w:val="00026B2F"/>
    <w:rsid w:val="0003191A"/>
    <w:rsid w:val="00044FC0"/>
    <w:rsid w:val="00045892"/>
    <w:rsid w:val="00045EA9"/>
    <w:rsid w:val="00047B9B"/>
    <w:rsid w:val="00047C89"/>
    <w:rsid w:val="00052064"/>
    <w:rsid w:val="00053A4F"/>
    <w:rsid w:val="00056B2A"/>
    <w:rsid w:val="000570C9"/>
    <w:rsid w:val="0005795E"/>
    <w:rsid w:val="000727F7"/>
    <w:rsid w:val="00077DD3"/>
    <w:rsid w:val="000847E7"/>
    <w:rsid w:val="00084C7D"/>
    <w:rsid w:val="00086A0E"/>
    <w:rsid w:val="000915B7"/>
    <w:rsid w:val="00091FE0"/>
    <w:rsid w:val="00094B2A"/>
    <w:rsid w:val="00095551"/>
    <w:rsid w:val="000A4452"/>
    <w:rsid w:val="000A4CBF"/>
    <w:rsid w:val="000B0576"/>
    <w:rsid w:val="000B33D7"/>
    <w:rsid w:val="000B4771"/>
    <w:rsid w:val="000B6845"/>
    <w:rsid w:val="000C4271"/>
    <w:rsid w:val="000D1B3E"/>
    <w:rsid w:val="000D4B6D"/>
    <w:rsid w:val="000D5609"/>
    <w:rsid w:val="000E5455"/>
    <w:rsid w:val="000E590B"/>
    <w:rsid w:val="000E6536"/>
    <w:rsid w:val="000E7E19"/>
    <w:rsid w:val="000F20F4"/>
    <w:rsid w:val="0010092D"/>
    <w:rsid w:val="001023DE"/>
    <w:rsid w:val="00104E18"/>
    <w:rsid w:val="00107632"/>
    <w:rsid w:val="001101CB"/>
    <w:rsid w:val="00112754"/>
    <w:rsid w:val="001133F3"/>
    <w:rsid w:val="001135FA"/>
    <w:rsid w:val="0011375B"/>
    <w:rsid w:val="00113CEF"/>
    <w:rsid w:val="00114003"/>
    <w:rsid w:val="00120F63"/>
    <w:rsid w:val="00123672"/>
    <w:rsid w:val="00127A8A"/>
    <w:rsid w:val="00132D4B"/>
    <w:rsid w:val="001474EF"/>
    <w:rsid w:val="001507CC"/>
    <w:rsid w:val="001510AF"/>
    <w:rsid w:val="001525D1"/>
    <w:rsid w:val="00152EC3"/>
    <w:rsid w:val="00153CA4"/>
    <w:rsid w:val="00154422"/>
    <w:rsid w:val="001545CB"/>
    <w:rsid w:val="0015474D"/>
    <w:rsid w:val="00155622"/>
    <w:rsid w:val="00160C70"/>
    <w:rsid w:val="001614AC"/>
    <w:rsid w:val="001634C4"/>
    <w:rsid w:val="001705D3"/>
    <w:rsid w:val="001726BC"/>
    <w:rsid w:val="00173EA8"/>
    <w:rsid w:val="00174638"/>
    <w:rsid w:val="0017487C"/>
    <w:rsid w:val="001777B1"/>
    <w:rsid w:val="0018358A"/>
    <w:rsid w:val="00187012"/>
    <w:rsid w:val="0019324E"/>
    <w:rsid w:val="00193552"/>
    <w:rsid w:val="00193BDE"/>
    <w:rsid w:val="001A16A9"/>
    <w:rsid w:val="001A33B2"/>
    <w:rsid w:val="001A5459"/>
    <w:rsid w:val="001A73F9"/>
    <w:rsid w:val="001B0A82"/>
    <w:rsid w:val="001B4671"/>
    <w:rsid w:val="001B46BF"/>
    <w:rsid w:val="001B55D5"/>
    <w:rsid w:val="001B73D5"/>
    <w:rsid w:val="001C2DF3"/>
    <w:rsid w:val="001C40D6"/>
    <w:rsid w:val="001C596F"/>
    <w:rsid w:val="001C68FA"/>
    <w:rsid w:val="001C699F"/>
    <w:rsid w:val="001C7516"/>
    <w:rsid w:val="001D2C39"/>
    <w:rsid w:val="001D49A9"/>
    <w:rsid w:val="001D73BE"/>
    <w:rsid w:val="001D7AFA"/>
    <w:rsid w:val="001E41F0"/>
    <w:rsid w:val="001E6C0B"/>
    <w:rsid w:val="001F505F"/>
    <w:rsid w:val="001F7507"/>
    <w:rsid w:val="001F7604"/>
    <w:rsid w:val="002008A7"/>
    <w:rsid w:val="00205DF0"/>
    <w:rsid w:val="0020746A"/>
    <w:rsid w:val="00210FF5"/>
    <w:rsid w:val="0021159E"/>
    <w:rsid w:val="00214846"/>
    <w:rsid w:val="00217FB3"/>
    <w:rsid w:val="002218D7"/>
    <w:rsid w:val="00221F02"/>
    <w:rsid w:val="00226BDD"/>
    <w:rsid w:val="00226D93"/>
    <w:rsid w:val="00231DA3"/>
    <w:rsid w:val="0023680E"/>
    <w:rsid w:val="00243C3C"/>
    <w:rsid w:val="0024412A"/>
    <w:rsid w:val="0024614B"/>
    <w:rsid w:val="00246D0D"/>
    <w:rsid w:val="0025035A"/>
    <w:rsid w:val="002575CF"/>
    <w:rsid w:val="00260F51"/>
    <w:rsid w:val="00265A2D"/>
    <w:rsid w:val="00271ABD"/>
    <w:rsid w:val="00275753"/>
    <w:rsid w:val="00277220"/>
    <w:rsid w:val="00286644"/>
    <w:rsid w:val="0029118B"/>
    <w:rsid w:val="00295531"/>
    <w:rsid w:val="002A219B"/>
    <w:rsid w:val="002A313C"/>
    <w:rsid w:val="002A3A8A"/>
    <w:rsid w:val="002A74ED"/>
    <w:rsid w:val="002A7C10"/>
    <w:rsid w:val="002B0374"/>
    <w:rsid w:val="002B2905"/>
    <w:rsid w:val="002B70CA"/>
    <w:rsid w:val="002C19B4"/>
    <w:rsid w:val="002C2859"/>
    <w:rsid w:val="002C4C80"/>
    <w:rsid w:val="002D3A5F"/>
    <w:rsid w:val="002D7453"/>
    <w:rsid w:val="002F0BD6"/>
    <w:rsid w:val="002F30D6"/>
    <w:rsid w:val="003037BB"/>
    <w:rsid w:val="003068DC"/>
    <w:rsid w:val="00310188"/>
    <w:rsid w:val="0031124A"/>
    <w:rsid w:val="003114E2"/>
    <w:rsid w:val="00311A7A"/>
    <w:rsid w:val="003165E2"/>
    <w:rsid w:val="0031733E"/>
    <w:rsid w:val="003207B2"/>
    <w:rsid w:val="00324A49"/>
    <w:rsid w:val="003318A3"/>
    <w:rsid w:val="00334E83"/>
    <w:rsid w:val="003354BD"/>
    <w:rsid w:val="00335D77"/>
    <w:rsid w:val="003405E1"/>
    <w:rsid w:val="003425CD"/>
    <w:rsid w:val="00343E91"/>
    <w:rsid w:val="00351167"/>
    <w:rsid w:val="003547DE"/>
    <w:rsid w:val="00356DBE"/>
    <w:rsid w:val="00367C4C"/>
    <w:rsid w:val="003753B8"/>
    <w:rsid w:val="0037667A"/>
    <w:rsid w:val="00376B9B"/>
    <w:rsid w:val="00380186"/>
    <w:rsid w:val="00381EE9"/>
    <w:rsid w:val="00382EC4"/>
    <w:rsid w:val="00386F2A"/>
    <w:rsid w:val="003910FE"/>
    <w:rsid w:val="00393768"/>
    <w:rsid w:val="00394229"/>
    <w:rsid w:val="003A1BA3"/>
    <w:rsid w:val="003A21A5"/>
    <w:rsid w:val="003B0D54"/>
    <w:rsid w:val="003B1FE5"/>
    <w:rsid w:val="003C066B"/>
    <w:rsid w:val="003C20FD"/>
    <w:rsid w:val="003C5D3E"/>
    <w:rsid w:val="003C7774"/>
    <w:rsid w:val="003C7854"/>
    <w:rsid w:val="003D0AB5"/>
    <w:rsid w:val="003D37F5"/>
    <w:rsid w:val="003E09D7"/>
    <w:rsid w:val="003E782B"/>
    <w:rsid w:val="003F0494"/>
    <w:rsid w:val="003F64BC"/>
    <w:rsid w:val="003F6B95"/>
    <w:rsid w:val="00403CFE"/>
    <w:rsid w:val="00413AEE"/>
    <w:rsid w:val="00416307"/>
    <w:rsid w:val="0041785C"/>
    <w:rsid w:val="00423D53"/>
    <w:rsid w:val="0042576F"/>
    <w:rsid w:val="00431695"/>
    <w:rsid w:val="00440521"/>
    <w:rsid w:val="00442647"/>
    <w:rsid w:val="00443403"/>
    <w:rsid w:val="00444F5B"/>
    <w:rsid w:val="00460366"/>
    <w:rsid w:val="00460968"/>
    <w:rsid w:val="004610F3"/>
    <w:rsid w:val="00461600"/>
    <w:rsid w:val="0046259D"/>
    <w:rsid w:val="004629B2"/>
    <w:rsid w:val="004739F5"/>
    <w:rsid w:val="00476191"/>
    <w:rsid w:val="004763C9"/>
    <w:rsid w:val="00476621"/>
    <w:rsid w:val="004825DC"/>
    <w:rsid w:val="004960B3"/>
    <w:rsid w:val="004A06E5"/>
    <w:rsid w:val="004A3496"/>
    <w:rsid w:val="004B7A2B"/>
    <w:rsid w:val="004C2DD7"/>
    <w:rsid w:val="004C4BF0"/>
    <w:rsid w:val="004D1319"/>
    <w:rsid w:val="004D229F"/>
    <w:rsid w:val="004D25A2"/>
    <w:rsid w:val="004D2F5E"/>
    <w:rsid w:val="004D45CE"/>
    <w:rsid w:val="004D5648"/>
    <w:rsid w:val="004E6954"/>
    <w:rsid w:val="004F0863"/>
    <w:rsid w:val="004F407E"/>
    <w:rsid w:val="004F6380"/>
    <w:rsid w:val="00501786"/>
    <w:rsid w:val="005056F3"/>
    <w:rsid w:val="00506C54"/>
    <w:rsid w:val="00506DBB"/>
    <w:rsid w:val="005077B2"/>
    <w:rsid w:val="00510D6B"/>
    <w:rsid w:val="00516754"/>
    <w:rsid w:val="0052002E"/>
    <w:rsid w:val="00522102"/>
    <w:rsid w:val="00523ED1"/>
    <w:rsid w:val="005263B1"/>
    <w:rsid w:val="005311D9"/>
    <w:rsid w:val="00535B06"/>
    <w:rsid w:val="00535FDC"/>
    <w:rsid w:val="00540C97"/>
    <w:rsid w:val="00541261"/>
    <w:rsid w:val="00541EFF"/>
    <w:rsid w:val="00546AD0"/>
    <w:rsid w:val="00562541"/>
    <w:rsid w:val="0056460D"/>
    <w:rsid w:val="00570FC6"/>
    <w:rsid w:val="0057255B"/>
    <w:rsid w:val="005745EE"/>
    <w:rsid w:val="005804DC"/>
    <w:rsid w:val="0058468C"/>
    <w:rsid w:val="00593228"/>
    <w:rsid w:val="005953F0"/>
    <w:rsid w:val="005B18CF"/>
    <w:rsid w:val="005B328F"/>
    <w:rsid w:val="005B6EAF"/>
    <w:rsid w:val="005B77D4"/>
    <w:rsid w:val="005C08CC"/>
    <w:rsid w:val="005C6DD0"/>
    <w:rsid w:val="005D1081"/>
    <w:rsid w:val="005D2200"/>
    <w:rsid w:val="005D2403"/>
    <w:rsid w:val="005D5137"/>
    <w:rsid w:val="005D57C9"/>
    <w:rsid w:val="005E2E23"/>
    <w:rsid w:val="005E3F32"/>
    <w:rsid w:val="005E7169"/>
    <w:rsid w:val="005F02B4"/>
    <w:rsid w:val="005F1DFA"/>
    <w:rsid w:val="0060155E"/>
    <w:rsid w:val="00606823"/>
    <w:rsid w:val="006107A8"/>
    <w:rsid w:val="0061120B"/>
    <w:rsid w:val="00612AF1"/>
    <w:rsid w:val="00614D20"/>
    <w:rsid w:val="00617501"/>
    <w:rsid w:val="00621BDE"/>
    <w:rsid w:val="00621E58"/>
    <w:rsid w:val="00623538"/>
    <w:rsid w:val="006245D5"/>
    <w:rsid w:val="0062793C"/>
    <w:rsid w:val="00630F86"/>
    <w:rsid w:val="00632D86"/>
    <w:rsid w:val="00634DE7"/>
    <w:rsid w:val="00635F4D"/>
    <w:rsid w:val="00635FC5"/>
    <w:rsid w:val="006418C6"/>
    <w:rsid w:val="00645407"/>
    <w:rsid w:val="00645A1A"/>
    <w:rsid w:val="006510CF"/>
    <w:rsid w:val="0066260E"/>
    <w:rsid w:val="006658A8"/>
    <w:rsid w:val="00671387"/>
    <w:rsid w:val="006719B2"/>
    <w:rsid w:val="0067455A"/>
    <w:rsid w:val="00675EFE"/>
    <w:rsid w:val="0068054D"/>
    <w:rsid w:val="00680F1F"/>
    <w:rsid w:val="00681C0B"/>
    <w:rsid w:val="00681C45"/>
    <w:rsid w:val="00686F25"/>
    <w:rsid w:val="00687F54"/>
    <w:rsid w:val="00696960"/>
    <w:rsid w:val="0069782A"/>
    <w:rsid w:val="006A6369"/>
    <w:rsid w:val="006B2C8E"/>
    <w:rsid w:val="006B3F5E"/>
    <w:rsid w:val="006C6354"/>
    <w:rsid w:val="006D0325"/>
    <w:rsid w:val="006D4734"/>
    <w:rsid w:val="006E244A"/>
    <w:rsid w:val="006E38F1"/>
    <w:rsid w:val="006E7040"/>
    <w:rsid w:val="006F38BC"/>
    <w:rsid w:val="006F5A9E"/>
    <w:rsid w:val="007036E2"/>
    <w:rsid w:val="0070400E"/>
    <w:rsid w:val="007050CD"/>
    <w:rsid w:val="007058C0"/>
    <w:rsid w:val="007105CF"/>
    <w:rsid w:val="00710728"/>
    <w:rsid w:val="00714C4F"/>
    <w:rsid w:val="00716C19"/>
    <w:rsid w:val="00717206"/>
    <w:rsid w:val="007202CF"/>
    <w:rsid w:val="00720D2F"/>
    <w:rsid w:val="00724802"/>
    <w:rsid w:val="00727B63"/>
    <w:rsid w:val="007335D8"/>
    <w:rsid w:val="0073448B"/>
    <w:rsid w:val="007345B6"/>
    <w:rsid w:val="00736C3D"/>
    <w:rsid w:val="007406B8"/>
    <w:rsid w:val="007424E5"/>
    <w:rsid w:val="00742F02"/>
    <w:rsid w:val="00744092"/>
    <w:rsid w:val="007523C8"/>
    <w:rsid w:val="00755715"/>
    <w:rsid w:val="007754E2"/>
    <w:rsid w:val="007755BD"/>
    <w:rsid w:val="0077695B"/>
    <w:rsid w:val="0077736D"/>
    <w:rsid w:val="00777DC0"/>
    <w:rsid w:val="007822C2"/>
    <w:rsid w:val="007832C5"/>
    <w:rsid w:val="00785167"/>
    <w:rsid w:val="007941BE"/>
    <w:rsid w:val="007A057B"/>
    <w:rsid w:val="007A3895"/>
    <w:rsid w:val="007A58F6"/>
    <w:rsid w:val="007B26B4"/>
    <w:rsid w:val="007B347C"/>
    <w:rsid w:val="007C06E9"/>
    <w:rsid w:val="007C2877"/>
    <w:rsid w:val="007C47C2"/>
    <w:rsid w:val="007C4942"/>
    <w:rsid w:val="007D1B14"/>
    <w:rsid w:val="007D6F94"/>
    <w:rsid w:val="007E2942"/>
    <w:rsid w:val="007E68FD"/>
    <w:rsid w:val="007E7259"/>
    <w:rsid w:val="007F2209"/>
    <w:rsid w:val="007F3577"/>
    <w:rsid w:val="007F49D4"/>
    <w:rsid w:val="00805482"/>
    <w:rsid w:val="00806EB9"/>
    <w:rsid w:val="00815635"/>
    <w:rsid w:val="00815C5E"/>
    <w:rsid w:val="00815C9B"/>
    <w:rsid w:val="00817C40"/>
    <w:rsid w:val="0082298D"/>
    <w:rsid w:val="00822DEF"/>
    <w:rsid w:val="008257CA"/>
    <w:rsid w:val="00825893"/>
    <w:rsid w:val="00826BAB"/>
    <w:rsid w:val="008275E7"/>
    <w:rsid w:val="008278EF"/>
    <w:rsid w:val="00832935"/>
    <w:rsid w:val="00833DED"/>
    <w:rsid w:val="00837EDF"/>
    <w:rsid w:val="0084158D"/>
    <w:rsid w:val="00842735"/>
    <w:rsid w:val="0084274D"/>
    <w:rsid w:val="00851D8C"/>
    <w:rsid w:val="008553FA"/>
    <w:rsid w:val="00856866"/>
    <w:rsid w:val="0085756F"/>
    <w:rsid w:val="00862B42"/>
    <w:rsid w:val="008642E3"/>
    <w:rsid w:val="008652A1"/>
    <w:rsid w:val="0087281F"/>
    <w:rsid w:val="00874A21"/>
    <w:rsid w:val="0087702F"/>
    <w:rsid w:val="00880D4D"/>
    <w:rsid w:val="00882474"/>
    <w:rsid w:val="008841F9"/>
    <w:rsid w:val="00887FDF"/>
    <w:rsid w:val="008A0A24"/>
    <w:rsid w:val="008A3E90"/>
    <w:rsid w:val="008C1605"/>
    <w:rsid w:val="008C1E24"/>
    <w:rsid w:val="008C2059"/>
    <w:rsid w:val="008C256D"/>
    <w:rsid w:val="008D30FE"/>
    <w:rsid w:val="008D32E1"/>
    <w:rsid w:val="008E12B9"/>
    <w:rsid w:val="008E3C80"/>
    <w:rsid w:val="008E5092"/>
    <w:rsid w:val="008E519A"/>
    <w:rsid w:val="008F3609"/>
    <w:rsid w:val="008F3C55"/>
    <w:rsid w:val="008F61FE"/>
    <w:rsid w:val="008F70D1"/>
    <w:rsid w:val="009027FF"/>
    <w:rsid w:val="009036C0"/>
    <w:rsid w:val="009039FB"/>
    <w:rsid w:val="0090513A"/>
    <w:rsid w:val="009054E9"/>
    <w:rsid w:val="009067CB"/>
    <w:rsid w:val="0091014B"/>
    <w:rsid w:val="00915E58"/>
    <w:rsid w:val="0091762D"/>
    <w:rsid w:val="00921580"/>
    <w:rsid w:val="009235C8"/>
    <w:rsid w:val="00923859"/>
    <w:rsid w:val="0093091B"/>
    <w:rsid w:val="00932D5C"/>
    <w:rsid w:val="00934A38"/>
    <w:rsid w:val="009401C6"/>
    <w:rsid w:val="00940FE4"/>
    <w:rsid w:val="00944E3F"/>
    <w:rsid w:val="009453C7"/>
    <w:rsid w:val="00947584"/>
    <w:rsid w:val="00955014"/>
    <w:rsid w:val="00955BBB"/>
    <w:rsid w:val="00957E77"/>
    <w:rsid w:val="00957F59"/>
    <w:rsid w:val="00963604"/>
    <w:rsid w:val="00963CE7"/>
    <w:rsid w:val="009751E8"/>
    <w:rsid w:val="0097622F"/>
    <w:rsid w:val="00976C87"/>
    <w:rsid w:val="009836E2"/>
    <w:rsid w:val="009847E0"/>
    <w:rsid w:val="00986B47"/>
    <w:rsid w:val="00990C6F"/>
    <w:rsid w:val="009918AA"/>
    <w:rsid w:val="00993E51"/>
    <w:rsid w:val="00997D85"/>
    <w:rsid w:val="009A2C7C"/>
    <w:rsid w:val="009A2CD1"/>
    <w:rsid w:val="009B2A75"/>
    <w:rsid w:val="009B3604"/>
    <w:rsid w:val="009B5489"/>
    <w:rsid w:val="009B5B7F"/>
    <w:rsid w:val="009B6243"/>
    <w:rsid w:val="009C206C"/>
    <w:rsid w:val="009C6189"/>
    <w:rsid w:val="009D108D"/>
    <w:rsid w:val="009D7912"/>
    <w:rsid w:val="009E09B1"/>
    <w:rsid w:val="009E293A"/>
    <w:rsid w:val="009F01AB"/>
    <w:rsid w:val="009F2879"/>
    <w:rsid w:val="00A044DD"/>
    <w:rsid w:val="00A0556C"/>
    <w:rsid w:val="00A06B25"/>
    <w:rsid w:val="00A10B04"/>
    <w:rsid w:val="00A11DD2"/>
    <w:rsid w:val="00A12C3B"/>
    <w:rsid w:val="00A14479"/>
    <w:rsid w:val="00A1594C"/>
    <w:rsid w:val="00A15A56"/>
    <w:rsid w:val="00A25D86"/>
    <w:rsid w:val="00A30692"/>
    <w:rsid w:val="00A3485E"/>
    <w:rsid w:val="00A36438"/>
    <w:rsid w:val="00A369D8"/>
    <w:rsid w:val="00A45C89"/>
    <w:rsid w:val="00A54EB8"/>
    <w:rsid w:val="00A55984"/>
    <w:rsid w:val="00A638E8"/>
    <w:rsid w:val="00A66325"/>
    <w:rsid w:val="00A74678"/>
    <w:rsid w:val="00A757D9"/>
    <w:rsid w:val="00A76844"/>
    <w:rsid w:val="00A77559"/>
    <w:rsid w:val="00A835EE"/>
    <w:rsid w:val="00A878A0"/>
    <w:rsid w:val="00A918C5"/>
    <w:rsid w:val="00A93954"/>
    <w:rsid w:val="00A952E5"/>
    <w:rsid w:val="00AA0857"/>
    <w:rsid w:val="00AA08AB"/>
    <w:rsid w:val="00AA2A5B"/>
    <w:rsid w:val="00AA4B7C"/>
    <w:rsid w:val="00AA59A0"/>
    <w:rsid w:val="00AA6D39"/>
    <w:rsid w:val="00AB0C42"/>
    <w:rsid w:val="00AB120D"/>
    <w:rsid w:val="00AB26EA"/>
    <w:rsid w:val="00AB32A2"/>
    <w:rsid w:val="00AB41E9"/>
    <w:rsid w:val="00AC0CCF"/>
    <w:rsid w:val="00AC340C"/>
    <w:rsid w:val="00AC6F95"/>
    <w:rsid w:val="00AD19C4"/>
    <w:rsid w:val="00AD2DFA"/>
    <w:rsid w:val="00AD33DF"/>
    <w:rsid w:val="00AD4406"/>
    <w:rsid w:val="00AE1695"/>
    <w:rsid w:val="00AE2C09"/>
    <w:rsid w:val="00AE37D8"/>
    <w:rsid w:val="00AF15BD"/>
    <w:rsid w:val="00AF1B5E"/>
    <w:rsid w:val="00AF49E3"/>
    <w:rsid w:val="00B0046D"/>
    <w:rsid w:val="00B10CC4"/>
    <w:rsid w:val="00B142D2"/>
    <w:rsid w:val="00B150F9"/>
    <w:rsid w:val="00B24E7C"/>
    <w:rsid w:val="00B25437"/>
    <w:rsid w:val="00B25A41"/>
    <w:rsid w:val="00B4184E"/>
    <w:rsid w:val="00B42EB8"/>
    <w:rsid w:val="00B44D5F"/>
    <w:rsid w:val="00B45F78"/>
    <w:rsid w:val="00B46208"/>
    <w:rsid w:val="00B46DFD"/>
    <w:rsid w:val="00B47D8B"/>
    <w:rsid w:val="00B50CC3"/>
    <w:rsid w:val="00B51040"/>
    <w:rsid w:val="00B51A2A"/>
    <w:rsid w:val="00B608D7"/>
    <w:rsid w:val="00B7096B"/>
    <w:rsid w:val="00B70999"/>
    <w:rsid w:val="00B70A00"/>
    <w:rsid w:val="00B72DD7"/>
    <w:rsid w:val="00B749FC"/>
    <w:rsid w:val="00B76A07"/>
    <w:rsid w:val="00B87310"/>
    <w:rsid w:val="00B916EB"/>
    <w:rsid w:val="00B9607A"/>
    <w:rsid w:val="00B97A05"/>
    <w:rsid w:val="00BA0743"/>
    <w:rsid w:val="00BA0D01"/>
    <w:rsid w:val="00BA1508"/>
    <w:rsid w:val="00BA2049"/>
    <w:rsid w:val="00BA4757"/>
    <w:rsid w:val="00BB4735"/>
    <w:rsid w:val="00BB52C4"/>
    <w:rsid w:val="00BB7747"/>
    <w:rsid w:val="00BB7ED5"/>
    <w:rsid w:val="00BC1E22"/>
    <w:rsid w:val="00BC4808"/>
    <w:rsid w:val="00BD20D1"/>
    <w:rsid w:val="00BD3A94"/>
    <w:rsid w:val="00BD454B"/>
    <w:rsid w:val="00BD567C"/>
    <w:rsid w:val="00BE21CC"/>
    <w:rsid w:val="00BE3D9D"/>
    <w:rsid w:val="00BF070A"/>
    <w:rsid w:val="00BF3CD8"/>
    <w:rsid w:val="00C0118E"/>
    <w:rsid w:val="00C118C3"/>
    <w:rsid w:val="00C11F6A"/>
    <w:rsid w:val="00C127CA"/>
    <w:rsid w:val="00C15F2B"/>
    <w:rsid w:val="00C204C1"/>
    <w:rsid w:val="00C22C35"/>
    <w:rsid w:val="00C30208"/>
    <w:rsid w:val="00C4292A"/>
    <w:rsid w:val="00C42B6B"/>
    <w:rsid w:val="00C46C03"/>
    <w:rsid w:val="00C47F5C"/>
    <w:rsid w:val="00C526AB"/>
    <w:rsid w:val="00C55F33"/>
    <w:rsid w:val="00C56B11"/>
    <w:rsid w:val="00C56FF6"/>
    <w:rsid w:val="00C573E8"/>
    <w:rsid w:val="00C61458"/>
    <w:rsid w:val="00C64A4E"/>
    <w:rsid w:val="00C65AF5"/>
    <w:rsid w:val="00C67210"/>
    <w:rsid w:val="00C67668"/>
    <w:rsid w:val="00C720FA"/>
    <w:rsid w:val="00C75B97"/>
    <w:rsid w:val="00C818AE"/>
    <w:rsid w:val="00C81BBE"/>
    <w:rsid w:val="00C92387"/>
    <w:rsid w:val="00C92CAD"/>
    <w:rsid w:val="00C9692E"/>
    <w:rsid w:val="00CB0F08"/>
    <w:rsid w:val="00CB487E"/>
    <w:rsid w:val="00CB7864"/>
    <w:rsid w:val="00CC358F"/>
    <w:rsid w:val="00CC35B1"/>
    <w:rsid w:val="00CC4BC4"/>
    <w:rsid w:val="00CC6714"/>
    <w:rsid w:val="00CC71F3"/>
    <w:rsid w:val="00CD3887"/>
    <w:rsid w:val="00CD58BF"/>
    <w:rsid w:val="00CE0AD1"/>
    <w:rsid w:val="00CE25B3"/>
    <w:rsid w:val="00CE2B3B"/>
    <w:rsid w:val="00CE7253"/>
    <w:rsid w:val="00CF2EFA"/>
    <w:rsid w:val="00CF4245"/>
    <w:rsid w:val="00D024C3"/>
    <w:rsid w:val="00D02758"/>
    <w:rsid w:val="00D0500D"/>
    <w:rsid w:val="00D14483"/>
    <w:rsid w:val="00D15979"/>
    <w:rsid w:val="00D15CBF"/>
    <w:rsid w:val="00D25E3C"/>
    <w:rsid w:val="00D31065"/>
    <w:rsid w:val="00D32027"/>
    <w:rsid w:val="00D32795"/>
    <w:rsid w:val="00D32F4C"/>
    <w:rsid w:val="00D337C2"/>
    <w:rsid w:val="00D35B16"/>
    <w:rsid w:val="00D4171D"/>
    <w:rsid w:val="00D538DA"/>
    <w:rsid w:val="00D53938"/>
    <w:rsid w:val="00D5532C"/>
    <w:rsid w:val="00D64D79"/>
    <w:rsid w:val="00D66D99"/>
    <w:rsid w:val="00D72D9F"/>
    <w:rsid w:val="00D73915"/>
    <w:rsid w:val="00D74B97"/>
    <w:rsid w:val="00D76EC9"/>
    <w:rsid w:val="00D84506"/>
    <w:rsid w:val="00D87453"/>
    <w:rsid w:val="00D91C5A"/>
    <w:rsid w:val="00D9247A"/>
    <w:rsid w:val="00DA2508"/>
    <w:rsid w:val="00DA3084"/>
    <w:rsid w:val="00DB09B5"/>
    <w:rsid w:val="00DB13BA"/>
    <w:rsid w:val="00DB6E11"/>
    <w:rsid w:val="00DC0774"/>
    <w:rsid w:val="00DC6D55"/>
    <w:rsid w:val="00DC6EDE"/>
    <w:rsid w:val="00DD7794"/>
    <w:rsid w:val="00DD7E0C"/>
    <w:rsid w:val="00DF2E19"/>
    <w:rsid w:val="00DF5062"/>
    <w:rsid w:val="00DF6472"/>
    <w:rsid w:val="00E0103A"/>
    <w:rsid w:val="00E0410E"/>
    <w:rsid w:val="00E05039"/>
    <w:rsid w:val="00E14785"/>
    <w:rsid w:val="00E2172A"/>
    <w:rsid w:val="00E277D6"/>
    <w:rsid w:val="00E33338"/>
    <w:rsid w:val="00E34A5B"/>
    <w:rsid w:val="00E34EF1"/>
    <w:rsid w:val="00E35C95"/>
    <w:rsid w:val="00E3610C"/>
    <w:rsid w:val="00E36B0B"/>
    <w:rsid w:val="00E37164"/>
    <w:rsid w:val="00E42786"/>
    <w:rsid w:val="00E448B8"/>
    <w:rsid w:val="00E5003A"/>
    <w:rsid w:val="00E50040"/>
    <w:rsid w:val="00E525F4"/>
    <w:rsid w:val="00E52EF4"/>
    <w:rsid w:val="00E545DC"/>
    <w:rsid w:val="00E548F1"/>
    <w:rsid w:val="00E57E08"/>
    <w:rsid w:val="00E60761"/>
    <w:rsid w:val="00E61252"/>
    <w:rsid w:val="00E616F6"/>
    <w:rsid w:val="00E61912"/>
    <w:rsid w:val="00E656D1"/>
    <w:rsid w:val="00E66B90"/>
    <w:rsid w:val="00E76D58"/>
    <w:rsid w:val="00E777E9"/>
    <w:rsid w:val="00E800CA"/>
    <w:rsid w:val="00E81DBB"/>
    <w:rsid w:val="00E847A0"/>
    <w:rsid w:val="00E8570B"/>
    <w:rsid w:val="00E86AA0"/>
    <w:rsid w:val="00E86F9F"/>
    <w:rsid w:val="00E875E0"/>
    <w:rsid w:val="00E87721"/>
    <w:rsid w:val="00E9234B"/>
    <w:rsid w:val="00E9388A"/>
    <w:rsid w:val="00E93A27"/>
    <w:rsid w:val="00EA1A76"/>
    <w:rsid w:val="00EA34DF"/>
    <w:rsid w:val="00EA5320"/>
    <w:rsid w:val="00EA5FEE"/>
    <w:rsid w:val="00EB7A73"/>
    <w:rsid w:val="00EC44D3"/>
    <w:rsid w:val="00EC6B19"/>
    <w:rsid w:val="00EC6BC9"/>
    <w:rsid w:val="00EC6F08"/>
    <w:rsid w:val="00EC7344"/>
    <w:rsid w:val="00ED10C8"/>
    <w:rsid w:val="00ED3D81"/>
    <w:rsid w:val="00ED5849"/>
    <w:rsid w:val="00ED5980"/>
    <w:rsid w:val="00EE0D92"/>
    <w:rsid w:val="00EE2983"/>
    <w:rsid w:val="00EE2BCB"/>
    <w:rsid w:val="00EF06EF"/>
    <w:rsid w:val="00EF3381"/>
    <w:rsid w:val="00EF4A01"/>
    <w:rsid w:val="00EF4BA1"/>
    <w:rsid w:val="00F04156"/>
    <w:rsid w:val="00F06FE8"/>
    <w:rsid w:val="00F130D0"/>
    <w:rsid w:val="00F153F6"/>
    <w:rsid w:val="00F24208"/>
    <w:rsid w:val="00F26D99"/>
    <w:rsid w:val="00F400A1"/>
    <w:rsid w:val="00F4122A"/>
    <w:rsid w:val="00F4373F"/>
    <w:rsid w:val="00F458C3"/>
    <w:rsid w:val="00F5208E"/>
    <w:rsid w:val="00F53217"/>
    <w:rsid w:val="00F54537"/>
    <w:rsid w:val="00F5631F"/>
    <w:rsid w:val="00F66DCE"/>
    <w:rsid w:val="00F673E3"/>
    <w:rsid w:val="00F83297"/>
    <w:rsid w:val="00F849E0"/>
    <w:rsid w:val="00F86439"/>
    <w:rsid w:val="00F87479"/>
    <w:rsid w:val="00F94314"/>
    <w:rsid w:val="00F94CDB"/>
    <w:rsid w:val="00FA351E"/>
    <w:rsid w:val="00FA6918"/>
    <w:rsid w:val="00FB3E4E"/>
    <w:rsid w:val="00FB559B"/>
    <w:rsid w:val="00FC0079"/>
    <w:rsid w:val="00FC1339"/>
    <w:rsid w:val="00FC16B9"/>
    <w:rsid w:val="00FC1F07"/>
    <w:rsid w:val="00FD6A6F"/>
    <w:rsid w:val="00FE0F9C"/>
    <w:rsid w:val="00FE31E5"/>
    <w:rsid w:val="00FE4089"/>
    <w:rsid w:val="00FE4B05"/>
    <w:rsid w:val="00FE63B7"/>
    <w:rsid w:val="00FF0D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4A4055"/>
  <w15:chartTrackingRefBased/>
  <w15:docId w15:val="{0E4E4DE9-1142-B142-A83A-B4FF2B755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C5A"/>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C9692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6125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66260E"/>
    <w:pPr>
      <w:spacing w:after="120" w:line="360" w:lineRule="auto"/>
    </w:pPr>
    <w:rPr>
      <w:b/>
      <w:sz w:val="28"/>
    </w:rPr>
  </w:style>
  <w:style w:type="paragraph" w:customStyle="1" w:styleId="Authornames">
    <w:name w:val="Author names"/>
    <w:basedOn w:val="Normal"/>
    <w:next w:val="Normal"/>
    <w:qFormat/>
    <w:rsid w:val="00681C0B"/>
    <w:pPr>
      <w:spacing w:before="240" w:line="360" w:lineRule="auto"/>
    </w:pPr>
    <w:rPr>
      <w:sz w:val="28"/>
    </w:rPr>
  </w:style>
  <w:style w:type="paragraph" w:customStyle="1" w:styleId="Affiliation">
    <w:name w:val="Affiliation"/>
    <w:basedOn w:val="Normal"/>
    <w:qFormat/>
    <w:rsid w:val="00681C0B"/>
    <w:pPr>
      <w:spacing w:before="240" w:line="360" w:lineRule="auto"/>
    </w:pPr>
    <w:rPr>
      <w:i/>
    </w:rPr>
  </w:style>
  <w:style w:type="paragraph" w:styleId="FootnoteText">
    <w:name w:val="footnote text"/>
    <w:basedOn w:val="Normal"/>
    <w:link w:val="FootnoteTextChar"/>
    <w:autoRedefine/>
    <w:rsid w:val="00B72DD7"/>
    <w:rPr>
      <w:color w:val="000000" w:themeColor="text1"/>
      <w:sz w:val="20"/>
      <w:szCs w:val="20"/>
    </w:rPr>
  </w:style>
  <w:style w:type="character" w:customStyle="1" w:styleId="FootnoteTextChar">
    <w:name w:val="Footnote Text Char"/>
    <w:basedOn w:val="DefaultParagraphFont"/>
    <w:link w:val="FootnoteText"/>
    <w:rsid w:val="00B72DD7"/>
    <w:rPr>
      <w:rFonts w:ascii="Times New Roman" w:eastAsia="Times New Roman" w:hAnsi="Times New Roman" w:cs="Times New Roman"/>
      <w:color w:val="000000" w:themeColor="text1"/>
      <w:sz w:val="20"/>
      <w:szCs w:val="20"/>
      <w:lang w:eastAsia="en-GB"/>
    </w:rPr>
  </w:style>
  <w:style w:type="character" w:styleId="FootnoteReference">
    <w:name w:val="footnote reference"/>
    <w:basedOn w:val="DefaultParagraphFont"/>
    <w:rsid w:val="00681C0B"/>
    <w:rPr>
      <w:vertAlign w:val="superscript"/>
    </w:rPr>
  </w:style>
  <w:style w:type="character" w:styleId="Hyperlink">
    <w:name w:val="Hyperlink"/>
    <w:basedOn w:val="DefaultParagraphFont"/>
    <w:uiPriority w:val="99"/>
    <w:unhideWhenUsed/>
    <w:rsid w:val="00681C0B"/>
    <w:rPr>
      <w:color w:val="0563C1" w:themeColor="hyperlink"/>
      <w:u w:val="single"/>
    </w:rPr>
  </w:style>
  <w:style w:type="character" w:styleId="UnresolvedMention">
    <w:name w:val="Unresolved Mention"/>
    <w:basedOn w:val="DefaultParagraphFont"/>
    <w:uiPriority w:val="99"/>
    <w:semiHidden/>
    <w:unhideWhenUsed/>
    <w:rsid w:val="0000500B"/>
    <w:rPr>
      <w:color w:val="605E5C"/>
      <w:shd w:val="clear" w:color="auto" w:fill="E1DFDD"/>
    </w:rPr>
  </w:style>
  <w:style w:type="paragraph" w:styleId="NormalWeb">
    <w:name w:val="Normal (Web)"/>
    <w:basedOn w:val="Normal"/>
    <w:uiPriority w:val="99"/>
    <w:unhideWhenUsed/>
    <w:rsid w:val="00260F51"/>
    <w:pPr>
      <w:spacing w:before="100" w:beforeAutospacing="1" w:after="100" w:afterAutospacing="1"/>
    </w:pPr>
  </w:style>
  <w:style w:type="character" w:customStyle="1" w:styleId="font-weight-bold">
    <w:name w:val="font-weight-bold"/>
    <w:basedOn w:val="DefaultParagraphFont"/>
    <w:rsid w:val="00260F51"/>
  </w:style>
  <w:style w:type="character" w:customStyle="1" w:styleId="apple-converted-space">
    <w:name w:val="apple-converted-space"/>
    <w:basedOn w:val="DefaultParagraphFont"/>
    <w:rsid w:val="00260F51"/>
  </w:style>
  <w:style w:type="paragraph" w:styleId="Footer">
    <w:name w:val="footer"/>
    <w:basedOn w:val="Normal"/>
    <w:link w:val="FooterChar"/>
    <w:uiPriority w:val="99"/>
    <w:unhideWhenUsed/>
    <w:rsid w:val="0061120B"/>
    <w:pPr>
      <w:tabs>
        <w:tab w:val="center" w:pos="4680"/>
        <w:tab w:val="right" w:pos="9360"/>
      </w:tabs>
    </w:pPr>
  </w:style>
  <w:style w:type="character" w:customStyle="1" w:styleId="FooterChar">
    <w:name w:val="Footer Char"/>
    <w:basedOn w:val="DefaultParagraphFont"/>
    <w:link w:val="Footer"/>
    <w:uiPriority w:val="99"/>
    <w:rsid w:val="0061120B"/>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61120B"/>
  </w:style>
  <w:style w:type="paragraph" w:customStyle="1" w:styleId="Newparagraph">
    <w:name w:val="New paragraph"/>
    <w:basedOn w:val="Normal"/>
    <w:qFormat/>
    <w:rsid w:val="00B10CC4"/>
    <w:pPr>
      <w:ind w:firstLine="720"/>
    </w:pPr>
  </w:style>
  <w:style w:type="paragraph" w:styleId="ListParagraph">
    <w:name w:val="List Paragraph"/>
    <w:basedOn w:val="Normal"/>
    <w:uiPriority w:val="34"/>
    <w:qFormat/>
    <w:rsid w:val="004763C9"/>
    <w:pPr>
      <w:ind w:left="720"/>
      <w:contextualSpacing/>
    </w:pPr>
  </w:style>
  <w:style w:type="paragraph" w:styleId="BodyText">
    <w:name w:val="Body Text"/>
    <w:basedOn w:val="Normal"/>
    <w:link w:val="BodyTextChar"/>
    <w:uiPriority w:val="99"/>
    <w:semiHidden/>
    <w:unhideWhenUsed/>
    <w:rsid w:val="00F673E3"/>
    <w:pPr>
      <w:spacing w:after="120"/>
    </w:pPr>
  </w:style>
  <w:style w:type="character" w:customStyle="1" w:styleId="BodyTextChar">
    <w:name w:val="Body Text Char"/>
    <w:basedOn w:val="DefaultParagraphFont"/>
    <w:link w:val="BodyText"/>
    <w:uiPriority w:val="99"/>
    <w:semiHidden/>
    <w:rsid w:val="00F673E3"/>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A14479"/>
    <w:rPr>
      <w:color w:val="954F72" w:themeColor="followedHyperlink"/>
      <w:u w:val="single"/>
    </w:rPr>
  </w:style>
  <w:style w:type="character" w:customStyle="1" w:styleId="Heading2Char">
    <w:name w:val="Heading 2 Char"/>
    <w:basedOn w:val="DefaultParagraphFont"/>
    <w:link w:val="Heading2"/>
    <w:uiPriority w:val="9"/>
    <w:semiHidden/>
    <w:rsid w:val="00E61252"/>
    <w:rPr>
      <w:rFonts w:asciiTheme="majorHAnsi" w:eastAsiaTheme="majorEastAsia" w:hAnsiTheme="majorHAnsi" w:cstheme="majorBidi"/>
      <w:color w:val="2F5496" w:themeColor="accent1" w:themeShade="BF"/>
      <w:sz w:val="26"/>
      <w:szCs w:val="26"/>
      <w:lang w:eastAsia="en-GB"/>
    </w:rPr>
  </w:style>
  <w:style w:type="paragraph" w:styleId="EndnoteText">
    <w:name w:val="endnote text"/>
    <w:basedOn w:val="Normal"/>
    <w:link w:val="EndnoteTextChar"/>
    <w:uiPriority w:val="99"/>
    <w:semiHidden/>
    <w:unhideWhenUsed/>
    <w:rsid w:val="00696960"/>
    <w:rPr>
      <w:sz w:val="20"/>
      <w:szCs w:val="20"/>
    </w:rPr>
  </w:style>
  <w:style w:type="character" w:customStyle="1" w:styleId="EndnoteTextChar">
    <w:name w:val="Endnote Text Char"/>
    <w:basedOn w:val="DefaultParagraphFont"/>
    <w:link w:val="EndnoteText"/>
    <w:uiPriority w:val="99"/>
    <w:semiHidden/>
    <w:rsid w:val="00696960"/>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sid w:val="00696960"/>
    <w:rPr>
      <w:vertAlign w:val="superscript"/>
    </w:rPr>
  </w:style>
  <w:style w:type="character" w:styleId="Emphasis">
    <w:name w:val="Emphasis"/>
    <w:basedOn w:val="DefaultParagraphFont"/>
    <w:uiPriority w:val="20"/>
    <w:qFormat/>
    <w:rsid w:val="001B55D5"/>
    <w:rPr>
      <w:i/>
      <w:iCs/>
    </w:rPr>
  </w:style>
  <w:style w:type="character" w:customStyle="1" w:styleId="Heading1Char">
    <w:name w:val="Heading 1 Char"/>
    <w:basedOn w:val="DefaultParagraphFont"/>
    <w:link w:val="Heading1"/>
    <w:uiPriority w:val="9"/>
    <w:rsid w:val="00C9692E"/>
    <w:rPr>
      <w:rFonts w:asciiTheme="majorHAnsi" w:eastAsiaTheme="majorEastAsia" w:hAnsiTheme="majorHAnsi" w:cstheme="majorBidi"/>
      <w:color w:val="2F5496" w:themeColor="accent1" w:themeShade="BF"/>
      <w:sz w:val="32"/>
      <w:szCs w:val="32"/>
      <w:lang w:eastAsia="en-GB"/>
    </w:rPr>
  </w:style>
  <w:style w:type="character" w:styleId="CommentReference">
    <w:name w:val="annotation reference"/>
    <w:basedOn w:val="DefaultParagraphFont"/>
    <w:uiPriority w:val="99"/>
    <w:semiHidden/>
    <w:unhideWhenUsed/>
    <w:rsid w:val="00736C3D"/>
    <w:rPr>
      <w:sz w:val="16"/>
      <w:szCs w:val="16"/>
    </w:rPr>
  </w:style>
  <w:style w:type="paragraph" w:styleId="CommentText">
    <w:name w:val="annotation text"/>
    <w:basedOn w:val="Normal"/>
    <w:link w:val="CommentTextChar"/>
    <w:uiPriority w:val="99"/>
    <w:semiHidden/>
    <w:unhideWhenUsed/>
    <w:rsid w:val="00736C3D"/>
    <w:rPr>
      <w:sz w:val="20"/>
      <w:szCs w:val="20"/>
    </w:rPr>
  </w:style>
  <w:style w:type="character" w:customStyle="1" w:styleId="CommentTextChar">
    <w:name w:val="Comment Text Char"/>
    <w:basedOn w:val="DefaultParagraphFont"/>
    <w:link w:val="CommentText"/>
    <w:uiPriority w:val="99"/>
    <w:semiHidden/>
    <w:rsid w:val="00736C3D"/>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736C3D"/>
    <w:rPr>
      <w:b/>
      <w:bCs/>
    </w:rPr>
  </w:style>
  <w:style w:type="character" w:customStyle="1" w:styleId="CommentSubjectChar">
    <w:name w:val="Comment Subject Char"/>
    <w:basedOn w:val="CommentTextChar"/>
    <w:link w:val="CommentSubject"/>
    <w:uiPriority w:val="99"/>
    <w:semiHidden/>
    <w:rsid w:val="00736C3D"/>
    <w:rPr>
      <w:rFonts w:ascii="Times New Roman" w:eastAsia="Times New Roman" w:hAnsi="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34121">
      <w:bodyDiv w:val="1"/>
      <w:marLeft w:val="0"/>
      <w:marRight w:val="0"/>
      <w:marTop w:val="0"/>
      <w:marBottom w:val="0"/>
      <w:divBdr>
        <w:top w:val="none" w:sz="0" w:space="0" w:color="auto"/>
        <w:left w:val="none" w:sz="0" w:space="0" w:color="auto"/>
        <w:bottom w:val="none" w:sz="0" w:space="0" w:color="auto"/>
        <w:right w:val="none" w:sz="0" w:space="0" w:color="auto"/>
      </w:divBdr>
    </w:div>
    <w:div w:id="20128727">
      <w:bodyDiv w:val="1"/>
      <w:marLeft w:val="0"/>
      <w:marRight w:val="0"/>
      <w:marTop w:val="0"/>
      <w:marBottom w:val="0"/>
      <w:divBdr>
        <w:top w:val="none" w:sz="0" w:space="0" w:color="auto"/>
        <w:left w:val="none" w:sz="0" w:space="0" w:color="auto"/>
        <w:bottom w:val="none" w:sz="0" w:space="0" w:color="auto"/>
        <w:right w:val="none" w:sz="0" w:space="0" w:color="auto"/>
      </w:divBdr>
    </w:div>
    <w:div w:id="23755641">
      <w:bodyDiv w:val="1"/>
      <w:marLeft w:val="0"/>
      <w:marRight w:val="0"/>
      <w:marTop w:val="0"/>
      <w:marBottom w:val="0"/>
      <w:divBdr>
        <w:top w:val="none" w:sz="0" w:space="0" w:color="auto"/>
        <w:left w:val="none" w:sz="0" w:space="0" w:color="auto"/>
        <w:bottom w:val="none" w:sz="0" w:space="0" w:color="auto"/>
        <w:right w:val="none" w:sz="0" w:space="0" w:color="auto"/>
      </w:divBdr>
    </w:div>
    <w:div w:id="47648296">
      <w:bodyDiv w:val="1"/>
      <w:marLeft w:val="0"/>
      <w:marRight w:val="0"/>
      <w:marTop w:val="0"/>
      <w:marBottom w:val="0"/>
      <w:divBdr>
        <w:top w:val="none" w:sz="0" w:space="0" w:color="auto"/>
        <w:left w:val="none" w:sz="0" w:space="0" w:color="auto"/>
        <w:bottom w:val="none" w:sz="0" w:space="0" w:color="auto"/>
        <w:right w:val="none" w:sz="0" w:space="0" w:color="auto"/>
      </w:divBdr>
    </w:div>
    <w:div w:id="75326451">
      <w:bodyDiv w:val="1"/>
      <w:marLeft w:val="0"/>
      <w:marRight w:val="0"/>
      <w:marTop w:val="0"/>
      <w:marBottom w:val="0"/>
      <w:divBdr>
        <w:top w:val="none" w:sz="0" w:space="0" w:color="auto"/>
        <w:left w:val="none" w:sz="0" w:space="0" w:color="auto"/>
        <w:bottom w:val="none" w:sz="0" w:space="0" w:color="auto"/>
        <w:right w:val="none" w:sz="0" w:space="0" w:color="auto"/>
      </w:divBdr>
    </w:div>
    <w:div w:id="82074791">
      <w:bodyDiv w:val="1"/>
      <w:marLeft w:val="0"/>
      <w:marRight w:val="0"/>
      <w:marTop w:val="0"/>
      <w:marBottom w:val="0"/>
      <w:divBdr>
        <w:top w:val="none" w:sz="0" w:space="0" w:color="auto"/>
        <w:left w:val="none" w:sz="0" w:space="0" w:color="auto"/>
        <w:bottom w:val="none" w:sz="0" w:space="0" w:color="auto"/>
        <w:right w:val="none" w:sz="0" w:space="0" w:color="auto"/>
      </w:divBdr>
      <w:divsChild>
        <w:div w:id="1149594989">
          <w:marLeft w:val="0"/>
          <w:marRight w:val="0"/>
          <w:marTop w:val="0"/>
          <w:marBottom w:val="0"/>
          <w:divBdr>
            <w:top w:val="none" w:sz="0" w:space="0" w:color="auto"/>
            <w:left w:val="none" w:sz="0" w:space="0" w:color="auto"/>
            <w:bottom w:val="none" w:sz="0" w:space="0" w:color="auto"/>
            <w:right w:val="none" w:sz="0" w:space="0" w:color="auto"/>
          </w:divBdr>
          <w:divsChild>
            <w:div w:id="790831021">
              <w:marLeft w:val="0"/>
              <w:marRight w:val="0"/>
              <w:marTop w:val="0"/>
              <w:marBottom w:val="0"/>
              <w:divBdr>
                <w:top w:val="none" w:sz="0" w:space="0" w:color="auto"/>
                <w:left w:val="none" w:sz="0" w:space="0" w:color="auto"/>
                <w:bottom w:val="none" w:sz="0" w:space="0" w:color="auto"/>
                <w:right w:val="none" w:sz="0" w:space="0" w:color="auto"/>
              </w:divBdr>
              <w:divsChild>
                <w:div w:id="11687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7008">
      <w:bodyDiv w:val="1"/>
      <w:marLeft w:val="0"/>
      <w:marRight w:val="0"/>
      <w:marTop w:val="0"/>
      <w:marBottom w:val="0"/>
      <w:divBdr>
        <w:top w:val="none" w:sz="0" w:space="0" w:color="auto"/>
        <w:left w:val="none" w:sz="0" w:space="0" w:color="auto"/>
        <w:bottom w:val="none" w:sz="0" w:space="0" w:color="auto"/>
        <w:right w:val="none" w:sz="0" w:space="0" w:color="auto"/>
      </w:divBdr>
    </w:div>
    <w:div w:id="92358417">
      <w:bodyDiv w:val="1"/>
      <w:marLeft w:val="0"/>
      <w:marRight w:val="0"/>
      <w:marTop w:val="0"/>
      <w:marBottom w:val="0"/>
      <w:divBdr>
        <w:top w:val="none" w:sz="0" w:space="0" w:color="auto"/>
        <w:left w:val="none" w:sz="0" w:space="0" w:color="auto"/>
        <w:bottom w:val="none" w:sz="0" w:space="0" w:color="auto"/>
        <w:right w:val="none" w:sz="0" w:space="0" w:color="auto"/>
      </w:divBdr>
    </w:div>
    <w:div w:id="100028378">
      <w:bodyDiv w:val="1"/>
      <w:marLeft w:val="0"/>
      <w:marRight w:val="0"/>
      <w:marTop w:val="0"/>
      <w:marBottom w:val="0"/>
      <w:divBdr>
        <w:top w:val="none" w:sz="0" w:space="0" w:color="auto"/>
        <w:left w:val="none" w:sz="0" w:space="0" w:color="auto"/>
        <w:bottom w:val="none" w:sz="0" w:space="0" w:color="auto"/>
        <w:right w:val="none" w:sz="0" w:space="0" w:color="auto"/>
      </w:divBdr>
      <w:divsChild>
        <w:div w:id="937761774">
          <w:marLeft w:val="0"/>
          <w:marRight w:val="0"/>
          <w:marTop w:val="0"/>
          <w:marBottom w:val="0"/>
          <w:divBdr>
            <w:top w:val="none" w:sz="0" w:space="0" w:color="auto"/>
            <w:left w:val="none" w:sz="0" w:space="0" w:color="auto"/>
            <w:bottom w:val="none" w:sz="0" w:space="0" w:color="auto"/>
            <w:right w:val="none" w:sz="0" w:space="0" w:color="auto"/>
          </w:divBdr>
          <w:divsChild>
            <w:div w:id="815491327">
              <w:marLeft w:val="0"/>
              <w:marRight w:val="0"/>
              <w:marTop w:val="0"/>
              <w:marBottom w:val="0"/>
              <w:divBdr>
                <w:top w:val="none" w:sz="0" w:space="0" w:color="auto"/>
                <w:left w:val="none" w:sz="0" w:space="0" w:color="auto"/>
                <w:bottom w:val="none" w:sz="0" w:space="0" w:color="auto"/>
                <w:right w:val="none" w:sz="0" w:space="0" w:color="auto"/>
              </w:divBdr>
              <w:divsChild>
                <w:div w:id="187349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97484">
      <w:bodyDiv w:val="1"/>
      <w:marLeft w:val="0"/>
      <w:marRight w:val="0"/>
      <w:marTop w:val="0"/>
      <w:marBottom w:val="0"/>
      <w:divBdr>
        <w:top w:val="none" w:sz="0" w:space="0" w:color="auto"/>
        <w:left w:val="none" w:sz="0" w:space="0" w:color="auto"/>
        <w:bottom w:val="none" w:sz="0" w:space="0" w:color="auto"/>
        <w:right w:val="none" w:sz="0" w:space="0" w:color="auto"/>
      </w:divBdr>
      <w:divsChild>
        <w:div w:id="1414088098">
          <w:marLeft w:val="0"/>
          <w:marRight w:val="0"/>
          <w:marTop w:val="0"/>
          <w:marBottom w:val="0"/>
          <w:divBdr>
            <w:top w:val="none" w:sz="0" w:space="0" w:color="auto"/>
            <w:left w:val="none" w:sz="0" w:space="0" w:color="auto"/>
            <w:bottom w:val="none" w:sz="0" w:space="0" w:color="auto"/>
            <w:right w:val="none" w:sz="0" w:space="0" w:color="auto"/>
          </w:divBdr>
          <w:divsChild>
            <w:div w:id="103421605">
              <w:marLeft w:val="0"/>
              <w:marRight w:val="0"/>
              <w:marTop w:val="0"/>
              <w:marBottom w:val="0"/>
              <w:divBdr>
                <w:top w:val="none" w:sz="0" w:space="0" w:color="auto"/>
                <w:left w:val="none" w:sz="0" w:space="0" w:color="auto"/>
                <w:bottom w:val="none" w:sz="0" w:space="0" w:color="auto"/>
                <w:right w:val="none" w:sz="0" w:space="0" w:color="auto"/>
              </w:divBdr>
              <w:divsChild>
                <w:div w:id="1153836018">
                  <w:marLeft w:val="0"/>
                  <w:marRight w:val="0"/>
                  <w:marTop w:val="0"/>
                  <w:marBottom w:val="0"/>
                  <w:divBdr>
                    <w:top w:val="none" w:sz="0" w:space="0" w:color="auto"/>
                    <w:left w:val="none" w:sz="0" w:space="0" w:color="auto"/>
                    <w:bottom w:val="none" w:sz="0" w:space="0" w:color="auto"/>
                    <w:right w:val="none" w:sz="0" w:space="0" w:color="auto"/>
                  </w:divBdr>
                  <w:divsChild>
                    <w:div w:id="114408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65344">
      <w:bodyDiv w:val="1"/>
      <w:marLeft w:val="0"/>
      <w:marRight w:val="0"/>
      <w:marTop w:val="0"/>
      <w:marBottom w:val="0"/>
      <w:divBdr>
        <w:top w:val="none" w:sz="0" w:space="0" w:color="auto"/>
        <w:left w:val="none" w:sz="0" w:space="0" w:color="auto"/>
        <w:bottom w:val="none" w:sz="0" w:space="0" w:color="auto"/>
        <w:right w:val="none" w:sz="0" w:space="0" w:color="auto"/>
      </w:divBdr>
    </w:div>
    <w:div w:id="183789328">
      <w:bodyDiv w:val="1"/>
      <w:marLeft w:val="0"/>
      <w:marRight w:val="0"/>
      <w:marTop w:val="0"/>
      <w:marBottom w:val="0"/>
      <w:divBdr>
        <w:top w:val="none" w:sz="0" w:space="0" w:color="auto"/>
        <w:left w:val="none" w:sz="0" w:space="0" w:color="auto"/>
        <w:bottom w:val="none" w:sz="0" w:space="0" w:color="auto"/>
        <w:right w:val="none" w:sz="0" w:space="0" w:color="auto"/>
      </w:divBdr>
    </w:div>
    <w:div w:id="184099598">
      <w:bodyDiv w:val="1"/>
      <w:marLeft w:val="0"/>
      <w:marRight w:val="0"/>
      <w:marTop w:val="0"/>
      <w:marBottom w:val="0"/>
      <w:divBdr>
        <w:top w:val="none" w:sz="0" w:space="0" w:color="auto"/>
        <w:left w:val="none" w:sz="0" w:space="0" w:color="auto"/>
        <w:bottom w:val="none" w:sz="0" w:space="0" w:color="auto"/>
        <w:right w:val="none" w:sz="0" w:space="0" w:color="auto"/>
      </w:divBdr>
    </w:div>
    <w:div w:id="197007176">
      <w:bodyDiv w:val="1"/>
      <w:marLeft w:val="0"/>
      <w:marRight w:val="0"/>
      <w:marTop w:val="0"/>
      <w:marBottom w:val="0"/>
      <w:divBdr>
        <w:top w:val="none" w:sz="0" w:space="0" w:color="auto"/>
        <w:left w:val="none" w:sz="0" w:space="0" w:color="auto"/>
        <w:bottom w:val="none" w:sz="0" w:space="0" w:color="auto"/>
        <w:right w:val="none" w:sz="0" w:space="0" w:color="auto"/>
      </w:divBdr>
      <w:divsChild>
        <w:div w:id="2091930056">
          <w:marLeft w:val="0"/>
          <w:marRight w:val="0"/>
          <w:marTop w:val="0"/>
          <w:marBottom w:val="0"/>
          <w:divBdr>
            <w:top w:val="none" w:sz="0" w:space="0" w:color="auto"/>
            <w:left w:val="none" w:sz="0" w:space="0" w:color="auto"/>
            <w:bottom w:val="none" w:sz="0" w:space="0" w:color="auto"/>
            <w:right w:val="none" w:sz="0" w:space="0" w:color="auto"/>
          </w:divBdr>
          <w:divsChild>
            <w:div w:id="794450903">
              <w:marLeft w:val="0"/>
              <w:marRight w:val="0"/>
              <w:marTop w:val="0"/>
              <w:marBottom w:val="0"/>
              <w:divBdr>
                <w:top w:val="none" w:sz="0" w:space="0" w:color="auto"/>
                <w:left w:val="none" w:sz="0" w:space="0" w:color="auto"/>
                <w:bottom w:val="none" w:sz="0" w:space="0" w:color="auto"/>
                <w:right w:val="none" w:sz="0" w:space="0" w:color="auto"/>
              </w:divBdr>
              <w:divsChild>
                <w:div w:id="24700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51876">
      <w:bodyDiv w:val="1"/>
      <w:marLeft w:val="0"/>
      <w:marRight w:val="0"/>
      <w:marTop w:val="0"/>
      <w:marBottom w:val="0"/>
      <w:divBdr>
        <w:top w:val="none" w:sz="0" w:space="0" w:color="auto"/>
        <w:left w:val="none" w:sz="0" w:space="0" w:color="auto"/>
        <w:bottom w:val="none" w:sz="0" w:space="0" w:color="auto"/>
        <w:right w:val="none" w:sz="0" w:space="0" w:color="auto"/>
      </w:divBdr>
      <w:divsChild>
        <w:div w:id="907031559">
          <w:marLeft w:val="0"/>
          <w:marRight w:val="0"/>
          <w:marTop w:val="0"/>
          <w:marBottom w:val="0"/>
          <w:divBdr>
            <w:top w:val="none" w:sz="0" w:space="0" w:color="auto"/>
            <w:left w:val="none" w:sz="0" w:space="0" w:color="auto"/>
            <w:bottom w:val="none" w:sz="0" w:space="0" w:color="auto"/>
            <w:right w:val="none" w:sz="0" w:space="0" w:color="auto"/>
          </w:divBdr>
          <w:divsChild>
            <w:div w:id="1104110827">
              <w:marLeft w:val="0"/>
              <w:marRight w:val="0"/>
              <w:marTop w:val="0"/>
              <w:marBottom w:val="0"/>
              <w:divBdr>
                <w:top w:val="none" w:sz="0" w:space="0" w:color="auto"/>
                <w:left w:val="none" w:sz="0" w:space="0" w:color="auto"/>
                <w:bottom w:val="none" w:sz="0" w:space="0" w:color="auto"/>
                <w:right w:val="none" w:sz="0" w:space="0" w:color="auto"/>
              </w:divBdr>
              <w:divsChild>
                <w:div w:id="780490743">
                  <w:marLeft w:val="0"/>
                  <w:marRight w:val="0"/>
                  <w:marTop w:val="0"/>
                  <w:marBottom w:val="0"/>
                  <w:divBdr>
                    <w:top w:val="none" w:sz="0" w:space="0" w:color="auto"/>
                    <w:left w:val="none" w:sz="0" w:space="0" w:color="auto"/>
                    <w:bottom w:val="none" w:sz="0" w:space="0" w:color="auto"/>
                    <w:right w:val="none" w:sz="0" w:space="0" w:color="auto"/>
                  </w:divBdr>
                  <w:divsChild>
                    <w:div w:id="213601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018144">
      <w:bodyDiv w:val="1"/>
      <w:marLeft w:val="0"/>
      <w:marRight w:val="0"/>
      <w:marTop w:val="0"/>
      <w:marBottom w:val="0"/>
      <w:divBdr>
        <w:top w:val="none" w:sz="0" w:space="0" w:color="auto"/>
        <w:left w:val="none" w:sz="0" w:space="0" w:color="auto"/>
        <w:bottom w:val="none" w:sz="0" w:space="0" w:color="auto"/>
        <w:right w:val="none" w:sz="0" w:space="0" w:color="auto"/>
      </w:divBdr>
      <w:divsChild>
        <w:div w:id="476800654">
          <w:marLeft w:val="0"/>
          <w:marRight w:val="0"/>
          <w:marTop w:val="0"/>
          <w:marBottom w:val="0"/>
          <w:divBdr>
            <w:top w:val="none" w:sz="0" w:space="0" w:color="auto"/>
            <w:left w:val="none" w:sz="0" w:space="0" w:color="auto"/>
            <w:bottom w:val="none" w:sz="0" w:space="0" w:color="auto"/>
            <w:right w:val="none" w:sz="0" w:space="0" w:color="auto"/>
          </w:divBdr>
          <w:divsChild>
            <w:div w:id="274023016">
              <w:marLeft w:val="0"/>
              <w:marRight w:val="0"/>
              <w:marTop w:val="0"/>
              <w:marBottom w:val="0"/>
              <w:divBdr>
                <w:top w:val="none" w:sz="0" w:space="0" w:color="auto"/>
                <w:left w:val="none" w:sz="0" w:space="0" w:color="auto"/>
                <w:bottom w:val="none" w:sz="0" w:space="0" w:color="auto"/>
                <w:right w:val="none" w:sz="0" w:space="0" w:color="auto"/>
              </w:divBdr>
              <w:divsChild>
                <w:div w:id="1736927270">
                  <w:marLeft w:val="0"/>
                  <w:marRight w:val="0"/>
                  <w:marTop w:val="0"/>
                  <w:marBottom w:val="0"/>
                  <w:divBdr>
                    <w:top w:val="none" w:sz="0" w:space="0" w:color="auto"/>
                    <w:left w:val="none" w:sz="0" w:space="0" w:color="auto"/>
                    <w:bottom w:val="none" w:sz="0" w:space="0" w:color="auto"/>
                    <w:right w:val="none" w:sz="0" w:space="0" w:color="auto"/>
                  </w:divBdr>
                  <w:divsChild>
                    <w:div w:id="60319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287839">
      <w:bodyDiv w:val="1"/>
      <w:marLeft w:val="0"/>
      <w:marRight w:val="0"/>
      <w:marTop w:val="0"/>
      <w:marBottom w:val="0"/>
      <w:divBdr>
        <w:top w:val="none" w:sz="0" w:space="0" w:color="auto"/>
        <w:left w:val="none" w:sz="0" w:space="0" w:color="auto"/>
        <w:bottom w:val="none" w:sz="0" w:space="0" w:color="auto"/>
        <w:right w:val="none" w:sz="0" w:space="0" w:color="auto"/>
      </w:divBdr>
    </w:div>
    <w:div w:id="331951293">
      <w:bodyDiv w:val="1"/>
      <w:marLeft w:val="0"/>
      <w:marRight w:val="0"/>
      <w:marTop w:val="0"/>
      <w:marBottom w:val="0"/>
      <w:divBdr>
        <w:top w:val="none" w:sz="0" w:space="0" w:color="auto"/>
        <w:left w:val="none" w:sz="0" w:space="0" w:color="auto"/>
        <w:bottom w:val="none" w:sz="0" w:space="0" w:color="auto"/>
        <w:right w:val="none" w:sz="0" w:space="0" w:color="auto"/>
      </w:divBdr>
    </w:div>
    <w:div w:id="343629573">
      <w:bodyDiv w:val="1"/>
      <w:marLeft w:val="0"/>
      <w:marRight w:val="0"/>
      <w:marTop w:val="0"/>
      <w:marBottom w:val="0"/>
      <w:divBdr>
        <w:top w:val="none" w:sz="0" w:space="0" w:color="auto"/>
        <w:left w:val="none" w:sz="0" w:space="0" w:color="auto"/>
        <w:bottom w:val="none" w:sz="0" w:space="0" w:color="auto"/>
        <w:right w:val="none" w:sz="0" w:space="0" w:color="auto"/>
      </w:divBdr>
      <w:divsChild>
        <w:div w:id="2074038825">
          <w:marLeft w:val="0"/>
          <w:marRight w:val="0"/>
          <w:marTop w:val="0"/>
          <w:marBottom w:val="0"/>
          <w:divBdr>
            <w:top w:val="none" w:sz="0" w:space="0" w:color="auto"/>
            <w:left w:val="none" w:sz="0" w:space="0" w:color="auto"/>
            <w:bottom w:val="none" w:sz="0" w:space="0" w:color="auto"/>
            <w:right w:val="none" w:sz="0" w:space="0" w:color="auto"/>
          </w:divBdr>
          <w:divsChild>
            <w:div w:id="1490360768">
              <w:marLeft w:val="0"/>
              <w:marRight w:val="0"/>
              <w:marTop w:val="0"/>
              <w:marBottom w:val="0"/>
              <w:divBdr>
                <w:top w:val="none" w:sz="0" w:space="0" w:color="auto"/>
                <w:left w:val="none" w:sz="0" w:space="0" w:color="auto"/>
                <w:bottom w:val="none" w:sz="0" w:space="0" w:color="auto"/>
                <w:right w:val="none" w:sz="0" w:space="0" w:color="auto"/>
              </w:divBdr>
              <w:divsChild>
                <w:div w:id="3150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694765">
      <w:bodyDiv w:val="1"/>
      <w:marLeft w:val="0"/>
      <w:marRight w:val="0"/>
      <w:marTop w:val="0"/>
      <w:marBottom w:val="0"/>
      <w:divBdr>
        <w:top w:val="none" w:sz="0" w:space="0" w:color="auto"/>
        <w:left w:val="none" w:sz="0" w:space="0" w:color="auto"/>
        <w:bottom w:val="none" w:sz="0" w:space="0" w:color="auto"/>
        <w:right w:val="none" w:sz="0" w:space="0" w:color="auto"/>
      </w:divBdr>
    </w:div>
    <w:div w:id="378015069">
      <w:bodyDiv w:val="1"/>
      <w:marLeft w:val="0"/>
      <w:marRight w:val="0"/>
      <w:marTop w:val="0"/>
      <w:marBottom w:val="0"/>
      <w:divBdr>
        <w:top w:val="none" w:sz="0" w:space="0" w:color="auto"/>
        <w:left w:val="none" w:sz="0" w:space="0" w:color="auto"/>
        <w:bottom w:val="none" w:sz="0" w:space="0" w:color="auto"/>
        <w:right w:val="none" w:sz="0" w:space="0" w:color="auto"/>
      </w:divBdr>
    </w:div>
    <w:div w:id="380980023">
      <w:bodyDiv w:val="1"/>
      <w:marLeft w:val="0"/>
      <w:marRight w:val="0"/>
      <w:marTop w:val="0"/>
      <w:marBottom w:val="0"/>
      <w:divBdr>
        <w:top w:val="none" w:sz="0" w:space="0" w:color="auto"/>
        <w:left w:val="none" w:sz="0" w:space="0" w:color="auto"/>
        <w:bottom w:val="none" w:sz="0" w:space="0" w:color="auto"/>
        <w:right w:val="none" w:sz="0" w:space="0" w:color="auto"/>
      </w:divBdr>
    </w:div>
    <w:div w:id="397636984">
      <w:bodyDiv w:val="1"/>
      <w:marLeft w:val="0"/>
      <w:marRight w:val="0"/>
      <w:marTop w:val="0"/>
      <w:marBottom w:val="0"/>
      <w:divBdr>
        <w:top w:val="none" w:sz="0" w:space="0" w:color="auto"/>
        <w:left w:val="none" w:sz="0" w:space="0" w:color="auto"/>
        <w:bottom w:val="none" w:sz="0" w:space="0" w:color="auto"/>
        <w:right w:val="none" w:sz="0" w:space="0" w:color="auto"/>
      </w:divBdr>
      <w:divsChild>
        <w:div w:id="1944728690">
          <w:marLeft w:val="0"/>
          <w:marRight w:val="0"/>
          <w:marTop w:val="0"/>
          <w:marBottom w:val="0"/>
          <w:divBdr>
            <w:top w:val="none" w:sz="0" w:space="0" w:color="auto"/>
            <w:left w:val="none" w:sz="0" w:space="0" w:color="auto"/>
            <w:bottom w:val="none" w:sz="0" w:space="0" w:color="auto"/>
            <w:right w:val="none" w:sz="0" w:space="0" w:color="auto"/>
          </w:divBdr>
          <w:divsChild>
            <w:div w:id="2115246929">
              <w:marLeft w:val="0"/>
              <w:marRight w:val="0"/>
              <w:marTop w:val="0"/>
              <w:marBottom w:val="0"/>
              <w:divBdr>
                <w:top w:val="none" w:sz="0" w:space="0" w:color="auto"/>
                <w:left w:val="none" w:sz="0" w:space="0" w:color="auto"/>
                <w:bottom w:val="none" w:sz="0" w:space="0" w:color="auto"/>
                <w:right w:val="none" w:sz="0" w:space="0" w:color="auto"/>
              </w:divBdr>
              <w:divsChild>
                <w:div w:id="126006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832886">
      <w:bodyDiv w:val="1"/>
      <w:marLeft w:val="0"/>
      <w:marRight w:val="0"/>
      <w:marTop w:val="0"/>
      <w:marBottom w:val="0"/>
      <w:divBdr>
        <w:top w:val="none" w:sz="0" w:space="0" w:color="auto"/>
        <w:left w:val="none" w:sz="0" w:space="0" w:color="auto"/>
        <w:bottom w:val="none" w:sz="0" w:space="0" w:color="auto"/>
        <w:right w:val="none" w:sz="0" w:space="0" w:color="auto"/>
      </w:divBdr>
      <w:divsChild>
        <w:div w:id="626744370">
          <w:marLeft w:val="0"/>
          <w:marRight w:val="0"/>
          <w:marTop w:val="0"/>
          <w:marBottom w:val="0"/>
          <w:divBdr>
            <w:top w:val="none" w:sz="0" w:space="0" w:color="auto"/>
            <w:left w:val="none" w:sz="0" w:space="0" w:color="auto"/>
            <w:bottom w:val="none" w:sz="0" w:space="0" w:color="auto"/>
            <w:right w:val="none" w:sz="0" w:space="0" w:color="auto"/>
          </w:divBdr>
          <w:divsChild>
            <w:div w:id="1645740089">
              <w:marLeft w:val="0"/>
              <w:marRight w:val="0"/>
              <w:marTop w:val="0"/>
              <w:marBottom w:val="0"/>
              <w:divBdr>
                <w:top w:val="none" w:sz="0" w:space="0" w:color="auto"/>
                <w:left w:val="none" w:sz="0" w:space="0" w:color="auto"/>
                <w:bottom w:val="none" w:sz="0" w:space="0" w:color="auto"/>
                <w:right w:val="none" w:sz="0" w:space="0" w:color="auto"/>
              </w:divBdr>
              <w:divsChild>
                <w:div w:id="153946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75623">
      <w:bodyDiv w:val="1"/>
      <w:marLeft w:val="0"/>
      <w:marRight w:val="0"/>
      <w:marTop w:val="0"/>
      <w:marBottom w:val="0"/>
      <w:divBdr>
        <w:top w:val="none" w:sz="0" w:space="0" w:color="auto"/>
        <w:left w:val="none" w:sz="0" w:space="0" w:color="auto"/>
        <w:bottom w:val="none" w:sz="0" w:space="0" w:color="auto"/>
        <w:right w:val="none" w:sz="0" w:space="0" w:color="auto"/>
      </w:divBdr>
      <w:divsChild>
        <w:div w:id="934437425">
          <w:marLeft w:val="0"/>
          <w:marRight w:val="0"/>
          <w:marTop w:val="0"/>
          <w:marBottom w:val="0"/>
          <w:divBdr>
            <w:top w:val="none" w:sz="0" w:space="0" w:color="auto"/>
            <w:left w:val="none" w:sz="0" w:space="0" w:color="auto"/>
            <w:bottom w:val="none" w:sz="0" w:space="0" w:color="auto"/>
            <w:right w:val="none" w:sz="0" w:space="0" w:color="auto"/>
          </w:divBdr>
          <w:divsChild>
            <w:div w:id="944119368">
              <w:marLeft w:val="0"/>
              <w:marRight w:val="0"/>
              <w:marTop w:val="0"/>
              <w:marBottom w:val="0"/>
              <w:divBdr>
                <w:top w:val="none" w:sz="0" w:space="0" w:color="auto"/>
                <w:left w:val="none" w:sz="0" w:space="0" w:color="auto"/>
                <w:bottom w:val="none" w:sz="0" w:space="0" w:color="auto"/>
                <w:right w:val="none" w:sz="0" w:space="0" w:color="auto"/>
              </w:divBdr>
              <w:divsChild>
                <w:div w:id="123235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70722">
      <w:bodyDiv w:val="1"/>
      <w:marLeft w:val="0"/>
      <w:marRight w:val="0"/>
      <w:marTop w:val="0"/>
      <w:marBottom w:val="0"/>
      <w:divBdr>
        <w:top w:val="none" w:sz="0" w:space="0" w:color="auto"/>
        <w:left w:val="none" w:sz="0" w:space="0" w:color="auto"/>
        <w:bottom w:val="none" w:sz="0" w:space="0" w:color="auto"/>
        <w:right w:val="none" w:sz="0" w:space="0" w:color="auto"/>
      </w:divBdr>
      <w:divsChild>
        <w:div w:id="372076195">
          <w:marLeft w:val="0"/>
          <w:marRight w:val="0"/>
          <w:marTop w:val="0"/>
          <w:marBottom w:val="0"/>
          <w:divBdr>
            <w:top w:val="none" w:sz="0" w:space="0" w:color="auto"/>
            <w:left w:val="none" w:sz="0" w:space="0" w:color="auto"/>
            <w:bottom w:val="none" w:sz="0" w:space="0" w:color="auto"/>
            <w:right w:val="none" w:sz="0" w:space="0" w:color="auto"/>
          </w:divBdr>
          <w:divsChild>
            <w:div w:id="1773697430">
              <w:marLeft w:val="0"/>
              <w:marRight w:val="0"/>
              <w:marTop w:val="0"/>
              <w:marBottom w:val="0"/>
              <w:divBdr>
                <w:top w:val="none" w:sz="0" w:space="0" w:color="auto"/>
                <w:left w:val="none" w:sz="0" w:space="0" w:color="auto"/>
                <w:bottom w:val="none" w:sz="0" w:space="0" w:color="auto"/>
                <w:right w:val="none" w:sz="0" w:space="0" w:color="auto"/>
              </w:divBdr>
              <w:divsChild>
                <w:div w:id="116242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780858">
      <w:bodyDiv w:val="1"/>
      <w:marLeft w:val="0"/>
      <w:marRight w:val="0"/>
      <w:marTop w:val="0"/>
      <w:marBottom w:val="0"/>
      <w:divBdr>
        <w:top w:val="none" w:sz="0" w:space="0" w:color="auto"/>
        <w:left w:val="none" w:sz="0" w:space="0" w:color="auto"/>
        <w:bottom w:val="none" w:sz="0" w:space="0" w:color="auto"/>
        <w:right w:val="none" w:sz="0" w:space="0" w:color="auto"/>
      </w:divBdr>
      <w:divsChild>
        <w:div w:id="967859851">
          <w:marLeft w:val="0"/>
          <w:marRight w:val="0"/>
          <w:marTop w:val="0"/>
          <w:marBottom w:val="0"/>
          <w:divBdr>
            <w:top w:val="none" w:sz="0" w:space="0" w:color="auto"/>
            <w:left w:val="none" w:sz="0" w:space="0" w:color="auto"/>
            <w:bottom w:val="none" w:sz="0" w:space="0" w:color="auto"/>
            <w:right w:val="none" w:sz="0" w:space="0" w:color="auto"/>
          </w:divBdr>
          <w:divsChild>
            <w:div w:id="561911704">
              <w:marLeft w:val="0"/>
              <w:marRight w:val="0"/>
              <w:marTop w:val="0"/>
              <w:marBottom w:val="0"/>
              <w:divBdr>
                <w:top w:val="none" w:sz="0" w:space="0" w:color="auto"/>
                <w:left w:val="none" w:sz="0" w:space="0" w:color="auto"/>
                <w:bottom w:val="none" w:sz="0" w:space="0" w:color="auto"/>
                <w:right w:val="none" w:sz="0" w:space="0" w:color="auto"/>
              </w:divBdr>
              <w:divsChild>
                <w:div w:id="4228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91520">
      <w:bodyDiv w:val="1"/>
      <w:marLeft w:val="0"/>
      <w:marRight w:val="0"/>
      <w:marTop w:val="0"/>
      <w:marBottom w:val="0"/>
      <w:divBdr>
        <w:top w:val="none" w:sz="0" w:space="0" w:color="auto"/>
        <w:left w:val="none" w:sz="0" w:space="0" w:color="auto"/>
        <w:bottom w:val="none" w:sz="0" w:space="0" w:color="auto"/>
        <w:right w:val="none" w:sz="0" w:space="0" w:color="auto"/>
      </w:divBdr>
    </w:div>
    <w:div w:id="502818603">
      <w:bodyDiv w:val="1"/>
      <w:marLeft w:val="0"/>
      <w:marRight w:val="0"/>
      <w:marTop w:val="0"/>
      <w:marBottom w:val="0"/>
      <w:divBdr>
        <w:top w:val="none" w:sz="0" w:space="0" w:color="auto"/>
        <w:left w:val="none" w:sz="0" w:space="0" w:color="auto"/>
        <w:bottom w:val="none" w:sz="0" w:space="0" w:color="auto"/>
        <w:right w:val="none" w:sz="0" w:space="0" w:color="auto"/>
      </w:divBdr>
    </w:div>
    <w:div w:id="510873632">
      <w:bodyDiv w:val="1"/>
      <w:marLeft w:val="0"/>
      <w:marRight w:val="0"/>
      <w:marTop w:val="0"/>
      <w:marBottom w:val="0"/>
      <w:divBdr>
        <w:top w:val="none" w:sz="0" w:space="0" w:color="auto"/>
        <w:left w:val="none" w:sz="0" w:space="0" w:color="auto"/>
        <w:bottom w:val="none" w:sz="0" w:space="0" w:color="auto"/>
        <w:right w:val="none" w:sz="0" w:space="0" w:color="auto"/>
      </w:divBdr>
    </w:div>
    <w:div w:id="520700890">
      <w:bodyDiv w:val="1"/>
      <w:marLeft w:val="0"/>
      <w:marRight w:val="0"/>
      <w:marTop w:val="0"/>
      <w:marBottom w:val="0"/>
      <w:divBdr>
        <w:top w:val="none" w:sz="0" w:space="0" w:color="auto"/>
        <w:left w:val="none" w:sz="0" w:space="0" w:color="auto"/>
        <w:bottom w:val="none" w:sz="0" w:space="0" w:color="auto"/>
        <w:right w:val="none" w:sz="0" w:space="0" w:color="auto"/>
      </w:divBdr>
      <w:divsChild>
        <w:div w:id="1481263357">
          <w:marLeft w:val="0"/>
          <w:marRight w:val="0"/>
          <w:marTop w:val="0"/>
          <w:marBottom w:val="0"/>
          <w:divBdr>
            <w:top w:val="none" w:sz="0" w:space="0" w:color="auto"/>
            <w:left w:val="none" w:sz="0" w:space="0" w:color="auto"/>
            <w:bottom w:val="none" w:sz="0" w:space="0" w:color="auto"/>
            <w:right w:val="none" w:sz="0" w:space="0" w:color="auto"/>
          </w:divBdr>
          <w:divsChild>
            <w:div w:id="188951130">
              <w:marLeft w:val="0"/>
              <w:marRight w:val="0"/>
              <w:marTop w:val="0"/>
              <w:marBottom w:val="0"/>
              <w:divBdr>
                <w:top w:val="none" w:sz="0" w:space="0" w:color="auto"/>
                <w:left w:val="none" w:sz="0" w:space="0" w:color="auto"/>
                <w:bottom w:val="none" w:sz="0" w:space="0" w:color="auto"/>
                <w:right w:val="none" w:sz="0" w:space="0" w:color="auto"/>
              </w:divBdr>
              <w:divsChild>
                <w:div w:id="1584336964">
                  <w:marLeft w:val="0"/>
                  <w:marRight w:val="0"/>
                  <w:marTop w:val="0"/>
                  <w:marBottom w:val="0"/>
                  <w:divBdr>
                    <w:top w:val="none" w:sz="0" w:space="0" w:color="auto"/>
                    <w:left w:val="none" w:sz="0" w:space="0" w:color="auto"/>
                    <w:bottom w:val="none" w:sz="0" w:space="0" w:color="auto"/>
                    <w:right w:val="none" w:sz="0" w:space="0" w:color="auto"/>
                  </w:divBdr>
                  <w:divsChild>
                    <w:div w:id="436414452">
                      <w:marLeft w:val="0"/>
                      <w:marRight w:val="0"/>
                      <w:marTop w:val="0"/>
                      <w:marBottom w:val="0"/>
                      <w:divBdr>
                        <w:top w:val="none" w:sz="0" w:space="0" w:color="auto"/>
                        <w:left w:val="none" w:sz="0" w:space="0" w:color="auto"/>
                        <w:bottom w:val="none" w:sz="0" w:space="0" w:color="auto"/>
                        <w:right w:val="none" w:sz="0" w:space="0" w:color="auto"/>
                      </w:divBdr>
                    </w:div>
                  </w:divsChild>
                </w:div>
                <w:div w:id="969894880">
                  <w:marLeft w:val="0"/>
                  <w:marRight w:val="0"/>
                  <w:marTop w:val="0"/>
                  <w:marBottom w:val="0"/>
                  <w:divBdr>
                    <w:top w:val="none" w:sz="0" w:space="0" w:color="auto"/>
                    <w:left w:val="none" w:sz="0" w:space="0" w:color="auto"/>
                    <w:bottom w:val="none" w:sz="0" w:space="0" w:color="auto"/>
                    <w:right w:val="none" w:sz="0" w:space="0" w:color="auto"/>
                  </w:divBdr>
                  <w:divsChild>
                    <w:div w:id="17315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774150">
      <w:bodyDiv w:val="1"/>
      <w:marLeft w:val="0"/>
      <w:marRight w:val="0"/>
      <w:marTop w:val="0"/>
      <w:marBottom w:val="0"/>
      <w:divBdr>
        <w:top w:val="none" w:sz="0" w:space="0" w:color="auto"/>
        <w:left w:val="none" w:sz="0" w:space="0" w:color="auto"/>
        <w:bottom w:val="none" w:sz="0" w:space="0" w:color="auto"/>
        <w:right w:val="none" w:sz="0" w:space="0" w:color="auto"/>
      </w:divBdr>
    </w:div>
    <w:div w:id="565459558">
      <w:bodyDiv w:val="1"/>
      <w:marLeft w:val="0"/>
      <w:marRight w:val="0"/>
      <w:marTop w:val="0"/>
      <w:marBottom w:val="0"/>
      <w:divBdr>
        <w:top w:val="none" w:sz="0" w:space="0" w:color="auto"/>
        <w:left w:val="none" w:sz="0" w:space="0" w:color="auto"/>
        <w:bottom w:val="none" w:sz="0" w:space="0" w:color="auto"/>
        <w:right w:val="none" w:sz="0" w:space="0" w:color="auto"/>
      </w:divBdr>
    </w:div>
    <w:div w:id="566109385">
      <w:bodyDiv w:val="1"/>
      <w:marLeft w:val="0"/>
      <w:marRight w:val="0"/>
      <w:marTop w:val="0"/>
      <w:marBottom w:val="0"/>
      <w:divBdr>
        <w:top w:val="none" w:sz="0" w:space="0" w:color="auto"/>
        <w:left w:val="none" w:sz="0" w:space="0" w:color="auto"/>
        <w:bottom w:val="none" w:sz="0" w:space="0" w:color="auto"/>
        <w:right w:val="none" w:sz="0" w:space="0" w:color="auto"/>
      </w:divBdr>
    </w:div>
    <w:div w:id="569853140">
      <w:bodyDiv w:val="1"/>
      <w:marLeft w:val="0"/>
      <w:marRight w:val="0"/>
      <w:marTop w:val="0"/>
      <w:marBottom w:val="0"/>
      <w:divBdr>
        <w:top w:val="none" w:sz="0" w:space="0" w:color="auto"/>
        <w:left w:val="none" w:sz="0" w:space="0" w:color="auto"/>
        <w:bottom w:val="none" w:sz="0" w:space="0" w:color="auto"/>
        <w:right w:val="none" w:sz="0" w:space="0" w:color="auto"/>
      </w:divBdr>
      <w:divsChild>
        <w:div w:id="594829740">
          <w:marLeft w:val="0"/>
          <w:marRight w:val="0"/>
          <w:marTop w:val="0"/>
          <w:marBottom w:val="0"/>
          <w:divBdr>
            <w:top w:val="none" w:sz="0" w:space="0" w:color="auto"/>
            <w:left w:val="none" w:sz="0" w:space="0" w:color="auto"/>
            <w:bottom w:val="none" w:sz="0" w:space="0" w:color="auto"/>
            <w:right w:val="none" w:sz="0" w:space="0" w:color="auto"/>
          </w:divBdr>
          <w:divsChild>
            <w:div w:id="1349259399">
              <w:marLeft w:val="0"/>
              <w:marRight w:val="0"/>
              <w:marTop w:val="0"/>
              <w:marBottom w:val="0"/>
              <w:divBdr>
                <w:top w:val="none" w:sz="0" w:space="0" w:color="auto"/>
                <w:left w:val="none" w:sz="0" w:space="0" w:color="auto"/>
                <w:bottom w:val="none" w:sz="0" w:space="0" w:color="auto"/>
                <w:right w:val="none" w:sz="0" w:space="0" w:color="auto"/>
              </w:divBdr>
              <w:divsChild>
                <w:div w:id="146079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716894">
      <w:bodyDiv w:val="1"/>
      <w:marLeft w:val="0"/>
      <w:marRight w:val="0"/>
      <w:marTop w:val="0"/>
      <w:marBottom w:val="0"/>
      <w:divBdr>
        <w:top w:val="none" w:sz="0" w:space="0" w:color="auto"/>
        <w:left w:val="none" w:sz="0" w:space="0" w:color="auto"/>
        <w:bottom w:val="none" w:sz="0" w:space="0" w:color="auto"/>
        <w:right w:val="none" w:sz="0" w:space="0" w:color="auto"/>
      </w:divBdr>
    </w:div>
    <w:div w:id="584388616">
      <w:bodyDiv w:val="1"/>
      <w:marLeft w:val="0"/>
      <w:marRight w:val="0"/>
      <w:marTop w:val="0"/>
      <w:marBottom w:val="0"/>
      <w:divBdr>
        <w:top w:val="none" w:sz="0" w:space="0" w:color="auto"/>
        <w:left w:val="none" w:sz="0" w:space="0" w:color="auto"/>
        <w:bottom w:val="none" w:sz="0" w:space="0" w:color="auto"/>
        <w:right w:val="none" w:sz="0" w:space="0" w:color="auto"/>
      </w:divBdr>
    </w:div>
    <w:div w:id="598951072">
      <w:bodyDiv w:val="1"/>
      <w:marLeft w:val="0"/>
      <w:marRight w:val="0"/>
      <w:marTop w:val="0"/>
      <w:marBottom w:val="0"/>
      <w:divBdr>
        <w:top w:val="none" w:sz="0" w:space="0" w:color="auto"/>
        <w:left w:val="none" w:sz="0" w:space="0" w:color="auto"/>
        <w:bottom w:val="none" w:sz="0" w:space="0" w:color="auto"/>
        <w:right w:val="none" w:sz="0" w:space="0" w:color="auto"/>
      </w:divBdr>
    </w:div>
    <w:div w:id="608270861">
      <w:bodyDiv w:val="1"/>
      <w:marLeft w:val="0"/>
      <w:marRight w:val="0"/>
      <w:marTop w:val="0"/>
      <w:marBottom w:val="0"/>
      <w:divBdr>
        <w:top w:val="none" w:sz="0" w:space="0" w:color="auto"/>
        <w:left w:val="none" w:sz="0" w:space="0" w:color="auto"/>
        <w:bottom w:val="none" w:sz="0" w:space="0" w:color="auto"/>
        <w:right w:val="none" w:sz="0" w:space="0" w:color="auto"/>
      </w:divBdr>
    </w:div>
    <w:div w:id="624851953">
      <w:bodyDiv w:val="1"/>
      <w:marLeft w:val="0"/>
      <w:marRight w:val="0"/>
      <w:marTop w:val="0"/>
      <w:marBottom w:val="0"/>
      <w:divBdr>
        <w:top w:val="none" w:sz="0" w:space="0" w:color="auto"/>
        <w:left w:val="none" w:sz="0" w:space="0" w:color="auto"/>
        <w:bottom w:val="none" w:sz="0" w:space="0" w:color="auto"/>
        <w:right w:val="none" w:sz="0" w:space="0" w:color="auto"/>
      </w:divBdr>
    </w:div>
    <w:div w:id="626089202">
      <w:bodyDiv w:val="1"/>
      <w:marLeft w:val="0"/>
      <w:marRight w:val="0"/>
      <w:marTop w:val="0"/>
      <w:marBottom w:val="0"/>
      <w:divBdr>
        <w:top w:val="none" w:sz="0" w:space="0" w:color="auto"/>
        <w:left w:val="none" w:sz="0" w:space="0" w:color="auto"/>
        <w:bottom w:val="none" w:sz="0" w:space="0" w:color="auto"/>
        <w:right w:val="none" w:sz="0" w:space="0" w:color="auto"/>
      </w:divBdr>
      <w:divsChild>
        <w:div w:id="2016807257">
          <w:marLeft w:val="0"/>
          <w:marRight w:val="0"/>
          <w:marTop w:val="0"/>
          <w:marBottom w:val="0"/>
          <w:divBdr>
            <w:top w:val="none" w:sz="0" w:space="0" w:color="auto"/>
            <w:left w:val="none" w:sz="0" w:space="0" w:color="auto"/>
            <w:bottom w:val="none" w:sz="0" w:space="0" w:color="auto"/>
            <w:right w:val="none" w:sz="0" w:space="0" w:color="auto"/>
          </w:divBdr>
          <w:divsChild>
            <w:div w:id="1822044346">
              <w:marLeft w:val="0"/>
              <w:marRight w:val="0"/>
              <w:marTop w:val="0"/>
              <w:marBottom w:val="0"/>
              <w:divBdr>
                <w:top w:val="none" w:sz="0" w:space="0" w:color="auto"/>
                <w:left w:val="none" w:sz="0" w:space="0" w:color="auto"/>
                <w:bottom w:val="none" w:sz="0" w:space="0" w:color="auto"/>
                <w:right w:val="none" w:sz="0" w:space="0" w:color="auto"/>
              </w:divBdr>
              <w:divsChild>
                <w:div w:id="9621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198441">
      <w:bodyDiv w:val="1"/>
      <w:marLeft w:val="0"/>
      <w:marRight w:val="0"/>
      <w:marTop w:val="0"/>
      <w:marBottom w:val="0"/>
      <w:divBdr>
        <w:top w:val="none" w:sz="0" w:space="0" w:color="auto"/>
        <w:left w:val="none" w:sz="0" w:space="0" w:color="auto"/>
        <w:bottom w:val="none" w:sz="0" w:space="0" w:color="auto"/>
        <w:right w:val="none" w:sz="0" w:space="0" w:color="auto"/>
      </w:divBdr>
    </w:div>
    <w:div w:id="657223970">
      <w:bodyDiv w:val="1"/>
      <w:marLeft w:val="0"/>
      <w:marRight w:val="0"/>
      <w:marTop w:val="0"/>
      <w:marBottom w:val="0"/>
      <w:divBdr>
        <w:top w:val="none" w:sz="0" w:space="0" w:color="auto"/>
        <w:left w:val="none" w:sz="0" w:space="0" w:color="auto"/>
        <w:bottom w:val="none" w:sz="0" w:space="0" w:color="auto"/>
        <w:right w:val="none" w:sz="0" w:space="0" w:color="auto"/>
      </w:divBdr>
    </w:div>
    <w:div w:id="686714267">
      <w:bodyDiv w:val="1"/>
      <w:marLeft w:val="0"/>
      <w:marRight w:val="0"/>
      <w:marTop w:val="0"/>
      <w:marBottom w:val="0"/>
      <w:divBdr>
        <w:top w:val="none" w:sz="0" w:space="0" w:color="auto"/>
        <w:left w:val="none" w:sz="0" w:space="0" w:color="auto"/>
        <w:bottom w:val="none" w:sz="0" w:space="0" w:color="auto"/>
        <w:right w:val="none" w:sz="0" w:space="0" w:color="auto"/>
      </w:divBdr>
      <w:divsChild>
        <w:div w:id="8914475">
          <w:marLeft w:val="0"/>
          <w:marRight w:val="0"/>
          <w:marTop w:val="0"/>
          <w:marBottom w:val="0"/>
          <w:divBdr>
            <w:top w:val="none" w:sz="0" w:space="0" w:color="auto"/>
            <w:left w:val="none" w:sz="0" w:space="0" w:color="auto"/>
            <w:bottom w:val="none" w:sz="0" w:space="0" w:color="auto"/>
            <w:right w:val="none" w:sz="0" w:space="0" w:color="auto"/>
          </w:divBdr>
          <w:divsChild>
            <w:div w:id="888152867">
              <w:marLeft w:val="0"/>
              <w:marRight w:val="0"/>
              <w:marTop w:val="0"/>
              <w:marBottom w:val="0"/>
              <w:divBdr>
                <w:top w:val="none" w:sz="0" w:space="0" w:color="auto"/>
                <w:left w:val="none" w:sz="0" w:space="0" w:color="auto"/>
                <w:bottom w:val="none" w:sz="0" w:space="0" w:color="auto"/>
                <w:right w:val="none" w:sz="0" w:space="0" w:color="auto"/>
              </w:divBdr>
              <w:divsChild>
                <w:div w:id="33207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039190">
      <w:bodyDiv w:val="1"/>
      <w:marLeft w:val="0"/>
      <w:marRight w:val="0"/>
      <w:marTop w:val="0"/>
      <w:marBottom w:val="0"/>
      <w:divBdr>
        <w:top w:val="none" w:sz="0" w:space="0" w:color="auto"/>
        <w:left w:val="none" w:sz="0" w:space="0" w:color="auto"/>
        <w:bottom w:val="none" w:sz="0" w:space="0" w:color="auto"/>
        <w:right w:val="none" w:sz="0" w:space="0" w:color="auto"/>
      </w:divBdr>
      <w:divsChild>
        <w:div w:id="1711878068">
          <w:marLeft w:val="0"/>
          <w:marRight w:val="0"/>
          <w:marTop w:val="0"/>
          <w:marBottom w:val="0"/>
          <w:divBdr>
            <w:top w:val="none" w:sz="0" w:space="0" w:color="auto"/>
            <w:left w:val="none" w:sz="0" w:space="0" w:color="auto"/>
            <w:bottom w:val="none" w:sz="0" w:space="0" w:color="auto"/>
            <w:right w:val="none" w:sz="0" w:space="0" w:color="auto"/>
          </w:divBdr>
          <w:divsChild>
            <w:div w:id="1856843862">
              <w:marLeft w:val="0"/>
              <w:marRight w:val="0"/>
              <w:marTop w:val="0"/>
              <w:marBottom w:val="0"/>
              <w:divBdr>
                <w:top w:val="none" w:sz="0" w:space="0" w:color="auto"/>
                <w:left w:val="none" w:sz="0" w:space="0" w:color="auto"/>
                <w:bottom w:val="none" w:sz="0" w:space="0" w:color="auto"/>
                <w:right w:val="none" w:sz="0" w:space="0" w:color="auto"/>
              </w:divBdr>
              <w:divsChild>
                <w:div w:id="12709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17902">
      <w:bodyDiv w:val="1"/>
      <w:marLeft w:val="0"/>
      <w:marRight w:val="0"/>
      <w:marTop w:val="0"/>
      <w:marBottom w:val="0"/>
      <w:divBdr>
        <w:top w:val="none" w:sz="0" w:space="0" w:color="auto"/>
        <w:left w:val="none" w:sz="0" w:space="0" w:color="auto"/>
        <w:bottom w:val="none" w:sz="0" w:space="0" w:color="auto"/>
        <w:right w:val="none" w:sz="0" w:space="0" w:color="auto"/>
      </w:divBdr>
    </w:div>
    <w:div w:id="723719901">
      <w:bodyDiv w:val="1"/>
      <w:marLeft w:val="0"/>
      <w:marRight w:val="0"/>
      <w:marTop w:val="0"/>
      <w:marBottom w:val="0"/>
      <w:divBdr>
        <w:top w:val="none" w:sz="0" w:space="0" w:color="auto"/>
        <w:left w:val="none" w:sz="0" w:space="0" w:color="auto"/>
        <w:bottom w:val="none" w:sz="0" w:space="0" w:color="auto"/>
        <w:right w:val="none" w:sz="0" w:space="0" w:color="auto"/>
      </w:divBdr>
      <w:divsChild>
        <w:div w:id="332608533">
          <w:marLeft w:val="0"/>
          <w:marRight w:val="0"/>
          <w:marTop w:val="0"/>
          <w:marBottom w:val="0"/>
          <w:divBdr>
            <w:top w:val="none" w:sz="0" w:space="0" w:color="auto"/>
            <w:left w:val="none" w:sz="0" w:space="0" w:color="auto"/>
            <w:bottom w:val="none" w:sz="0" w:space="0" w:color="auto"/>
            <w:right w:val="none" w:sz="0" w:space="0" w:color="auto"/>
          </w:divBdr>
          <w:divsChild>
            <w:div w:id="1846018959">
              <w:marLeft w:val="0"/>
              <w:marRight w:val="0"/>
              <w:marTop w:val="0"/>
              <w:marBottom w:val="0"/>
              <w:divBdr>
                <w:top w:val="none" w:sz="0" w:space="0" w:color="auto"/>
                <w:left w:val="none" w:sz="0" w:space="0" w:color="auto"/>
                <w:bottom w:val="none" w:sz="0" w:space="0" w:color="auto"/>
                <w:right w:val="none" w:sz="0" w:space="0" w:color="auto"/>
              </w:divBdr>
              <w:divsChild>
                <w:div w:id="128819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82651">
      <w:bodyDiv w:val="1"/>
      <w:marLeft w:val="0"/>
      <w:marRight w:val="0"/>
      <w:marTop w:val="0"/>
      <w:marBottom w:val="0"/>
      <w:divBdr>
        <w:top w:val="none" w:sz="0" w:space="0" w:color="auto"/>
        <w:left w:val="none" w:sz="0" w:space="0" w:color="auto"/>
        <w:bottom w:val="none" w:sz="0" w:space="0" w:color="auto"/>
        <w:right w:val="none" w:sz="0" w:space="0" w:color="auto"/>
      </w:divBdr>
    </w:div>
    <w:div w:id="725684450">
      <w:bodyDiv w:val="1"/>
      <w:marLeft w:val="0"/>
      <w:marRight w:val="0"/>
      <w:marTop w:val="0"/>
      <w:marBottom w:val="0"/>
      <w:divBdr>
        <w:top w:val="none" w:sz="0" w:space="0" w:color="auto"/>
        <w:left w:val="none" w:sz="0" w:space="0" w:color="auto"/>
        <w:bottom w:val="none" w:sz="0" w:space="0" w:color="auto"/>
        <w:right w:val="none" w:sz="0" w:space="0" w:color="auto"/>
      </w:divBdr>
    </w:div>
    <w:div w:id="736899680">
      <w:bodyDiv w:val="1"/>
      <w:marLeft w:val="0"/>
      <w:marRight w:val="0"/>
      <w:marTop w:val="0"/>
      <w:marBottom w:val="0"/>
      <w:divBdr>
        <w:top w:val="none" w:sz="0" w:space="0" w:color="auto"/>
        <w:left w:val="none" w:sz="0" w:space="0" w:color="auto"/>
        <w:bottom w:val="none" w:sz="0" w:space="0" w:color="auto"/>
        <w:right w:val="none" w:sz="0" w:space="0" w:color="auto"/>
      </w:divBdr>
      <w:divsChild>
        <w:div w:id="534080577">
          <w:marLeft w:val="0"/>
          <w:marRight w:val="0"/>
          <w:marTop w:val="0"/>
          <w:marBottom w:val="0"/>
          <w:divBdr>
            <w:top w:val="none" w:sz="0" w:space="0" w:color="auto"/>
            <w:left w:val="none" w:sz="0" w:space="0" w:color="auto"/>
            <w:bottom w:val="none" w:sz="0" w:space="0" w:color="auto"/>
            <w:right w:val="none" w:sz="0" w:space="0" w:color="auto"/>
          </w:divBdr>
          <w:divsChild>
            <w:div w:id="1740202035">
              <w:marLeft w:val="0"/>
              <w:marRight w:val="0"/>
              <w:marTop w:val="0"/>
              <w:marBottom w:val="0"/>
              <w:divBdr>
                <w:top w:val="none" w:sz="0" w:space="0" w:color="auto"/>
                <w:left w:val="none" w:sz="0" w:space="0" w:color="auto"/>
                <w:bottom w:val="none" w:sz="0" w:space="0" w:color="auto"/>
                <w:right w:val="none" w:sz="0" w:space="0" w:color="auto"/>
              </w:divBdr>
              <w:divsChild>
                <w:div w:id="1221137518">
                  <w:marLeft w:val="0"/>
                  <w:marRight w:val="0"/>
                  <w:marTop w:val="0"/>
                  <w:marBottom w:val="0"/>
                  <w:divBdr>
                    <w:top w:val="none" w:sz="0" w:space="0" w:color="auto"/>
                    <w:left w:val="none" w:sz="0" w:space="0" w:color="auto"/>
                    <w:bottom w:val="none" w:sz="0" w:space="0" w:color="auto"/>
                    <w:right w:val="none" w:sz="0" w:space="0" w:color="auto"/>
                  </w:divBdr>
                  <w:divsChild>
                    <w:div w:id="1494680868">
                      <w:marLeft w:val="0"/>
                      <w:marRight w:val="0"/>
                      <w:marTop w:val="0"/>
                      <w:marBottom w:val="0"/>
                      <w:divBdr>
                        <w:top w:val="none" w:sz="0" w:space="0" w:color="auto"/>
                        <w:left w:val="none" w:sz="0" w:space="0" w:color="auto"/>
                        <w:bottom w:val="none" w:sz="0" w:space="0" w:color="auto"/>
                        <w:right w:val="none" w:sz="0" w:space="0" w:color="auto"/>
                      </w:divBdr>
                    </w:div>
                  </w:divsChild>
                </w:div>
                <w:div w:id="1809323012">
                  <w:marLeft w:val="0"/>
                  <w:marRight w:val="0"/>
                  <w:marTop w:val="0"/>
                  <w:marBottom w:val="0"/>
                  <w:divBdr>
                    <w:top w:val="none" w:sz="0" w:space="0" w:color="auto"/>
                    <w:left w:val="none" w:sz="0" w:space="0" w:color="auto"/>
                    <w:bottom w:val="none" w:sz="0" w:space="0" w:color="auto"/>
                    <w:right w:val="none" w:sz="0" w:space="0" w:color="auto"/>
                  </w:divBdr>
                  <w:divsChild>
                    <w:div w:id="157393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182599">
      <w:bodyDiv w:val="1"/>
      <w:marLeft w:val="0"/>
      <w:marRight w:val="0"/>
      <w:marTop w:val="0"/>
      <w:marBottom w:val="0"/>
      <w:divBdr>
        <w:top w:val="none" w:sz="0" w:space="0" w:color="auto"/>
        <w:left w:val="none" w:sz="0" w:space="0" w:color="auto"/>
        <w:bottom w:val="none" w:sz="0" w:space="0" w:color="auto"/>
        <w:right w:val="none" w:sz="0" w:space="0" w:color="auto"/>
      </w:divBdr>
      <w:divsChild>
        <w:div w:id="2006667346">
          <w:marLeft w:val="0"/>
          <w:marRight w:val="0"/>
          <w:marTop w:val="0"/>
          <w:marBottom w:val="0"/>
          <w:divBdr>
            <w:top w:val="none" w:sz="0" w:space="0" w:color="auto"/>
            <w:left w:val="none" w:sz="0" w:space="0" w:color="auto"/>
            <w:bottom w:val="none" w:sz="0" w:space="0" w:color="auto"/>
            <w:right w:val="none" w:sz="0" w:space="0" w:color="auto"/>
          </w:divBdr>
        </w:div>
        <w:div w:id="92211448">
          <w:marLeft w:val="0"/>
          <w:marRight w:val="0"/>
          <w:marTop w:val="0"/>
          <w:marBottom w:val="0"/>
          <w:divBdr>
            <w:top w:val="none" w:sz="0" w:space="0" w:color="auto"/>
            <w:left w:val="none" w:sz="0" w:space="0" w:color="auto"/>
            <w:bottom w:val="none" w:sz="0" w:space="0" w:color="auto"/>
            <w:right w:val="none" w:sz="0" w:space="0" w:color="auto"/>
          </w:divBdr>
        </w:div>
      </w:divsChild>
    </w:div>
    <w:div w:id="788940923">
      <w:bodyDiv w:val="1"/>
      <w:marLeft w:val="0"/>
      <w:marRight w:val="0"/>
      <w:marTop w:val="0"/>
      <w:marBottom w:val="0"/>
      <w:divBdr>
        <w:top w:val="none" w:sz="0" w:space="0" w:color="auto"/>
        <w:left w:val="none" w:sz="0" w:space="0" w:color="auto"/>
        <w:bottom w:val="none" w:sz="0" w:space="0" w:color="auto"/>
        <w:right w:val="none" w:sz="0" w:space="0" w:color="auto"/>
      </w:divBdr>
      <w:divsChild>
        <w:div w:id="1508057565">
          <w:marLeft w:val="0"/>
          <w:marRight w:val="0"/>
          <w:marTop w:val="0"/>
          <w:marBottom w:val="0"/>
          <w:divBdr>
            <w:top w:val="none" w:sz="0" w:space="0" w:color="auto"/>
            <w:left w:val="none" w:sz="0" w:space="0" w:color="auto"/>
            <w:bottom w:val="none" w:sz="0" w:space="0" w:color="auto"/>
            <w:right w:val="none" w:sz="0" w:space="0" w:color="auto"/>
          </w:divBdr>
          <w:divsChild>
            <w:div w:id="1563518085">
              <w:marLeft w:val="0"/>
              <w:marRight w:val="0"/>
              <w:marTop w:val="0"/>
              <w:marBottom w:val="0"/>
              <w:divBdr>
                <w:top w:val="none" w:sz="0" w:space="0" w:color="auto"/>
                <w:left w:val="none" w:sz="0" w:space="0" w:color="auto"/>
                <w:bottom w:val="none" w:sz="0" w:space="0" w:color="auto"/>
                <w:right w:val="none" w:sz="0" w:space="0" w:color="auto"/>
              </w:divBdr>
              <w:divsChild>
                <w:div w:id="129348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869924">
      <w:bodyDiv w:val="1"/>
      <w:marLeft w:val="0"/>
      <w:marRight w:val="0"/>
      <w:marTop w:val="0"/>
      <w:marBottom w:val="0"/>
      <w:divBdr>
        <w:top w:val="none" w:sz="0" w:space="0" w:color="auto"/>
        <w:left w:val="none" w:sz="0" w:space="0" w:color="auto"/>
        <w:bottom w:val="none" w:sz="0" w:space="0" w:color="auto"/>
        <w:right w:val="none" w:sz="0" w:space="0" w:color="auto"/>
      </w:divBdr>
      <w:divsChild>
        <w:div w:id="270745362">
          <w:marLeft w:val="0"/>
          <w:marRight w:val="0"/>
          <w:marTop w:val="0"/>
          <w:marBottom w:val="0"/>
          <w:divBdr>
            <w:top w:val="none" w:sz="0" w:space="0" w:color="auto"/>
            <w:left w:val="none" w:sz="0" w:space="0" w:color="auto"/>
            <w:bottom w:val="none" w:sz="0" w:space="0" w:color="auto"/>
            <w:right w:val="none" w:sz="0" w:space="0" w:color="auto"/>
          </w:divBdr>
          <w:divsChild>
            <w:div w:id="1580362263">
              <w:marLeft w:val="0"/>
              <w:marRight w:val="0"/>
              <w:marTop w:val="0"/>
              <w:marBottom w:val="0"/>
              <w:divBdr>
                <w:top w:val="none" w:sz="0" w:space="0" w:color="auto"/>
                <w:left w:val="none" w:sz="0" w:space="0" w:color="auto"/>
                <w:bottom w:val="none" w:sz="0" w:space="0" w:color="auto"/>
                <w:right w:val="none" w:sz="0" w:space="0" w:color="auto"/>
              </w:divBdr>
              <w:divsChild>
                <w:div w:id="12910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19817">
      <w:bodyDiv w:val="1"/>
      <w:marLeft w:val="0"/>
      <w:marRight w:val="0"/>
      <w:marTop w:val="0"/>
      <w:marBottom w:val="0"/>
      <w:divBdr>
        <w:top w:val="none" w:sz="0" w:space="0" w:color="auto"/>
        <w:left w:val="none" w:sz="0" w:space="0" w:color="auto"/>
        <w:bottom w:val="none" w:sz="0" w:space="0" w:color="auto"/>
        <w:right w:val="none" w:sz="0" w:space="0" w:color="auto"/>
      </w:divBdr>
    </w:div>
    <w:div w:id="836073555">
      <w:bodyDiv w:val="1"/>
      <w:marLeft w:val="0"/>
      <w:marRight w:val="0"/>
      <w:marTop w:val="0"/>
      <w:marBottom w:val="0"/>
      <w:divBdr>
        <w:top w:val="none" w:sz="0" w:space="0" w:color="auto"/>
        <w:left w:val="none" w:sz="0" w:space="0" w:color="auto"/>
        <w:bottom w:val="none" w:sz="0" w:space="0" w:color="auto"/>
        <w:right w:val="none" w:sz="0" w:space="0" w:color="auto"/>
      </w:divBdr>
    </w:div>
    <w:div w:id="844788869">
      <w:bodyDiv w:val="1"/>
      <w:marLeft w:val="0"/>
      <w:marRight w:val="0"/>
      <w:marTop w:val="0"/>
      <w:marBottom w:val="0"/>
      <w:divBdr>
        <w:top w:val="none" w:sz="0" w:space="0" w:color="auto"/>
        <w:left w:val="none" w:sz="0" w:space="0" w:color="auto"/>
        <w:bottom w:val="none" w:sz="0" w:space="0" w:color="auto"/>
        <w:right w:val="none" w:sz="0" w:space="0" w:color="auto"/>
      </w:divBdr>
    </w:div>
    <w:div w:id="849611751">
      <w:bodyDiv w:val="1"/>
      <w:marLeft w:val="0"/>
      <w:marRight w:val="0"/>
      <w:marTop w:val="0"/>
      <w:marBottom w:val="0"/>
      <w:divBdr>
        <w:top w:val="none" w:sz="0" w:space="0" w:color="auto"/>
        <w:left w:val="none" w:sz="0" w:space="0" w:color="auto"/>
        <w:bottom w:val="none" w:sz="0" w:space="0" w:color="auto"/>
        <w:right w:val="none" w:sz="0" w:space="0" w:color="auto"/>
      </w:divBdr>
    </w:div>
    <w:div w:id="883758008">
      <w:bodyDiv w:val="1"/>
      <w:marLeft w:val="0"/>
      <w:marRight w:val="0"/>
      <w:marTop w:val="0"/>
      <w:marBottom w:val="0"/>
      <w:divBdr>
        <w:top w:val="none" w:sz="0" w:space="0" w:color="auto"/>
        <w:left w:val="none" w:sz="0" w:space="0" w:color="auto"/>
        <w:bottom w:val="none" w:sz="0" w:space="0" w:color="auto"/>
        <w:right w:val="none" w:sz="0" w:space="0" w:color="auto"/>
      </w:divBdr>
      <w:divsChild>
        <w:div w:id="2041734139">
          <w:marLeft w:val="0"/>
          <w:marRight w:val="0"/>
          <w:marTop w:val="0"/>
          <w:marBottom w:val="0"/>
          <w:divBdr>
            <w:top w:val="none" w:sz="0" w:space="0" w:color="auto"/>
            <w:left w:val="none" w:sz="0" w:space="0" w:color="auto"/>
            <w:bottom w:val="none" w:sz="0" w:space="0" w:color="auto"/>
            <w:right w:val="none" w:sz="0" w:space="0" w:color="auto"/>
          </w:divBdr>
          <w:divsChild>
            <w:div w:id="971516447">
              <w:marLeft w:val="0"/>
              <w:marRight w:val="0"/>
              <w:marTop w:val="0"/>
              <w:marBottom w:val="0"/>
              <w:divBdr>
                <w:top w:val="none" w:sz="0" w:space="0" w:color="auto"/>
                <w:left w:val="none" w:sz="0" w:space="0" w:color="auto"/>
                <w:bottom w:val="none" w:sz="0" w:space="0" w:color="auto"/>
                <w:right w:val="none" w:sz="0" w:space="0" w:color="auto"/>
              </w:divBdr>
              <w:divsChild>
                <w:div w:id="198935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418122">
      <w:bodyDiv w:val="1"/>
      <w:marLeft w:val="0"/>
      <w:marRight w:val="0"/>
      <w:marTop w:val="0"/>
      <w:marBottom w:val="0"/>
      <w:divBdr>
        <w:top w:val="none" w:sz="0" w:space="0" w:color="auto"/>
        <w:left w:val="none" w:sz="0" w:space="0" w:color="auto"/>
        <w:bottom w:val="none" w:sz="0" w:space="0" w:color="auto"/>
        <w:right w:val="none" w:sz="0" w:space="0" w:color="auto"/>
      </w:divBdr>
    </w:div>
    <w:div w:id="918320650">
      <w:bodyDiv w:val="1"/>
      <w:marLeft w:val="0"/>
      <w:marRight w:val="0"/>
      <w:marTop w:val="0"/>
      <w:marBottom w:val="0"/>
      <w:divBdr>
        <w:top w:val="none" w:sz="0" w:space="0" w:color="auto"/>
        <w:left w:val="none" w:sz="0" w:space="0" w:color="auto"/>
        <w:bottom w:val="none" w:sz="0" w:space="0" w:color="auto"/>
        <w:right w:val="none" w:sz="0" w:space="0" w:color="auto"/>
      </w:divBdr>
    </w:div>
    <w:div w:id="926767030">
      <w:bodyDiv w:val="1"/>
      <w:marLeft w:val="0"/>
      <w:marRight w:val="0"/>
      <w:marTop w:val="0"/>
      <w:marBottom w:val="0"/>
      <w:divBdr>
        <w:top w:val="none" w:sz="0" w:space="0" w:color="auto"/>
        <w:left w:val="none" w:sz="0" w:space="0" w:color="auto"/>
        <w:bottom w:val="none" w:sz="0" w:space="0" w:color="auto"/>
        <w:right w:val="none" w:sz="0" w:space="0" w:color="auto"/>
      </w:divBdr>
      <w:divsChild>
        <w:div w:id="1509756173">
          <w:marLeft w:val="0"/>
          <w:marRight w:val="0"/>
          <w:marTop w:val="0"/>
          <w:marBottom w:val="0"/>
          <w:divBdr>
            <w:top w:val="none" w:sz="0" w:space="0" w:color="auto"/>
            <w:left w:val="none" w:sz="0" w:space="0" w:color="auto"/>
            <w:bottom w:val="none" w:sz="0" w:space="0" w:color="auto"/>
            <w:right w:val="none" w:sz="0" w:space="0" w:color="auto"/>
          </w:divBdr>
          <w:divsChild>
            <w:div w:id="518199980">
              <w:marLeft w:val="0"/>
              <w:marRight w:val="0"/>
              <w:marTop w:val="0"/>
              <w:marBottom w:val="0"/>
              <w:divBdr>
                <w:top w:val="none" w:sz="0" w:space="0" w:color="auto"/>
                <w:left w:val="none" w:sz="0" w:space="0" w:color="auto"/>
                <w:bottom w:val="none" w:sz="0" w:space="0" w:color="auto"/>
                <w:right w:val="none" w:sz="0" w:space="0" w:color="auto"/>
              </w:divBdr>
              <w:divsChild>
                <w:div w:id="144476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617921">
      <w:bodyDiv w:val="1"/>
      <w:marLeft w:val="0"/>
      <w:marRight w:val="0"/>
      <w:marTop w:val="0"/>
      <w:marBottom w:val="0"/>
      <w:divBdr>
        <w:top w:val="none" w:sz="0" w:space="0" w:color="auto"/>
        <w:left w:val="none" w:sz="0" w:space="0" w:color="auto"/>
        <w:bottom w:val="none" w:sz="0" w:space="0" w:color="auto"/>
        <w:right w:val="none" w:sz="0" w:space="0" w:color="auto"/>
      </w:divBdr>
      <w:divsChild>
        <w:div w:id="1586569900">
          <w:marLeft w:val="0"/>
          <w:marRight w:val="0"/>
          <w:marTop w:val="0"/>
          <w:marBottom w:val="0"/>
          <w:divBdr>
            <w:top w:val="none" w:sz="0" w:space="0" w:color="auto"/>
            <w:left w:val="none" w:sz="0" w:space="0" w:color="auto"/>
            <w:bottom w:val="none" w:sz="0" w:space="0" w:color="auto"/>
            <w:right w:val="none" w:sz="0" w:space="0" w:color="auto"/>
          </w:divBdr>
          <w:divsChild>
            <w:div w:id="1951014309">
              <w:marLeft w:val="0"/>
              <w:marRight w:val="0"/>
              <w:marTop w:val="0"/>
              <w:marBottom w:val="0"/>
              <w:divBdr>
                <w:top w:val="none" w:sz="0" w:space="0" w:color="auto"/>
                <w:left w:val="none" w:sz="0" w:space="0" w:color="auto"/>
                <w:bottom w:val="none" w:sz="0" w:space="0" w:color="auto"/>
                <w:right w:val="none" w:sz="0" w:space="0" w:color="auto"/>
              </w:divBdr>
              <w:divsChild>
                <w:div w:id="27972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61548">
      <w:bodyDiv w:val="1"/>
      <w:marLeft w:val="0"/>
      <w:marRight w:val="0"/>
      <w:marTop w:val="0"/>
      <w:marBottom w:val="0"/>
      <w:divBdr>
        <w:top w:val="none" w:sz="0" w:space="0" w:color="auto"/>
        <w:left w:val="none" w:sz="0" w:space="0" w:color="auto"/>
        <w:bottom w:val="none" w:sz="0" w:space="0" w:color="auto"/>
        <w:right w:val="none" w:sz="0" w:space="0" w:color="auto"/>
      </w:divBdr>
    </w:div>
    <w:div w:id="938874249">
      <w:bodyDiv w:val="1"/>
      <w:marLeft w:val="0"/>
      <w:marRight w:val="0"/>
      <w:marTop w:val="0"/>
      <w:marBottom w:val="0"/>
      <w:divBdr>
        <w:top w:val="none" w:sz="0" w:space="0" w:color="auto"/>
        <w:left w:val="none" w:sz="0" w:space="0" w:color="auto"/>
        <w:bottom w:val="none" w:sz="0" w:space="0" w:color="auto"/>
        <w:right w:val="none" w:sz="0" w:space="0" w:color="auto"/>
      </w:divBdr>
    </w:div>
    <w:div w:id="940449448">
      <w:bodyDiv w:val="1"/>
      <w:marLeft w:val="0"/>
      <w:marRight w:val="0"/>
      <w:marTop w:val="0"/>
      <w:marBottom w:val="0"/>
      <w:divBdr>
        <w:top w:val="none" w:sz="0" w:space="0" w:color="auto"/>
        <w:left w:val="none" w:sz="0" w:space="0" w:color="auto"/>
        <w:bottom w:val="none" w:sz="0" w:space="0" w:color="auto"/>
        <w:right w:val="none" w:sz="0" w:space="0" w:color="auto"/>
      </w:divBdr>
    </w:div>
    <w:div w:id="951593666">
      <w:bodyDiv w:val="1"/>
      <w:marLeft w:val="0"/>
      <w:marRight w:val="0"/>
      <w:marTop w:val="0"/>
      <w:marBottom w:val="0"/>
      <w:divBdr>
        <w:top w:val="none" w:sz="0" w:space="0" w:color="auto"/>
        <w:left w:val="none" w:sz="0" w:space="0" w:color="auto"/>
        <w:bottom w:val="none" w:sz="0" w:space="0" w:color="auto"/>
        <w:right w:val="none" w:sz="0" w:space="0" w:color="auto"/>
      </w:divBdr>
      <w:divsChild>
        <w:div w:id="780221329">
          <w:marLeft w:val="0"/>
          <w:marRight w:val="0"/>
          <w:marTop w:val="0"/>
          <w:marBottom w:val="0"/>
          <w:divBdr>
            <w:top w:val="none" w:sz="0" w:space="0" w:color="auto"/>
            <w:left w:val="none" w:sz="0" w:space="0" w:color="auto"/>
            <w:bottom w:val="none" w:sz="0" w:space="0" w:color="auto"/>
            <w:right w:val="none" w:sz="0" w:space="0" w:color="auto"/>
          </w:divBdr>
          <w:divsChild>
            <w:div w:id="34552624">
              <w:marLeft w:val="0"/>
              <w:marRight w:val="0"/>
              <w:marTop w:val="0"/>
              <w:marBottom w:val="0"/>
              <w:divBdr>
                <w:top w:val="none" w:sz="0" w:space="0" w:color="auto"/>
                <w:left w:val="none" w:sz="0" w:space="0" w:color="auto"/>
                <w:bottom w:val="none" w:sz="0" w:space="0" w:color="auto"/>
                <w:right w:val="none" w:sz="0" w:space="0" w:color="auto"/>
              </w:divBdr>
              <w:divsChild>
                <w:div w:id="124788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77276">
      <w:bodyDiv w:val="1"/>
      <w:marLeft w:val="0"/>
      <w:marRight w:val="0"/>
      <w:marTop w:val="0"/>
      <w:marBottom w:val="0"/>
      <w:divBdr>
        <w:top w:val="none" w:sz="0" w:space="0" w:color="auto"/>
        <w:left w:val="none" w:sz="0" w:space="0" w:color="auto"/>
        <w:bottom w:val="none" w:sz="0" w:space="0" w:color="auto"/>
        <w:right w:val="none" w:sz="0" w:space="0" w:color="auto"/>
      </w:divBdr>
    </w:div>
    <w:div w:id="984118293">
      <w:bodyDiv w:val="1"/>
      <w:marLeft w:val="0"/>
      <w:marRight w:val="0"/>
      <w:marTop w:val="0"/>
      <w:marBottom w:val="0"/>
      <w:divBdr>
        <w:top w:val="none" w:sz="0" w:space="0" w:color="auto"/>
        <w:left w:val="none" w:sz="0" w:space="0" w:color="auto"/>
        <w:bottom w:val="none" w:sz="0" w:space="0" w:color="auto"/>
        <w:right w:val="none" w:sz="0" w:space="0" w:color="auto"/>
      </w:divBdr>
    </w:div>
    <w:div w:id="1000696156">
      <w:bodyDiv w:val="1"/>
      <w:marLeft w:val="0"/>
      <w:marRight w:val="0"/>
      <w:marTop w:val="0"/>
      <w:marBottom w:val="0"/>
      <w:divBdr>
        <w:top w:val="none" w:sz="0" w:space="0" w:color="auto"/>
        <w:left w:val="none" w:sz="0" w:space="0" w:color="auto"/>
        <w:bottom w:val="none" w:sz="0" w:space="0" w:color="auto"/>
        <w:right w:val="none" w:sz="0" w:space="0" w:color="auto"/>
      </w:divBdr>
      <w:divsChild>
        <w:div w:id="710612852">
          <w:marLeft w:val="0"/>
          <w:marRight w:val="0"/>
          <w:marTop w:val="0"/>
          <w:marBottom w:val="0"/>
          <w:divBdr>
            <w:top w:val="none" w:sz="0" w:space="0" w:color="auto"/>
            <w:left w:val="none" w:sz="0" w:space="0" w:color="auto"/>
            <w:bottom w:val="none" w:sz="0" w:space="0" w:color="auto"/>
            <w:right w:val="none" w:sz="0" w:space="0" w:color="auto"/>
          </w:divBdr>
          <w:divsChild>
            <w:div w:id="1393501127">
              <w:marLeft w:val="0"/>
              <w:marRight w:val="0"/>
              <w:marTop w:val="0"/>
              <w:marBottom w:val="0"/>
              <w:divBdr>
                <w:top w:val="none" w:sz="0" w:space="0" w:color="auto"/>
                <w:left w:val="none" w:sz="0" w:space="0" w:color="auto"/>
                <w:bottom w:val="none" w:sz="0" w:space="0" w:color="auto"/>
                <w:right w:val="none" w:sz="0" w:space="0" w:color="auto"/>
              </w:divBdr>
              <w:divsChild>
                <w:div w:id="209859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628732">
      <w:bodyDiv w:val="1"/>
      <w:marLeft w:val="0"/>
      <w:marRight w:val="0"/>
      <w:marTop w:val="0"/>
      <w:marBottom w:val="0"/>
      <w:divBdr>
        <w:top w:val="none" w:sz="0" w:space="0" w:color="auto"/>
        <w:left w:val="none" w:sz="0" w:space="0" w:color="auto"/>
        <w:bottom w:val="none" w:sz="0" w:space="0" w:color="auto"/>
        <w:right w:val="none" w:sz="0" w:space="0" w:color="auto"/>
      </w:divBdr>
    </w:div>
    <w:div w:id="1028801094">
      <w:bodyDiv w:val="1"/>
      <w:marLeft w:val="0"/>
      <w:marRight w:val="0"/>
      <w:marTop w:val="0"/>
      <w:marBottom w:val="0"/>
      <w:divBdr>
        <w:top w:val="none" w:sz="0" w:space="0" w:color="auto"/>
        <w:left w:val="none" w:sz="0" w:space="0" w:color="auto"/>
        <w:bottom w:val="none" w:sz="0" w:space="0" w:color="auto"/>
        <w:right w:val="none" w:sz="0" w:space="0" w:color="auto"/>
      </w:divBdr>
    </w:div>
    <w:div w:id="1045525039">
      <w:bodyDiv w:val="1"/>
      <w:marLeft w:val="0"/>
      <w:marRight w:val="0"/>
      <w:marTop w:val="0"/>
      <w:marBottom w:val="0"/>
      <w:divBdr>
        <w:top w:val="none" w:sz="0" w:space="0" w:color="auto"/>
        <w:left w:val="none" w:sz="0" w:space="0" w:color="auto"/>
        <w:bottom w:val="none" w:sz="0" w:space="0" w:color="auto"/>
        <w:right w:val="none" w:sz="0" w:space="0" w:color="auto"/>
      </w:divBdr>
    </w:div>
    <w:div w:id="1048341581">
      <w:bodyDiv w:val="1"/>
      <w:marLeft w:val="0"/>
      <w:marRight w:val="0"/>
      <w:marTop w:val="0"/>
      <w:marBottom w:val="0"/>
      <w:divBdr>
        <w:top w:val="none" w:sz="0" w:space="0" w:color="auto"/>
        <w:left w:val="none" w:sz="0" w:space="0" w:color="auto"/>
        <w:bottom w:val="none" w:sz="0" w:space="0" w:color="auto"/>
        <w:right w:val="none" w:sz="0" w:space="0" w:color="auto"/>
      </w:divBdr>
    </w:div>
    <w:div w:id="1059288014">
      <w:bodyDiv w:val="1"/>
      <w:marLeft w:val="0"/>
      <w:marRight w:val="0"/>
      <w:marTop w:val="0"/>
      <w:marBottom w:val="0"/>
      <w:divBdr>
        <w:top w:val="none" w:sz="0" w:space="0" w:color="auto"/>
        <w:left w:val="none" w:sz="0" w:space="0" w:color="auto"/>
        <w:bottom w:val="none" w:sz="0" w:space="0" w:color="auto"/>
        <w:right w:val="none" w:sz="0" w:space="0" w:color="auto"/>
      </w:divBdr>
      <w:divsChild>
        <w:div w:id="1778870051">
          <w:marLeft w:val="0"/>
          <w:marRight w:val="0"/>
          <w:marTop w:val="0"/>
          <w:marBottom w:val="0"/>
          <w:divBdr>
            <w:top w:val="none" w:sz="0" w:space="0" w:color="auto"/>
            <w:left w:val="none" w:sz="0" w:space="0" w:color="auto"/>
            <w:bottom w:val="none" w:sz="0" w:space="0" w:color="auto"/>
            <w:right w:val="none" w:sz="0" w:space="0" w:color="auto"/>
          </w:divBdr>
          <w:divsChild>
            <w:div w:id="114177597">
              <w:marLeft w:val="0"/>
              <w:marRight w:val="0"/>
              <w:marTop w:val="0"/>
              <w:marBottom w:val="0"/>
              <w:divBdr>
                <w:top w:val="none" w:sz="0" w:space="0" w:color="auto"/>
                <w:left w:val="none" w:sz="0" w:space="0" w:color="auto"/>
                <w:bottom w:val="none" w:sz="0" w:space="0" w:color="auto"/>
                <w:right w:val="none" w:sz="0" w:space="0" w:color="auto"/>
              </w:divBdr>
              <w:divsChild>
                <w:div w:id="190533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488474">
      <w:bodyDiv w:val="1"/>
      <w:marLeft w:val="0"/>
      <w:marRight w:val="0"/>
      <w:marTop w:val="0"/>
      <w:marBottom w:val="0"/>
      <w:divBdr>
        <w:top w:val="none" w:sz="0" w:space="0" w:color="auto"/>
        <w:left w:val="none" w:sz="0" w:space="0" w:color="auto"/>
        <w:bottom w:val="none" w:sz="0" w:space="0" w:color="auto"/>
        <w:right w:val="none" w:sz="0" w:space="0" w:color="auto"/>
      </w:divBdr>
    </w:div>
    <w:div w:id="1084759777">
      <w:bodyDiv w:val="1"/>
      <w:marLeft w:val="0"/>
      <w:marRight w:val="0"/>
      <w:marTop w:val="0"/>
      <w:marBottom w:val="0"/>
      <w:divBdr>
        <w:top w:val="none" w:sz="0" w:space="0" w:color="auto"/>
        <w:left w:val="none" w:sz="0" w:space="0" w:color="auto"/>
        <w:bottom w:val="none" w:sz="0" w:space="0" w:color="auto"/>
        <w:right w:val="none" w:sz="0" w:space="0" w:color="auto"/>
      </w:divBdr>
      <w:divsChild>
        <w:div w:id="2073963286">
          <w:marLeft w:val="0"/>
          <w:marRight w:val="0"/>
          <w:marTop w:val="0"/>
          <w:marBottom w:val="0"/>
          <w:divBdr>
            <w:top w:val="none" w:sz="0" w:space="0" w:color="auto"/>
            <w:left w:val="none" w:sz="0" w:space="0" w:color="auto"/>
            <w:bottom w:val="none" w:sz="0" w:space="0" w:color="auto"/>
            <w:right w:val="none" w:sz="0" w:space="0" w:color="auto"/>
          </w:divBdr>
          <w:divsChild>
            <w:div w:id="1481341397">
              <w:marLeft w:val="0"/>
              <w:marRight w:val="0"/>
              <w:marTop w:val="0"/>
              <w:marBottom w:val="0"/>
              <w:divBdr>
                <w:top w:val="none" w:sz="0" w:space="0" w:color="auto"/>
                <w:left w:val="none" w:sz="0" w:space="0" w:color="auto"/>
                <w:bottom w:val="none" w:sz="0" w:space="0" w:color="auto"/>
                <w:right w:val="none" w:sz="0" w:space="0" w:color="auto"/>
              </w:divBdr>
            </w:div>
          </w:divsChild>
        </w:div>
        <w:div w:id="305286841">
          <w:marLeft w:val="0"/>
          <w:marRight w:val="0"/>
          <w:marTop w:val="0"/>
          <w:marBottom w:val="0"/>
          <w:divBdr>
            <w:top w:val="none" w:sz="0" w:space="0" w:color="auto"/>
            <w:left w:val="none" w:sz="0" w:space="0" w:color="auto"/>
            <w:bottom w:val="none" w:sz="0" w:space="0" w:color="auto"/>
            <w:right w:val="none" w:sz="0" w:space="0" w:color="auto"/>
          </w:divBdr>
        </w:div>
      </w:divsChild>
    </w:div>
    <w:div w:id="1089620104">
      <w:bodyDiv w:val="1"/>
      <w:marLeft w:val="0"/>
      <w:marRight w:val="0"/>
      <w:marTop w:val="0"/>
      <w:marBottom w:val="0"/>
      <w:divBdr>
        <w:top w:val="none" w:sz="0" w:space="0" w:color="auto"/>
        <w:left w:val="none" w:sz="0" w:space="0" w:color="auto"/>
        <w:bottom w:val="none" w:sz="0" w:space="0" w:color="auto"/>
        <w:right w:val="none" w:sz="0" w:space="0" w:color="auto"/>
      </w:divBdr>
    </w:div>
    <w:div w:id="1094744243">
      <w:bodyDiv w:val="1"/>
      <w:marLeft w:val="0"/>
      <w:marRight w:val="0"/>
      <w:marTop w:val="0"/>
      <w:marBottom w:val="0"/>
      <w:divBdr>
        <w:top w:val="none" w:sz="0" w:space="0" w:color="auto"/>
        <w:left w:val="none" w:sz="0" w:space="0" w:color="auto"/>
        <w:bottom w:val="none" w:sz="0" w:space="0" w:color="auto"/>
        <w:right w:val="none" w:sz="0" w:space="0" w:color="auto"/>
      </w:divBdr>
    </w:div>
    <w:div w:id="1095979833">
      <w:bodyDiv w:val="1"/>
      <w:marLeft w:val="0"/>
      <w:marRight w:val="0"/>
      <w:marTop w:val="0"/>
      <w:marBottom w:val="0"/>
      <w:divBdr>
        <w:top w:val="none" w:sz="0" w:space="0" w:color="auto"/>
        <w:left w:val="none" w:sz="0" w:space="0" w:color="auto"/>
        <w:bottom w:val="none" w:sz="0" w:space="0" w:color="auto"/>
        <w:right w:val="none" w:sz="0" w:space="0" w:color="auto"/>
      </w:divBdr>
    </w:div>
    <w:div w:id="1104374680">
      <w:bodyDiv w:val="1"/>
      <w:marLeft w:val="0"/>
      <w:marRight w:val="0"/>
      <w:marTop w:val="0"/>
      <w:marBottom w:val="0"/>
      <w:divBdr>
        <w:top w:val="none" w:sz="0" w:space="0" w:color="auto"/>
        <w:left w:val="none" w:sz="0" w:space="0" w:color="auto"/>
        <w:bottom w:val="none" w:sz="0" w:space="0" w:color="auto"/>
        <w:right w:val="none" w:sz="0" w:space="0" w:color="auto"/>
      </w:divBdr>
    </w:div>
    <w:div w:id="1119493265">
      <w:bodyDiv w:val="1"/>
      <w:marLeft w:val="0"/>
      <w:marRight w:val="0"/>
      <w:marTop w:val="0"/>
      <w:marBottom w:val="0"/>
      <w:divBdr>
        <w:top w:val="none" w:sz="0" w:space="0" w:color="auto"/>
        <w:left w:val="none" w:sz="0" w:space="0" w:color="auto"/>
        <w:bottom w:val="none" w:sz="0" w:space="0" w:color="auto"/>
        <w:right w:val="none" w:sz="0" w:space="0" w:color="auto"/>
      </w:divBdr>
    </w:div>
    <w:div w:id="1124542795">
      <w:bodyDiv w:val="1"/>
      <w:marLeft w:val="0"/>
      <w:marRight w:val="0"/>
      <w:marTop w:val="0"/>
      <w:marBottom w:val="0"/>
      <w:divBdr>
        <w:top w:val="none" w:sz="0" w:space="0" w:color="auto"/>
        <w:left w:val="none" w:sz="0" w:space="0" w:color="auto"/>
        <w:bottom w:val="none" w:sz="0" w:space="0" w:color="auto"/>
        <w:right w:val="none" w:sz="0" w:space="0" w:color="auto"/>
      </w:divBdr>
      <w:divsChild>
        <w:div w:id="1857888116">
          <w:marLeft w:val="0"/>
          <w:marRight w:val="0"/>
          <w:marTop w:val="0"/>
          <w:marBottom w:val="0"/>
          <w:divBdr>
            <w:top w:val="none" w:sz="0" w:space="0" w:color="auto"/>
            <w:left w:val="none" w:sz="0" w:space="0" w:color="auto"/>
            <w:bottom w:val="none" w:sz="0" w:space="0" w:color="auto"/>
            <w:right w:val="none" w:sz="0" w:space="0" w:color="auto"/>
          </w:divBdr>
          <w:divsChild>
            <w:div w:id="263463915">
              <w:marLeft w:val="0"/>
              <w:marRight w:val="0"/>
              <w:marTop w:val="0"/>
              <w:marBottom w:val="0"/>
              <w:divBdr>
                <w:top w:val="none" w:sz="0" w:space="0" w:color="auto"/>
                <w:left w:val="none" w:sz="0" w:space="0" w:color="auto"/>
                <w:bottom w:val="none" w:sz="0" w:space="0" w:color="auto"/>
                <w:right w:val="none" w:sz="0" w:space="0" w:color="auto"/>
              </w:divBdr>
              <w:divsChild>
                <w:div w:id="89635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161205">
      <w:bodyDiv w:val="1"/>
      <w:marLeft w:val="0"/>
      <w:marRight w:val="0"/>
      <w:marTop w:val="0"/>
      <w:marBottom w:val="0"/>
      <w:divBdr>
        <w:top w:val="none" w:sz="0" w:space="0" w:color="auto"/>
        <w:left w:val="none" w:sz="0" w:space="0" w:color="auto"/>
        <w:bottom w:val="none" w:sz="0" w:space="0" w:color="auto"/>
        <w:right w:val="none" w:sz="0" w:space="0" w:color="auto"/>
      </w:divBdr>
      <w:divsChild>
        <w:div w:id="683678086">
          <w:marLeft w:val="0"/>
          <w:marRight w:val="0"/>
          <w:marTop w:val="0"/>
          <w:marBottom w:val="0"/>
          <w:divBdr>
            <w:top w:val="none" w:sz="0" w:space="0" w:color="auto"/>
            <w:left w:val="none" w:sz="0" w:space="0" w:color="auto"/>
            <w:bottom w:val="none" w:sz="0" w:space="0" w:color="auto"/>
            <w:right w:val="none" w:sz="0" w:space="0" w:color="auto"/>
          </w:divBdr>
          <w:divsChild>
            <w:div w:id="1576236351">
              <w:marLeft w:val="0"/>
              <w:marRight w:val="0"/>
              <w:marTop w:val="0"/>
              <w:marBottom w:val="0"/>
              <w:divBdr>
                <w:top w:val="none" w:sz="0" w:space="0" w:color="auto"/>
                <w:left w:val="none" w:sz="0" w:space="0" w:color="auto"/>
                <w:bottom w:val="none" w:sz="0" w:space="0" w:color="auto"/>
                <w:right w:val="none" w:sz="0" w:space="0" w:color="auto"/>
              </w:divBdr>
              <w:divsChild>
                <w:div w:id="78238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245935">
      <w:bodyDiv w:val="1"/>
      <w:marLeft w:val="0"/>
      <w:marRight w:val="0"/>
      <w:marTop w:val="0"/>
      <w:marBottom w:val="0"/>
      <w:divBdr>
        <w:top w:val="none" w:sz="0" w:space="0" w:color="auto"/>
        <w:left w:val="none" w:sz="0" w:space="0" w:color="auto"/>
        <w:bottom w:val="none" w:sz="0" w:space="0" w:color="auto"/>
        <w:right w:val="none" w:sz="0" w:space="0" w:color="auto"/>
      </w:divBdr>
    </w:div>
    <w:div w:id="1150907898">
      <w:bodyDiv w:val="1"/>
      <w:marLeft w:val="0"/>
      <w:marRight w:val="0"/>
      <w:marTop w:val="0"/>
      <w:marBottom w:val="0"/>
      <w:divBdr>
        <w:top w:val="none" w:sz="0" w:space="0" w:color="auto"/>
        <w:left w:val="none" w:sz="0" w:space="0" w:color="auto"/>
        <w:bottom w:val="none" w:sz="0" w:space="0" w:color="auto"/>
        <w:right w:val="none" w:sz="0" w:space="0" w:color="auto"/>
      </w:divBdr>
    </w:div>
    <w:div w:id="1159273663">
      <w:bodyDiv w:val="1"/>
      <w:marLeft w:val="0"/>
      <w:marRight w:val="0"/>
      <w:marTop w:val="0"/>
      <w:marBottom w:val="0"/>
      <w:divBdr>
        <w:top w:val="none" w:sz="0" w:space="0" w:color="auto"/>
        <w:left w:val="none" w:sz="0" w:space="0" w:color="auto"/>
        <w:bottom w:val="none" w:sz="0" w:space="0" w:color="auto"/>
        <w:right w:val="none" w:sz="0" w:space="0" w:color="auto"/>
      </w:divBdr>
    </w:div>
    <w:div w:id="1171606862">
      <w:bodyDiv w:val="1"/>
      <w:marLeft w:val="0"/>
      <w:marRight w:val="0"/>
      <w:marTop w:val="0"/>
      <w:marBottom w:val="0"/>
      <w:divBdr>
        <w:top w:val="none" w:sz="0" w:space="0" w:color="auto"/>
        <w:left w:val="none" w:sz="0" w:space="0" w:color="auto"/>
        <w:bottom w:val="none" w:sz="0" w:space="0" w:color="auto"/>
        <w:right w:val="none" w:sz="0" w:space="0" w:color="auto"/>
      </w:divBdr>
    </w:div>
    <w:div w:id="1199706035">
      <w:bodyDiv w:val="1"/>
      <w:marLeft w:val="0"/>
      <w:marRight w:val="0"/>
      <w:marTop w:val="0"/>
      <w:marBottom w:val="0"/>
      <w:divBdr>
        <w:top w:val="none" w:sz="0" w:space="0" w:color="auto"/>
        <w:left w:val="none" w:sz="0" w:space="0" w:color="auto"/>
        <w:bottom w:val="none" w:sz="0" w:space="0" w:color="auto"/>
        <w:right w:val="none" w:sz="0" w:space="0" w:color="auto"/>
      </w:divBdr>
    </w:div>
    <w:div w:id="1244024653">
      <w:bodyDiv w:val="1"/>
      <w:marLeft w:val="0"/>
      <w:marRight w:val="0"/>
      <w:marTop w:val="0"/>
      <w:marBottom w:val="0"/>
      <w:divBdr>
        <w:top w:val="none" w:sz="0" w:space="0" w:color="auto"/>
        <w:left w:val="none" w:sz="0" w:space="0" w:color="auto"/>
        <w:bottom w:val="none" w:sz="0" w:space="0" w:color="auto"/>
        <w:right w:val="none" w:sz="0" w:space="0" w:color="auto"/>
      </w:divBdr>
    </w:div>
    <w:div w:id="1254319672">
      <w:bodyDiv w:val="1"/>
      <w:marLeft w:val="0"/>
      <w:marRight w:val="0"/>
      <w:marTop w:val="0"/>
      <w:marBottom w:val="0"/>
      <w:divBdr>
        <w:top w:val="none" w:sz="0" w:space="0" w:color="auto"/>
        <w:left w:val="none" w:sz="0" w:space="0" w:color="auto"/>
        <w:bottom w:val="none" w:sz="0" w:space="0" w:color="auto"/>
        <w:right w:val="none" w:sz="0" w:space="0" w:color="auto"/>
      </w:divBdr>
      <w:divsChild>
        <w:div w:id="1883981484">
          <w:marLeft w:val="0"/>
          <w:marRight w:val="0"/>
          <w:marTop w:val="0"/>
          <w:marBottom w:val="0"/>
          <w:divBdr>
            <w:top w:val="none" w:sz="0" w:space="0" w:color="auto"/>
            <w:left w:val="none" w:sz="0" w:space="0" w:color="auto"/>
            <w:bottom w:val="none" w:sz="0" w:space="0" w:color="auto"/>
            <w:right w:val="none" w:sz="0" w:space="0" w:color="auto"/>
          </w:divBdr>
          <w:divsChild>
            <w:div w:id="578829479">
              <w:marLeft w:val="0"/>
              <w:marRight w:val="0"/>
              <w:marTop w:val="0"/>
              <w:marBottom w:val="0"/>
              <w:divBdr>
                <w:top w:val="none" w:sz="0" w:space="0" w:color="auto"/>
                <w:left w:val="none" w:sz="0" w:space="0" w:color="auto"/>
                <w:bottom w:val="none" w:sz="0" w:space="0" w:color="auto"/>
                <w:right w:val="none" w:sz="0" w:space="0" w:color="auto"/>
              </w:divBdr>
              <w:divsChild>
                <w:div w:id="205542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711106">
      <w:bodyDiv w:val="1"/>
      <w:marLeft w:val="0"/>
      <w:marRight w:val="0"/>
      <w:marTop w:val="0"/>
      <w:marBottom w:val="0"/>
      <w:divBdr>
        <w:top w:val="none" w:sz="0" w:space="0" w:color="auto"/>
        <w:left w:val="none" w:sz="0" w:space="0" w:color="auto"/>
        <w:bottom w:val="none" w:sz="0" w:space="0" w:color="auto"/>
        <w:right w:val="none" w:sz="0" w:space="0" w:color="auto"/>
      </w:divBdr>
      <w:divsChild>
        <w:div w:id="672727582">
          <w:marLeft w:val="0"/>
          <w:marRight w:val="0"/>
          <w:marTop w:val="0"/>
          <w:marBottom w:val="0"/>
          <w:divBdr>
            <w:top w:val="none" w:sz="0" w:space="0" w:color="auto"/>
            <w:left w:val="none" w:sz="0" w:space="0" w:color="auto"/>
            <w:bottom w:val="none" w:sz="0" w:space="0" w:color="auto"/>
            <w:right w:val="none" w:sz="0" w:space="0" w:color="auto"/>
          </w:divBdr>
          <w:divsChild>
            <w:div w:id="48456191">
              <w:marLeft w:val="0"/>
              <w:marRight w:val="0"/>
              <w:marTop w:val="0"/>
              <w:marBottom w:val="0"/>
              <w:divBdr>
                <w:top w:val="none" w:sz="0" w:space="0" w:color="auto"/>
                <w:left w:val="none" w:sz="0" w:space="0" w:color="auto"/>
                <w:bottom w:val="none" w:sz="0" w:space="0" w:color="auto"/>
                <w:right w:val="none" w:sz="0" w:space="0" w:color="auto"/>
              </w:divBdr>
              <w:divsChild>
                <w:div w:id="5697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377797">
      <w:bodyDiv w:val="1"/>
      <w:marLeft w:val="0"/>
      <w:marRight w:val="0"/>
      <w:marTop w:val="0"/>
      <w:marBottom w:val="0"/>
      <w:divBdr>
        <w:top w:val="none" w:sz="0" w:space="0" w:color="auto"/>
        <w:left w:val="none" w:sz="0" w:space="0" w:color="auto"/>
        <w:bottom w:val="none" w:sz="0" w:space="0" w:color="auto"/>
        <w:right w:val="none" w:sz="0" w:space="0" w:color="auto"/>
      </w:divBdr>
    </w:div>
    <w:div w:id="1327057236">
      <w:bodyDiv w:val="1"/>
      <w:marLeft w:val="0"/>
      <w:marRight w:val="0"/>
      <w:marTop w:val="0"/>
      <w:marBottom w:val="0"/>
      <w:divBdr>
        <w:top w:val="none" w:sz="0" w:space="0" w:color="auto"/>
        <w:left w:val="none" w:sz="0" w:space="0" w:color="auto"/>
        <w:bottom w:val="none" w:sz="0" w:space="0" w:color="auto"/>
        <w:right w:val="none" w:sz="0" w:space="0" w:color="auto"/>
      </w:divBdr>
      <w:divsChild>
        <w:div w:id="1375545352">
          <w:marLeft w:val="0"/>
          <w:marRight w:val="0"/>
          <w:marTop w:val="0"/>
          <w:marBottom w:val="0"/>
          <w:divBdr>
            <w:top w:val="none" w:sz="0" w:space="0" w:color="auto"/>
            <w:left w:val="none" w:sz="0" w:space="0" w:color="auto"/>
            <w:bottom w:val="none" w:sz="0" w:space="0" w:color="auto"/>
            <w:right w:val="none" w:sz="0" w:space="0" w:color="auto"/>
          </w:divBdr>
          <w:divsChild>
            <w:div w:id="2135713781">
              <w:marLeft w:val="0"/>
              <w:marRight w:val="0"/>
              <w:marTop w:val="0"/>
              <w:marBottom w:val="0"/>
              <w:divBdr>
                <w:top w:val="none" w:sz="0" w:space="0" w:color="auto"/>
                <w:left w:val="none" w:sz="0" w:space="0" w:color="auto"/>
                <w:bottom w:val="none" w:sz="0" w:space="0" w:color="auto"/>
                <w:right w:val="none" w:sz="0" w:space="0" w:color="auto"/>
              </w:divBdr>
              <w:divsChild>
                <w:div w:id="9180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111485">
      <w:bodyDiv w:val="1"/>
      <w:marLeft w:val="0"/>
      <w:marRight w:val="0"/>
      <w:marTop w:val="0"/>
      <w:marBottom w:val="0"/>
      <w:divBdr>
        <w:top w:val="none" w:sz="0" w:space="0" w:color="auto"/>
        <w:left w:val="none" w:sz="0" w:space="0" w:color="auto"/>
        <w:bottom w:val="none" w:sz="0" w:space="0" w:color="auto"/>
        <w:right w:val="none" w:sz="0" w:space="0" w:color="auto"/>
      </w:divBdr>
    </w:div>
    <w:div w:id="1343241309">
      <w:bodyDiv w:val="1"/>
      <w:marLeft w:val="0"/>
      <w:marRight w:val="0"/>
      <w:marTop w:val="0"/>
      <w:marBottom w:val="0"/>
      <w:divBdr>
        <w:top w:val="none" w:sz="0" w:space="0" w:color="auto"/>
        <w:left w:val="none" w:sz="0" w:space="0" w:color="auto"/>
        <w:bottom w:val="none" w:sz="0" w:space="0" w:color="auto"/>
        <w:right w:val="none" w:sz="0" w:space="0" w:color="auto"/>
      </w:divBdr>
    </w:div>
    <w:div w:id="1358582051">
      <w:bodyDiv w:val="1"/>
      <w:marLeft w:val="0"/>
      <w:marRight w:val="0"/>
      <w:marTop w:val="0"/>
      <w:marBottom w:val="0"/>
      <w:divBdr>
        <w:top w:val="none" w:sz="0" w:space="0" w:color="auto"/>
        <w:left w:val="none" w:sz="0" w:space="0" w:color="auto"/>
        <w:bottom w:val="none" w:sz="0" w:space="0" w:color="auto"/>
        <w:right w:val="none" w:sz="0" w:space="0" w:color="auto"/>
      </w:divBdr>
    </w:div>
    <w:div w:id="1358774526">
      <w:bodyDiv w:val="1"/>
      <w:marLeft w:val="0"/>
      <w:marRight w:val="0"/>
      <w:marTop w:val="0"/>
      <w:marBottom w:val="0"/>
      <w:divBdr>
        <w:top w:val="none" w:sz="0" w:space="0" w:color="auto"/>
        <w:left w:val="none" w:sz="0" w:space="0" w:color="auto"/>
        <w:bottom w:val="none" w:sz="0" w:space="0" w:color="auto"/>
        <w:right w:val="none" w:sz="0" w:space="0" w:color="auto"/>
      </w:divBdr>
    </w:div>
    <w:div w:id="1361470475">
      <w:bodyDiv w:val="1"/>
      <w:marLeft w:val="0"/>
      <w:marRight w:val="0"/>
      <w:marTop w:val="0"/>
      <w:marBottom w:val="0"/>
      <w:divBdr>
        <w:top w:val="none" w:sz="0" w:space="0" w:color="auto"/>
        <w:left w:val="none" w:sz="0" w:space="0" w:color="auto"/>
        <w:bottom w:val="none" w:sz="0" w:space="0" w:color="auto"/>
        <w:right w:val="none" w:sz="0" w:space="0" w:color="auto"/>
      </w:divBdr>
    </w:div>
    <w:div w:id="1370914769">
      <w:bodyDiv w:val="1"/>
      <w:marLeft w:val="0"/>
      <w:marRight w:val="0"/>
      <w:marTop w:val="0"/>
      <w:marBottom w:val="0"/>
      <w:divBdr>
        <w:top w:val="none" w:sz="0" w:space="0" w:color="auto"/>
        <w:left w:val="none" w:sz="0" w:space="0" w:color="auto"/>
        <w:bottom w:val="none" w:sz="0" w:space="0" w:color="auto"/>
        <w:right w:val="none" w:sz="0" w:space="0" w:color="auto"/>
      </w:divBdr>
    </w:div>
    <w:div w:id="1378703398">
      <w:bodyDiv w:val="1"/>
      <w:marLeft w:val="0"/>
      <w:marRight w:val="0"/>
      <w:marTop w:val="0"/>
      <w:marBottom w:val="0"/>
      <w:divBdr>
        <w:top w:val="none" w:sz="0" w:space="0" w:color="auto"/>
        <w:left w:val="none" w:sz="0" w:space="0" w:color="auto"/>
        <w:bottom w:val="none" w:sz="0" w:space="0" w:color="auto"/>
        <w:right w:val="none" w:sz="0" w:space="0" w:color="auto"/>
      </w:divBdr>
    </w:div>
    <w:div w:id="1379552202">
      <w:bodyDiv w:val="1"/>
      <w:marLeft w:val="0"/>
      <w:marRight w:val="0"/>
      <w:marTop w:val="0"/>
      <w:marBottom w:val="0"/>
      <w:divBdr>
        <w:top w:val="none" w:sz="0" w:space="0" w:color="auto"/>
        <w:left w:val="none" w:sz="0" w:space="0" w:color="auto"/>
        <w:bottom w:val="none" w:sz="0" w:space="0" w:color="auto"/>
        <w:right w:val="none" w:sz="0" w:space="0" w:color="auto"/>
      </w:divBdr>
    </w:div>
    <w:div w:id="1444812372">
      <w:bodyDiv w:val="1"/>
      <w:marLeft w:val="0"/>
      <w:marRight w:val="0"/>
      <w:marTop w:val="0"/>
      <w:marBottom w:val="0"/>
      <w:divBdr>
        <w:top w:val="none" w:sz="0" w:space="0" w:color="auto"/>
        <w:left w:val="none" w:sz="0" w:space="0" w:color="auto"/>
        <w:bottom w:val="none" w:sz="0" w:space="0" w:color="auto"/>
        <w:right w:val="none" w:sz="0" w:space="0" w:color="auto"/>
      </w:divBdr>
    </w:div>
    <w:div w:id="1444957018">
      <w:bodyDiv w:val="1"/>
      <w:marLeft w:val="0"/>
      <w:marRight w:val="0"/>
      <w:marTop w:val="0"/>
      <w:marBottom w:val="0"/>
      <w:divBdr>
        <w:top w:val="none" w:sz="0" w:space="0" w:color="auto"/>
        <w:left w:val="none" w:sz="0" w:space="0" w:color="auto"/>
        <w:bottom w:val="none" w:sz="0" w:space="0" w:color="auto"/>
        <w:right w:val="none" w:sz="0" w:space="0" w:color="auto"/>
      </w:divBdr>
    </w:div>
    <w:div w:id="1466702927">
      <w:bodyDiv w:val="1"/>
      <w:marLeft w:val="0"/>
      <w:marRight w:val="0"/>
      <w:marTop w:val="0"/>
      <w:marBottom w:val="0"/>
      <w:divBdr>
        <w:top w:val="none" w:sz="0" w:space="0" w:color="auto"/>
        <w:left w:val="none" w:sz="0" w:space="0" w:color="auto"/>
        <w:bottom w:val="none" w:sz="0" w:space="0" w:color="auto"/>
        <w:right w:val="none" w:sz="0" w:space="0" w:color="auto"/>
      </w:divBdr>
    </w:div>
    <w:div w:id="1474904115">
      <w:bodyDiv w:val="1"/>
      <w:marLeft w:val="0"/>
      <w:marRight w:val="0"/>
      <w:marTop w:val="0"/>
      <w:marBottom w:val="0"/>
      <w:divBdr>
        <w:top w:val="none" w:sz="0" w:space="0" w:color="auto"/>
        <w:left w:val="none" w:sz="0" w:space="0" w:color="auto"/>
        <w:bottom w:val="none" w:sz="0" w:space="0" w:color="auto"/>
        <w:right w:val="none" w:sz="0" w:space="0" w:color="auto"/>
      </w:divBdr>
    </w:div>
    <w:div w:id="1503230455">
      <w:bodyDiv w:val="1"/>
      <w:marLeft w:val="0"/>
      <w:marRight w:val="0"/>
      <w:marTop w:val="0"/>
      <w:marBottom w:val="0"/>
      <w:divBdr>
        <w:top w:val="none" w:sz="0" w:space="0" w:color="auto"/>
        <w:left w:val="none" w:sz="0" w:space="0" w:color="auto"/>
        <w:bottom w:val="none" w:sz="0" w:space="0" w:color="auto"/>
        <w:right w:val="none" w:sz="0" w:space="0" w:color="auto"/>
      </w:divBdr>
      <w:divsChild>
        <w:div w:id="860775547">
          <w:marLeft w:val="0"/>
          <w:marRight w:val="0"/>
          <w:marTop w:val="0"/>
          <w:marBottom w:val="0"/>
          <w:divBdr>
            <w:top w:val="none" w:sz="0" w:space="0" w:color="auto"/>
            <w:left w:val="none" w:sz="0" w:space="0" w:color="auto"/>
            <w:bottom w:val="none" w:sz="0" w:space="0" w:color="auto"/>
            <w:right w:val="none" w:sz="0" w:space="0" w:color="auto"/>
          </w:divBdr>
          <w:divsChild>
            <w:div w:id="1910730908">
              <w:marLeft w:val="0"/>
              <w:marRight w:val="0"/>
              <w:marTop w:val="0"/>
              <w:marBottom w:val="0"/>
              <w:divBdr>
                <w:top w:val="none" w:sz="0" w:space="0" w:color="auto"/>
                <w:left w:val="none" w:sz="0" w:space="0" w:color="auto"/>
                <w:bottom w:val="none" w:sz="0" w:space="0" w:color="auto"/>
                <w:right w:val="none" w:sz="0" w:space="0" w:color="auto"/>
              </w:divBdr>
              <w:divsChild>
                <w:div w:id="156991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972559">
      <w:bodyDiv w:val="1"/>
      <w:marLeft w:val="0"/>
      <w:marRight w:val="0"/>
      <w:marTop w:val="0"/>
      <w:marBottom w:val="0"/>
      <w:divBdr>
        <w:top w:val="none" w:sz="0" w:space="0" w:color="auto"/>
        <w:left w:val="none" w:sz="0" w:space="0" w:color="auto"/>
        <w:bottom w:val="none" w:sz="0" w:space="0" w:color="auto"/>
        <w:right w:val="none" w:sz="0" w:space="0" w:color="auto"/>
      </w:divBdr>
    </w:div>
    <w:div w:id="1522931245">
      <w:bodyDiv w:val="1"/>
      <w:marLeft w:val="0"/>
      <w:marRight w:val="0"/>
      <w:marTop w:val="0"/>
      <w:marBottom w:val="0"/>
      <w:divBdr>
        <w:top w:val="none" w:sz="0" w:space="0" w:color="auto"/>
        <w:left w:val="none" w:sz="0" w:space="0" w:color="auto"/>
        <w:bottom w:val="none" w:sz="0" w:space="0" w:color="auto"/>
        <w:right w:val="none" w:sz="0" w:space="0" w:color="auto"/>
      </w:divBdr>
    </w:div>
    <w:div w:id="1533030832">
      <w:bodyDiv w:val="1"/>
      <w:marLeft w:val="0"/>
      <w:marRight w:val="0"/>
      <w:marTop w:val="0"/>
      <w:marBottom w:val="0"/>
      <w:divBdr>
        <w:top w:val="none" w:sz="0" w:space="0" w:color="auto"/>
        <w:left w:val="none" w:sz="0" w:space="0" w:color="auto"/>
        <w:bottom w:val="none" w:sz="0" w:space="0" w:color="auto"/>
        <w:right w:val="none" w:sz="0" w:space="0" w:color="auto"/>
      </w:divBdr>
      <w:divsChild>
        <w:div w:id="293483381">
          <w:marLeft w:val="0"/>
          <w:marRight w:val="0"/>
          <w:marTop w:val="0"/>
          <w:marBottom w:val="0"/>
          <w:divBdr>
            <w:top w:val="none" w:sz="0" w:space="0" w:color="auto"/>
            <w:left w:val="none" w:sz="0" w:space="0" w:color="auto"/>
            <w:bottom w:val="none" w:sz="0" w:space="0" w:color="auto"/>
            <w:right w:val="none" w:sz="0" w:space="0" w:color="auto"/>
          </w:divBdr>
          <w:divsChild>
            <w:div w:id="1605840499">
              <w:marLeft w:val="0"/>
              <w:marRight w:val="0"/>
              <w:marTop w:val="0"/>
              <w:marBottom w:val="0"/>
              <w:divBdr>
                <w:top w:val="none" w:sz="0" w:space="0" w:color="auto"/>
                <w:left w:val="none" w:sz="0" w:space="0" w:color="auto"/>
                <w:bottom w:val="none" w:sz="0" w:space="0" w:color="auto"/>
                <w:right w:val="none" w:sz="0" w:space="0" w:color="auto"/>
              </w:divBdr>
            </w:div>
          </w:divsChild>
        </w:div>
        <w:div w:id="611668660">
          <w:marLeft w:val="0"/>
          <w:marRight w:val="0"/>
          <w:marTop w:val="0"/>
          <w:marBottom w:val="0"/>
          <w:divBdr>
            <w:top w:val="none" w:sz="0" w:space="0" w:color="auto"/>
            <w:left w:val="none" w:sz="0" w:space="0" w:color="auto"/>
            <w:bottom w:val="none" w:sz="0" w:space="0" w:color="auto"/>
            <w:right w:val="none" w:sz="0" w:space="0" w:color="auto"/>
          </w:divBdr>
        </w:div>
      </w:divsChild>
    </w:div>
    <w:div w:id="1563714912">
      <w:bodyDiv w:val="1"/>
      <w:marLeft w:val="0"/>
      <w:marRight w:val="0"/>
      <w:marTop w:val="0"/>
      <w:marBottom w:val="0"/>
      <w:divBdr>
        <w:top w:val="none" w:sz="0" w:space="0" w:color="auto"/>
        <w:left w:val="none" w:sz="0" w:space="0" w:color="auto"/>
        <w:bottom w:val="none" w:sz="0" w:space="0" w:color="auto"/>
        <w:right w:val="none" w:sz="0" w:space="0" w:color="auto"/>
      </w:divBdr>
    </w:div>
    <w:div w:id="1574197935">
      <w:bodyDiv w:val="1"/>
      <w:marLeft w:val="0"/>
      <w:marRight w:val="0"/>
      <w:marTop w:val="0"/>
      <w:marBottom w:val="0"/>
      <w:divBdr>
        <w:top w:val="none" w:sz="0" w:space="0" w:color="auto"/>
        <w:left w:val="none" w:sz="0" w:space="0" w:color="auto"/>
        <w:bottom w:val="none" w:sz="0" w:space="0" w:color="auto"/>
        <w:right w:val="none" w:sz="0" w:space="0" w:color="auto"/>
      </w:divBdr>
    </w:div>
    <w:div w:id="1601334802">
      <w:bodyDiv w:val="1"/>
      <w:marLeft w:val="0"/>
      <w:marRight w:val="0"/>
      <w:marTop w:val="0"/>
      <w:marBottom w:val="0"/>
      <w:divBdr>
        <w:top w:val="none" w:sz="0" w:space="0" w:color="auto"/>
        <w:left w:val="none" w:sz="0" w:space="0" w:color="auto"/>
        <w:bottom w:val="none" w:sz="0" w:space="0" w:color="auto"/>
        <w:right w:val="none" w:sz="0" w:space="0" w:color="auto"/>
      </w:divBdr>
      <w:divsChild>
        <w:div w:id="135346139">
          <w:marLeft w:val="0"/>
          <w:marRight w:val="0"/>
          <w:marTop w:val="0"/>
          <w:marBottom w:val="0"/>
          <w:divBdr>
            <w:top w:val="none" w:sz="0" w:space="0" w:color="auto"/>
            <w:left w:val="none" w:sz="0" w:space="0" w:color="auto"/>
            <w:bottom w:val="none" w:sz="0" w:space="0" w:color="auto"/>
            <w:right w:val="none" w:sz="0" w:space="0" w:color="auto"/>
          </w:divBdr>
          <w:divsChild>
            <w:div w:id="12457175">
              <w:marLeft w:val="0"/>
              <w:marRight w:val="0"/>
              <w:marTop w:val="0"/>
              <w:marBottom w:val="0"/>
              <w:divBdr>
                <w:top w:val="none" w:sz="0" w:space="0" w:color="auto"/>
                <w:left w:val="none" w:sz="0" w:space="0" w:color="auto"/>
                <w:bottom w:val="none" w:sz="0" w:space="0" w:color="auto"/>
                <w:right w:val="none" w:sz="0" w:space="0" w:color="auto"/>
              </w:divBdr>
              <w:divsChild>
                <w:div w:id="1705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561520">
      <w:bodyDiv w:val="1"/>
      <w:marLeft w:val="0"/>
      <w:marRight w:val="0"/>
      <w:marTop w:val="0"/>
      <w:marBottom w:val="0"/>
      <w:divBdr>
        <w:top w:val="none" w:sz="0" w:space="0" w:color="auto"/>
        <w:left w:val="none" w:sz="0" w:space="0" w:color="auto"/>
        <w:bottom w:val="none" w:sz="0" w:space="0" w:color="auto"/>
        <w:right w:val="none" w:sz="0" w:space="0" w:color="auto"/>
      </w:divBdr>
      <w:divsChild>
        <w:div w:id="130250923">
          <w:marLeft w:val="0"/>
          <w:marRight w:val="0"/>
          <w:marTop w:val="0"/>
          <w:marBottom w:val="0"/>
          <w:divBdr>
            <w:top w:val="none" w:sz="0" w:space="0" w:color="auto"/>
            <w:left w:val="none" w:sz="0" w:space="0" w:color="auto"/>
            <w:bottom w:val="none" w:sz="0" w:space="0" w:color="auto"/>
            <w:right w:val="none" w:sz="0" w:space="0" w:color="auto"/>
          </w:divBdr>
          <w:divsChild>
            <w:div w:id="405999230">
              <w:marLeft w:val="0"/>
              <w:marRight w:val="0"/>
              <w:marTop w:val="0"/>
              <w:marBottom w:val="0"/>
              <w:divBdr>
                <w:top w:val="none" w:sz="0" w:space="0" w:color="auto"/>
                <w:left w:val="none" w:sz="0" w:space="0" w:color="auto"/>
                <w:bottom w:val="none" w:sz="0" w:space="0" w:color="auto"/>
                <w:right w:val="none" w:sz="0" w:space="0" w:color="auto"/>
              </w:divBdr>
              <w:divsChild>
                <w:div w:id="49395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219339">
      <w:bodyDiv w:val="1"/>
      <w:marLeft w:val="0"/>
      <w:marRight w:val="0"/>
      <w:marTop w:val="0"/>
      <w:marBottom w:val="0"/>
      <w:divBdr>
        <w:top w:val="none" w:sz="0" w:space="0" w:color="auto"/>
        <w:left w:val="none" w:sz="0" w:space="0" w:color="auto"/>
        <w:bottom w:val="none" w:sz="0" w:space="0" w:color="auto"/>
        <w:right w:val="none" w:sz="0" w:space="0" w:color="auto"/>
      </w:divBdr>
      <w:divsChild>
        <w:div w:id="1185707439">
          <w:marLeft w:val="0"/>
          <w:marRight w:val="0"/>
          <w:marTop w:val="0"/>
          <w:marBottom w:val="0"/>
          <w:divBdr>
            <w:top w:val="none" w:sz="0" w:space="0" w:color="auto"/>
            <w:left w:val="none" w:sz="0" w:space="0" w:color="auto"/>
            <w:bottom w:val="none" w:sz="0" w:space="0" w:color="auto"/>
            <w:right w:val="none" w:sz="0" w:space="0" w:color="auto"/>
          </w:divBdr>
          <w:divsChild>
            <w:div w:id="1832670666">
              <w:marLeft w:val="0"/>
              <w:marRight w:val="0"/>
              <w:marTop w:val="0"/>
              <w:marBottom w:val="0"/>
              <w:divBdr>
                <w:top w:val="none" w:sz="0" w:space="0" w:color="auto"/>
                <w:left w:val="none" w:sz="0" w:space="0" w:color="auto"/>
                <w:bottom w:val="none" w:sz="0" w:space="0" w:color="auto"/>
                <w:right w:val="none" w:sz="0" w:space="0" w:color="auto"/>
              </w:divBdr>
              <w:divsChild>
                <w:div w:id="1429548129">
                  <w:marLeft w:val="0"/>
                  <w:marRight w:val="0"/>
                  <w:marTop w:val="0"/>
                  <w:marBottom w:val="0"/>
                  <w:divBdr>
                    <w:top w:val="none" w:sz="0" w:space="0" w:color="auto"/>
                    <w:left w:val="none" w:sz="0" w:space="0" w:color="auto"/>
                    <w:bottom w:val="none" w:sz="0" w:space="0" w:color="auto"/>
                    <w:right w:val="none" w:sz="0" w:space="0" w:color="auto"/>
                  </w:divBdr>
                  <w:divsChild>
                    <w:div w:id="1171679879">
                      <w:marLeft w:val="0"/>
                      <w:marRight w:val="0"/>
                      <w:marTop w:val="0"/>
                      <w:marBottom w:val="0"/>
                      <w:divBdr>
                        <w:top w:val="none" w:sz="0" w:space="0" w:color="auto"/>
                        <w:left w:val="none" w:sz="0" w:space="0" w:color="auto"/>
                        <w:bottom w:val="none" w:sz="0" w:space="0" w:color="auto"/>
                        <w:right w:val="none" w:sz="0" w:space="0" w:color="auto"/>
                      </w:divBdr>
                      <w:divsChild>
                        <w:div w:id="194225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787826">
                  <w:marLeft w:val="0"/>
                  <w:marRight w:val="0"/>
                  <w:marTop w:val="0"/>
                  <w:marBottom w:val="0"/>
                  <w:divBdr>
                    <w:top w:val="none" w:sz="0" w:space="0" w:color="auto"/>
                    <w:left w:val="none" w:sz="0" w:space="0" w:color="auto"/>
                    <w:bottom w:val="none" w:sz="0" w:space="0" w:color="auto"/>
                    <w:right w:val="none" w:sz="0" w:space="0" w:color="auto"/>
                  </w:divBdr>
                  <w:divsChild>
                    <w:div w:id="1517189701">
                      <w:marLeft w:val="0"/>
                      <w:marRight w:val="0"/>
                      <w:marTop w:val="0"/>
                      <w:marBottom w:val="0"/>
                      <w:divBdr>
                        <w:top w:val="none" w:sz="0" w:space="0" w:color="auto"/>
                        <w:left w:val="none" w:sz="0" w:space="0" w:color="auto"/>
                        <w:bottom w:val="none" w:sz="0" w:space="0" w:color="auto"/>
                        <w:right w:val="none" w:sz="0" w:space="0" w:color="auto"/>
                      </w:divBdr>
                      <w:divsChild>
                        <w:div w:id="48420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066020">
      <w:bodyDiv w:val="1"/>
      <w:marLeft w:val="0"/>
      <w:marRight w:val="0"/>
      <w:marTop w:val="0"/>
      <w:marBottom w:val="0"/>
      <w:divBdr>
        <w:top w:val="none" w:sz="0" w:space="0" w:color="auto"/>
        <w:left w:val="none" w:sz="0" w:space="0" w:color="auto"/>
        <w:bottom w:val="none" w:sz="0" w:space="0" w:color="auto"/>
        <w:right w:val="none" w:sz="0" w:space="0" w:color="auto"/>
      </w:divBdr>
      <w:divsChild>
        <w:div w:id="1710910084">
          <w:marLeft w:val="0"/>
          <w:marRight w:val="0"/>
          <w:marTop w:val="0"/>
          <w:marBottom w:val="0"/>
          <w:divBdr>
            <w:top w:val="none" w:sz="0" w:space="0" w:color="auto"/>
            <w:left w:val="none" w:sz="0" w:space="0" w:color="auto"/>
            <w:bottom w:val="none" w:sz="0" w:space="0" w:color="auto"/>
            <w:right w:val="none" w:sz="0" w:space="0" w:color="auto"/>
          </w:divBdr>
          <w:divsChild>
            <w:div w:id="1205873943">
              <w:marLeft w:val="0"/>
              <w:marRight w:val="0"/>
              <w:marTop w:val="0"/>
              <w:marBottom w:val="0"/>
              <w:divBdr>
                <w:top w:val="none" w:sz="0" w:space="0" w:color="auto"/>
                <w:left w:val="none" w:sz="0" w:space="0" w:color="auto"/>
                <w:bottom w:val="none" w:sz="0" w:space="0" w:color="auto"/>
                <w:right w:val="none" w:sz="0" w:space="0" w:color="auto"/>
              </w:divBdr>
              <w:divsChild>
                <w:div w:id="184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532523">
      <w:bodyDiv w:val="1"/>
      <w:marLeft w:val="0"/>
      <w:marRight w:val="0"/>
      <w:marTop w:val="0"/>
      <w:marBottom w:val="0"/>
      <w:divBdr>
        <w:top w:val="none" w:sz="0" w:space="0" w:color="auto"/>
        <w:left w:val="none" w:sz="0" w:space="0" w:color="auto"/>
        <w:bottom w:val="none" w:sz="0" w:space="0" w:color="auto"/>
        <w:right w:val="none" w:sz="0" w:space="0" w:color="auto"/>
      </w:divBdr>
    </w:div>
    <w:div w:id="1661159681">
      <w:bodyDiv w:val="1"/>
      <w:marLeft w:val="0"/>
      <w:marRight w:val="0"/>
      <w:marTop w:val="0"/>
      <w:marBottom w:val="0"/>
      <w:divBdr>
        <w:top w:val="none" w:sz="0" w:space="0" w:color="auto"/>
        <w:left w:val="none" w:sz="0" w:space="0" w:color="auto"/>
        <w:bottom w:val="none" w:sz="0" w:space="0" w:color="auto"/>
        <w:right w:val="none" w:sz="0" w:space="0" w:color="auto"/>
      </w:divBdr>
      <w:divsChild>
        <w:div w:id="242030169">
          <w:marLeft w:val="0"/>
          <w:marRight w:val="0"/>
          <w:marTop w:val="0"/>
          <w:marBottom w:val="0"/>
          <w:divBdr>
            <w:top w:val="none" w:sz="0" w:space="0" w:color="auto"/>
            <w:left w:val="none" w:sz="0" w:space="0" w:color="auto"/>
            <w:bottom w:val="none" w:sz="0" w:space="0" w:color="auto"/>
            <w:right w:val="none" w:sz="0" w:space="0" w:color="auto"/>
          </w:divBdr>
          <w:divsChild>
            <w:div w:id="1187712328">
              <w:marLeft w:val="0"/>
              <w:marRight w:val="0"/>
              <w:marTop w:val="0"/>
              <w:marBottom w:val="0"/>
              <w:divBdr>
                <w:top w:val="none" w:sz="0" w:space="0" w:color="auto"/>
                <w:left w:val="none" w:sz="0" w:space="0" w:color="auto"/>
                <w:bottom w:val="none" w:sz="0" w:space="0" w:color="auto"/>
                <w:right w:val="none" w:sz="0" w:space="0" w:color="auto"/>
              </w:divBdr>
              <w:divsChild>
                <w:div w:id="94635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343948">
      <w:bodyDiv w:val="1"/>
      <w:marLeft w:val="0"/>
      <w:marRight w:val="0"/>
      <w:marTop w:val="0"/>
      <w:marBottom w:val="0"/>
      <w:divBdr>
        <w:top w:val="none" w:sz="0" w:space="0" w:color="auto"/>
        <w:left w:val="none" w:sz="0" w:space="0" w:color="auto"/>
        <w:bottom w:val="none" w:sz="0" w:space="0" w:color="auto"/>
        <w:right w:val="none" w:sz="0" w:space="0" w:color="auto"/>
      </w:divBdr>
    </w:div>
    <w:div w:id="1702051734">
      <w:bodyDiv w:val="1"/>
      <w:marLeft w:val="0"/>
      <w:marRight w:val="0"/>
      <w:marTop w:val="0"/>
      <w:marBottom w:val="0"/>
      <w:divBdr>
        <w:top w:val="none" w:sz="0" w:space="0" w:color="auto"/>
        <w:left w:val="none" w:sz="0" w:space="0" w:color="auto"/>
        <w:bottom w:val="none" w:sz="0" w:space="0" w:color="auto"/>
        <w:right w:val="none" w:sz="0" w:space="0" w:color="auto"/>
      </w:divBdr>
    </w:div>
    <w:div w:id="1702242622">
      <w:bodyDiv w:val="1"/>
      <w:marLeft w:val="0"/>
      <w:marRight w:val="0"/>
      <w:marTop w:val="0"/>
      <w:marBottom w:val="0"/>
      <w:divBdr>
        <w:top w:val="none" w:sz="0" w:space="0" w:color="auto"/>
        <w:left w:val="none" w:sz="0" w:space="0" w:color="auto"/>
        <w:bottom w:val="none" w:sz="0" w:space="0" w:color="auto"/>
        <w:right w:val="none" w:sz="0" w:space="0" w:color="auto"/>
      </w:divBdr>
    </w:div>
    <w:div w:id="1702975792">
      <w:bodyDiv w:val="1"/>
      <w:marLeft w:val="0"/>
      <w:marRight w:val="0"/>
      <w:marTop w:val="0"/>
      <w:marBottom w:val="0"/>
      <w:divBdr>
        <w:top w:val="none" w:sz="0" w:space="0" w:color="auto"/>
        <w:left w:val="none" w:sz="0" w:space="0" w:color="auto"/>
        <w:bottom w:val="none" w:sz="0" w:space="0" w:color="auto"/>
        <w:right w:val="none" w:sz="0" w:space="0" w:color="auto"/>
      </w:divBdr>
    </w:div>
    <w:div w:id="1717855768">
      <w:bodyDiv w:val="1"/>
      <w:marLeft w:val="0"/>
      <w:marRight w:val="0"/>
      <w:marTop w:val="0"/>
      <w:marBottom w:val="0"/>
      <w:divBdr>
        <w:top w:val="none" w:sz="0" w:space="0" w:color="auto"/>
        <w:left w:val="none" w:sz="0" w:space="0" w:color="auto"/>
        <w:bottom w:val="none" w:sz="0" w:space="0" w:color="auto"/>
        <w:right w:val="none" w:sz="0" w:space="0" w:color="auto"/>
      </w:divBdr>
      <w:divsChild>
        <w:div w:id="1278952776">
          <w:marLeft w:val="0"/>
          <w:marRight w:val="0"/>
          <w:marTop w:val="0"/>
          <w:marBottom w:val="0"/>
          <w:divBdr>
            <w:top w:val="none" w:sz="0" w:space="0" w:color="auto"/>
            <w:left w:val="none" w:sz="0" w:space="0" w:color="auto"/>
            <w:bottom w:val="none" w:sz="0" w:space="0" w:color="auto"/>
            <w:right w:val="none" w:sz="0" w:space="0" w:color="auto"/>
          </w:divBdr>
          <w:divsChild>
            <w:div w:id="1649090614">
              <w:marLeft w:val="0"/>
              <w:marRight w:val="0"/>
              <w:marTop w:val="0"/>
              <w:marBottom w:val="0"/>
              <w:divBdr>
                <w:top w:val="none" w:sz="0" w:space="0" w:color="auto"/>
                <w:left w:val="none" w:sz="0" w:space="0" w:color="auto"/>
                <w:bottom w:val="none" w:sz="0" w:space="0" w:color="auto"/>
                <w:right w:val="none" w:sz="0" w:space="0" w:color="auto"/>
              </w:divBdr>
              <w:divsChild>
                <w:div w:id="42299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059328">
      <w:bodyDiv w:val="1"/>
      <w:marLeft w:val="0"/>
      <w:marRight w:val="0"/>
      <w:marTop w:val="0"/>
      <w:marBottom w:val="0"/>
      <w:divBdr>
        <w:top w:val="none" w:sz="0" w:space="0" w:color="auto"/>
        <w:left w:val="none" w:sz="0" w:space="0" w:color="auto"/>
        <w:bottom w:val="none" w:sz="0" w:space="0" w:color="auto"/>
        <w:right w:val="none" w:sz="0" w:space="0" w:color="auto"/>
      </w:divBdr>
    </w:div>
    <w:div w:id="1760562631">
      <w:bodyDiv w:val="1"/>
      <w:marLeft w:val="0"/>
      <w:marRight w:val="0"/>
      <w:marTop w:val="0"/>
      <w:marBottom w:val="0"/>
      <w:divBdr>
        <w:top w:val="none" w:sz="0" w:space="0" w:color="auto"/>
        <w:left w:val="none" w:sz="0" w:space="0" w:color="auto"/>
        <w:bottom w:val="none" w:sz="0" w:space="0" w:color="auto"/>
        <w:right w:val="none" w:sz="0" w:space="0" w:color="auto"/>
      </w:divBdr>
      <w:divsChild>
        <w:div w:id="1181042108">
          <w:marLeft w:val="0"/>
          <w:marRight w:val="0"/>
          <w:marTop w:val="0"/>
          <w:marBottom w:val="0"/>
          <w:divBdr>
            <w:top w:val="none" w:sz="0" w:space="0" w:color="auto"/>
            <w:left w:val="none" w:sz="0" w:space="0" w:color="auto"/>
            <w:bottom w:val="none" w:sz="0" w:space="0" w:color="auto"/>
            <w:right w:val="none" w:sz="0" w:space="0" w:color="auto"/>
          </w:divBdr>
          <w:divsChild>
            <w:div w:id="1070470607">
              <w:marLeft w:val="0"/>
              <w:marRight w:val="0"/>
              <w:marTop w:val="0"/>
              <w:marBottom w:val="0"/>
              <w:divBdr>
                <w:top w:val="none" w:sz="0" w:space="0" w:color="auto"/>
                <w:left w:val="none" w:sz="0" w:space="0" w:color="auto"/>
                <w:bottom w:val="none" w:sz="0" w:space="0" w:color="auto"/>
                <w:right w:val="none" w:sz="0" w:space="0" w:color="auto"/>
              </w:divBdr>
              <w:divsChild>
                <w:div w:id="189723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153427">
      <w:bodyDiv w:val="1"/>
      <w:marLeft w:val="0"/>
      <w:marRight w:val="0"/>
      <w:marTop w:val="0"/>
      <w:marBottom w:val="0"/>
      <w:divBdr>
        <w:top w:val="none" w:sz="0" w:space="0" w:color="auto"/>
        <w:left w:val="none" w:sz="0" w:space="0" w:color="auto"/>
        <w:bottom w:val="none" w:sz="0" w:space="0" w:color="auto"/>
        <w:right w:val="none" w:sz="0" w:space="0" w:color="auto"/>
      </w:divBdr>
      <w:divsChild>
        <w:div w:id="1319921013">
          <w:marLeft w:val="0"/>
          <w:marRight w:val="0"/>
          <w:marTop w:val="0"/>
          <w:marBottom w:val="0"/>
          <w:divBdr>
            <w:top w:val="none" w:sz="0" w:space="0" w:color="auto"/>
            <w:left w:val="none" w:sz="0" w:space="0" w:color="auto"/>
            <w:bottom w:val="none" w:sz="0" w:space="0" w:color="auto"/>
            <w:right w:val="none" w:sz="0" w:space="0" w:color="auto"/>
          </w:divBdr>
          <w:divsChild>
            <w:div w:id="17894920">
              <w:marLeft w:val="0"/>
              <w:marRight w:val="0"/>
              <w:marTop w:val="0"/>
              <w:marBottom w:val="0"/>
              <w:divBdr>
                <w:top w:val="none" w:sz="0" w:space="0" w:color="auto"/>
                <w:left w:val="none" w:sz="0" w:space="0" w:color="auto"/>
                <w:bottom w:val="none" w:sz="0" w:space="0" w:color="auto"/>
                <w:right w:val="none" w:sz="0" w:space="0" w:color="auto"/>
              </w:divBdr>
              <w:divsChild>
                <w:div w:id="206682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579067">
      <w:bodyDiv w:val="1"/>
      <w:marLeft w:val="0"/>
      <w:marRight w:val="0"/>
      <w:marTop w:val="0"/>
      <w:marBottom w:val="0"/>
      <w:divBdr>
        <w:top w:val="none" w:sz="0" w:space="0" w:color="auto"/>
        <w:left w:val="none" w:sz="0" w:space="0" w:color="auto"/>
        <w:bottom w:val="none" w:sz="0" w:space="0" w:color="auto"/>
        <w:right w:val="none" w:sz="0" w:space="0" w:color="auto"/>
      </w:divBdr>
    </w:div>
    <w:div w:id="1775245437">
      <w:bodyDiv w:val="1"/>
      <w:marLeft w:val="0"/>
      <w:marRight w:val="0"/>
      <w:marTop w:val="0"/>
      <w:marBottom w:val="0"/>
      <w:divBdr>
        <w:top w:val="none" w:sz="0" w:space="0" w:color="auto"/>
        <w:left w:val="none" w:sz="0" w:space="0" w:color="auto"/>
        <w:bottom w:val="none" w:sz="0" w:space="0" w:color="auto"/>
        <w:right w:val="none" w:sz="0" w:space="0" w:color="auto"/>
      </w:divBdr>
      <w:divsChild>
        <w:div w:id="137067558">
          <w:marLeft w:val="0"/>
          <w:marRight w:val="0"/>
          <w:marTop w:val="0"/>
          <w:marBottom w:val="0"/>
          <w:divBdr>
            <w:top w:val="none" w:sz="0" w:space="0" w:color="auto"/>
            <w:left w:val="none" w:sz="0" w:space="0" w:color="auto"/>
            <w:bottom w:val="none" w:sz="0" w:space="0" w:color="auto"/>
            <w:right w:val="none" w:sz="0" w:space="0" w:color="auto"/>
          </w:divBdr>
          <w:divsChild>
            <w:div w:id="564994851">
              <w:marLeft w:val="0"/>
              <w:marRight w:val="0"/>
              <w:marTop w:val="0"/>
              <w:marBottom w:val="0"/>
              <w:divBdr>
                <w:top w:val="none" w:sz="0" w:space="0" w:color="auto"/>
                <w:left w:val="none" w:sz="0" w:space="0" w:color="auto"/>
                <w:bottom w:val="none" w:sz="0" w:space="0" w:color="auto"/>
                <w:right w:val="none" w:sz="0" w:space="0" w:color="auto"/>
              </w:divBdr>
              <w:divsChild>
                <w:div w:id="204959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257688">
      <w:bodyDiv w:val="1"/>
      <w:marLeft w:val="0"/>
      <w:marRight w:val="0"/>
      <w:marTop w:val="0"/>
      <w:marBottom w:val="0"/>
      <w:divBdr>
        <w:top w:val="none" w:sz="0" w:space="0" w:color="auto"/>
        <w:left w:val="none" w:sz="0" w:space="0" w:color="auto"/>
        <w:bottom w:val="none" w:sz="0" w:space="0" w:color="auto"/>
        <w:right w:val="none" w:sz="0" w:space="0" w:color="auto"/>
      </w:divBdr>
      <w:divsChild>
        <w:div w:id="2124031118">
          <w:marLeft w:val="0"/>
          <w:marRight w:val="0"/>
          <w:marTop w:val="0"/>
          <w:marBottom w:val="0"/>
          <w:divBdr>
            <w:top w:val="none" w:sz="0" w:space="0" w:color="auto"/>
            <w:left w:val="none" w:sz="0" w:space="0" w:color="auto"/>
            <w:bottom w:val="none" w:sz="0" w:space="0" w:color="auto"/>
            <w:right w:val="none" w:sz="0" w:space="0" w:color="auto"/>
          </w:divBdr>
          <w:divsChild>
            <w:div w:id="343631132">
              <w:marLeft w:val="0"/>
              <w:marRight w:val="0"/>
              <w:marTop w:val="0"/>
              <w:marBottom w:val="0"/>
              <w:divBdr>
                <w:top w:val="none" w:sz="0" w:space="0" w:color="auto"/>
                <w:left w:val="none" w:sz="0" w:space="0" w:color="auto"/>
                <w:bottom w:val="none" w:sz="0" w:space="0" w:color="auto"/>
                <w:right w:val="none" w:sz="0" w:space="0" w:color="auto"/>
              </w:divBdr>
              <w:divsChild>
                <w:div w:id="1662850937">
                  <w:marLeft w:val="0"/>
                  <w:marRight w:val="0"/>
                  <w:marTop w:val="0"/>
                  <w:marBottom w:val="0"/>
                  <w:divBdr>
                    <w:top w:val="none" w:sz="0" w:space="0" w:color="auto"/>
                    <w:left w:val="none" w:sz="0" w:space="0" w:color="auto"/>
                    <w:bottom w:val="none" w:sz="0" w:space="0" w:color="auto"/>
                    <w:right w:val="none" w:sz="0" w:space="0" w:color="auto"/>
                  </w:divBdr>
                  <w:divsChild>
                    <w:div w:id="96103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510101">
      <w:bodyDiv w:val="1"/>
      <w:marLeft w:val="0"/>
      <w:marRight w:val="0"/>
      <w:marTop w:val="0"/>
      <w:marBottom w:val="0"/>
      <w:divBdr>
        <w:top w:val="none" w:sz="0" w:space="0" w:color="auto"/>
        <w:left w:val="none" w:sz="0" w:space="0" w:color="auto"/>
        <w:bottom w:val="none" w:sz="0" w:space="0" w:color="auto"/>
        <w:right w:val="none" w:sz="0" w:space="0" w:color="auto"/>
      </w:divBdr>
      <w:divsChild>
        <w:div w:id="2025404035">
          <w:marLeft w:val="0"/>
          <w:marRight w:val="0"/>
          <w:marTop w:val="0"/>
          <w:marBottom w:val="0"/>
          <w:divBdr>
            <w:top w:val="none" w:sz="0" w:space="0" w:color="auto"/>
            <w:left w:val="none" w:sz="0" w:space="0" w:color="auto"/>
            <w:bottom w:val="none" w:sz="0" w:space="0" w:color="auto"/>
            <w:right w:val="none" w:sz="0" w:space="0" w:color="auto"/>
          </w:divBdr>
          <w:divsChild>
            <w:div w:id="633486997">
              <w:marLeft w:val="0"/>
              <w:marRight w:val="0"/>
              <w:marTop w:val="0"/>
              <w:marBottom w:val="0"/>
              <w:divBdr>
                <w:top w:val="none" w:sz="0" w:space="0" w:color="auto"/>
                <w:left w:val="none" w:sz="0" w:space="0" w:color="auto"/>
                <w:bottom w:val="none" w:sz="0" w:space="0" w:color="auto"/>
                <w:right w:val="none" w:sz="0" w:space="0" w:color="auto"/>
              </w:divBdr>
              <w:divsChild>
                <w:div w:id="42935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0764">
      <w:bodyDiv w:val="1"/>
      <w:marLeft w:val="0"/>
      <w:marRight w:val="0"/>
      <w:marTop w:val="0"/>
      <w:marBottom w:val="0"/>
      <w:divBdr>
        <w:top w:val="none" w:sz="0" w:space="0" w:color="auto"/>
        <w:left w:val="none" w:sz="0" w:space="0" w:color="auto"/>
        <w:bottom w:val="none" w:sz="0" w:space="0" w:color="auto"/>
        <w:right w:val="none" w:sz="0" w:space="0" w:color="auto"/>
      </w:divBdr>
    </w:div>
    <w:div w:id="1815027611">
      <w:bodyDiv w:val="1"/>
      <w:marLeft w:val="0"/>
      <w:marRight w:val="0"/>
      <w:marTop w:val="0"/>
      <w:marBottom w:val="0"/>
      <w:divBdr>
        <w:top w:val="none" w:sz="0" w:space="0" w:color="auto"/>
        <w:left w:val="none" w:sz="0" w:space="0" w:color="auto"/>
        <w:bottom w:val="none" w:sz="0" w:space="0" w:color="auto"/>
        <w:right w:val="none" w:sz="0" w:space="0" w:color="auto"/>
      </w:divBdr>
      <w:divsChild>
        <w:div w:id="457995959">
          <w:marLeft w:val="0"/>
          <w:marRight w:val="0"/>
          <w:marTop w:val="0"/>
          <w:marBottom w:val="0"/>
          <w:divBdr>
            <w:top w:val="none" w:sz="0" w:space="0" w:color="auto"/>
            <w:left w:val="none" w:sz="0" w:space="0" w:color="auto"/>
            <w:bottom w:val="none" w:sz="0" w:space="0" w:color="auto"/>
            <w:right w:val="none" w:sz="0" w:space="0" w:color="auto"/>
          </w:divBdr>
          <w:divsChild>
            <w:div w:id="705327346">
              <w:marLeft w:val="0"/>
              <w:marRight w:val="0"/>
              <w:marTop w:val="0"/>
              <w:marBottom w:val="0"/>
              <w:divBdr>
                <w:top w:val="none" w:sz="0" w:space="0" w:color="auto"/>
                <w:left w:val="none" w:sz="0" w:space="0" w:color="auto"/>
                <w:bottom w:val="none" w:sz="0" w:space="0" w:color="auto"/>
                <w:right w:val="none" w:sz="0" w:space="0" w:color="auto"/>
              </w:divBdr>
              <w:divsChild>
                <w:div w:id="1223911309">
                  <w:marLeft w:val="0"/>
                  <w:marRight w:val="0"/>
                  <w:marTop w:val="0"/>
                  <w:marBottom w:val="0"/>
                  <w:divBdr>
                    <w:top w:val="none" w:sz="0" w:space="0" w:color="auto"/>
                    <w:left w:val="none" w:sz="0" w:space="0" w:color="auto"/>
                    <w:bottom w:val="none" w:sz="0" w:space="0" w:color="auto"/>
                    <w:right w:val="none" w:sz="0" w:space="0" w:color="auto"/>
                  </w:divBdr>
                  <w:divsChild>
                    <w:div w:id="134925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761894">
      <w:bodyDiv w:val="1"/>
      <w:marLeft w:val="0"/>
      <w:marRight w:val="0"/>
      <w:marTop w:val="0"/>
      <w:marBottom w:val="0"/>
      <w:divBdr>
        <w:top w:val="none" w:sz="0" w:space="0" w:color="auto"/>
        <w:left w:val="none" w:sz="0" w:space="0" w:color="auto"/>
        <w:bottom w:val="none" w:sz="0" w:space="0" w:color="auto"/>
        <w:right w:val="none" w:sz="0" w:space="0" w:color="auto"/>
      </w:divBdr>
    </w:div>
    <w:div w:id="1888878841">
      <w:bodyDiv w:val="1"/>
      <w:marLeft w:val="0"/>
      <w:marRight w:val="0"/>
      <w:marTop w:val="0"/>
      <w:marBottom w:val="0"/>
      <w:divBdr>
        <w:top w:val="none" w:sz="0" w:space="0" w:color="auto"/>
        <w:left w:val="none" w:sz="0" w:space="0" w:color="auto"/>
        <w:bottom w:val="none" w:sz="0" w:space="0" w:color="auto"/>
        <w:right w:val="none" w:sz="0" w:space="0" w:color="auto"/>
      </w:divBdr>
      <w:divsChild>
        <w:div w:id="1693870771">
          <w:marLeft w:val="0"/>
          <w:marRight w:val="0"/>
          <w:marTop w:val="0"/>
          <w:marBottom w:val="0"/>
          <w:divBdr>
            <w:top w:val="none" w:sz="0" w:space="0" w:color="auto"/>
            <w:left w:val="none" w:sz="0" w:space="0" w:color="auto"/>
            <w:bottom w:val="none" w:sz="0" w:space="0" w:color="auto"/>
            <w:right w:val="none" w:sz="0" w:space="0" w:color="auto"/>
          </w:divBdr>
          <w:divsChild>
            <w:div w:id="1446578182">
              <w:marLeft w:val="0"/>
              <w:marRight w:val="0"/>
              <w:marTop w:val="0"/>
              <w:marBottom w:val="0"/>
              <w:divBdr>
                <w:top w:val="none" w:sz="0" w:space="0" w:color="auto"/>
                <w:left w:val="none" w:sz="0" w:space="0" w:color="auto"/>
                <w:bottom w:val="none" w:sz="0" w:space="0" w:color="auto"/>
                <w:right w:val="none" w:sz="0" w:space="0" w:color="auto"/>
              </w:divBdr>
              <w:divsChild>
                <w:div w:id="159659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157565">
      <w:bodyDiv w:val="1"/>
      <w:marLeft w:val="0"/>
      <w:marRight w:val="0"/>
      <w:marTop w:val="0"/>
      <w:marBottom w:val="0"/>
      <w:divBdr>
        <w:top w:val="none" w:sz="0" w:space="0" w:color="auto"/>
        <w:left w:val="none" w:sz="0" w:space="0" w:color="auto"/>
        <w:bottom w:val="none" w:sz="0" w:space="0" w:color="auto"/>
        <w:right w:val="none" w:sz="0" w:space="0" w:color="auto"/>
      </w:divBdr>
    </w:div>
    <w:div w:id="1899244073">
      <w:bodyDiv w:val="1"/>
      <w:marLeft w:val="0"/>
      <w:marRight w:val="0"/>
      <w:marTop w:val="0"/>
      <w:marBottom w:val="0"/>
      <w:divBdr>
        <w:top w:val="none" w:sz="0" w:space="0" w:color="auto"/>
        <w:left w:val="none" w:sz="0" w:space="0" w:color="auto"/>
        <w:bottom w:val="none" w:sz="0" w:space="0" w:color="auto"/>
        <w:right w:val="none" w:sz="0" w:space="0" w:color="auto"/>
      </w:divBdr>
    </w:div>
    <w:div w:id="1911888072">
      <w:bodyDiv w:val="1"/>
      <w:marLeft w:val="0"/>
      <w:marRight w:val="0"/>
      <w:marTop w:val="0"/>
      <w:marBottom w:val="0"/>
      <w:divBdr>
        <w:top w:val="none" w:sz="0" w:space="0" w:color="auto"/>
        <w:left w:val="none" w:sz="0" w:space="0" w:color="auto"/>
        <w:bottom w:val="none" w:sz="0" w:space="0" w:color="auto"/>
        <w:right w:val="none" w:sz="0" w:space="0" w:color="auto"/>
      </w:divBdr>
    </w:div>
    <w:div w:id="1921595052">
      <w:bodyDiv w:val="1"/>
      <w:marLeft w:val="0"/>
      <w:marRight w:val="0"/>
      <w:marTop w:val="0"/>
      <w:marBottom w:val="0"/>
      <w:divBdr>
        <w:top w:val="none" w:sz="0" w:space="0" w:color="auto"/>
        <w:left w:val="none" w:sz="0" w:space="0" w:color="auto"/>
        <w:bottom w:val="none" w:sz="0" w:space="0" w:color="auto"/>
        <w:right w:val="none" w:sz="0" w:space="0" w:color="auto"/>
      </w:divBdr>
      <w:divsChild>
        <w:div w:id="153184456">
          <w:marLeft w:val="0"/>
          <w:marRight w:val="0"/>
          <w:marTop w:val="0"/>
          <w:marBottom w:val="0"/>
          <w:divBdr>
            <w:top w:val="none" w:sz="0" w:space="0" w:color="auto"/>
            <w:left w:val="none" w:sz="0" w:space="0" w:color="auto"/>
            <w:bottom w:val="none" w:sz="0" w:space="0" w:color="auto"/>
            <w:right w:val="none" w:sz="0" w:space="0" w:color="auto"/>
          </w:divBdr>
          <w:divsChild>
            <w:div w:id="530846284">
              <w:marLeft w:val="0"/>
              <w:marRight w:val="0"/>
              <w:marTop w:val="0"/>
              <w:marBottom w:val="0"/>
              <w:divBdr>
                <w:top w:val="none" w:sz="0" w:space="0" w:color="auto"/>
                <w:left w:val="none" w:sz="0" w:space="0" w:color="auto"/>
                <w:bottom w:val="none" w:sz="0" w:space="0" w:color="auto"/>
                <w:right w:val="none" w:sz="0" w:space="0" w:color="auto"/>
              </w:divBdr>
              <w:divsChild>
                <w:div w:id="145903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734139">
      <w:bodyDiv w:val="1"/>
      <w:marLeft w:val="0"/>
      <w:marRight w:val="0"/>
      <w:marTop w:val="0"/>
      <w:marBottom w:val="0"/>
      <w:divBdr>
        <w:top w:val="none" w:sz="0" w:space="0" w:color="auto"/>
        <w:left w:val="none" w:sz="0" w:space="0" w:color="auto"/>
        <w:bottom w:val="none" w:sz="0" w:space="0" w:color="auto"/>
        <w:right w:val="none" w:sz="0" w:space="0" w:color="auto"/>
      </w:divBdr>
      <w:divsChild>
        <w:div w:id="1697923703">
          <w:marLeft w:val="0"/>
          <w:marRight w:val="0"/>
          <w:marTop w:val="0"/>
          <w:marBottom w:val="0"/>
          <w:divBdr>
            <w:top w:val="none" w:sz="0" w:space="0" w:color="auto"/>
            <w:left w:val="none" w:sz="0" w:space="0" w:color="auto"/>
            <w:bottom w:val="none" w:sz="0" w:space="0" w:color="auto"/>
            <w:right w:val="none" w:sz="0" w:space="0" w:color="auto"/>
          </w:divBdr>
          <w:divsChild>
            <w:div w:id="1383671383">
              <w:marLeft w:val="0"/>
              <w:marRight w:val="0"/>
              <w:marTop w:val="0"/>
              <w:marBottom w:val="0"/>
              <w:divBdr>
                <w:top w:val="none" w:sz="0" w:space="0" w:color="auto"/>
                <w:left w:val="none" w:sz="0" w:space="0" w:color="auto"/>
                <w:bottom w:val="none" w:sz="0" w:space="0" w:color="auto"/>
                <w:right w:val="none" w:sz="0" w:space="0" w:color="auto"/>
              </w:divBdr>
              <w:divsChild>
                <w:div w:id="46670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538037">
      <w:bodyDiv w:val="1"/>
      <w:marLeft w:val="0"/>
      <w:marRight w:val="0"/>
      <w:marTop w:val="0"/>
      <w:marBottom w:val="0"/>
      <w:divBdr>
        <w:top w:val="none" w:sz="0" w:space="0" w:color="auto"/>
        <w:left w:val="none" w:sz="0" w:space="0" w:color="auto"/>
        <w:bottom w:val="none" w:sz="0" w:space="0" w:color="auto"/>
        <w:right w:val="none" w:sz="0" w:space="0" w:color="auto"/>
      </w:divBdr>
    </w:div>
    <w:div w:id="1949003534">
      <w:bodyDiv w:val="1"/>
      <w:marLeft w:val="0"/>
      <w:marRight w:val="0"/>
      <w:marTop w:val="0"/>
      <w:marBottom w:val="0"/>
      <w:divBdr>
        <w:top w:val="none" w:sz="0" w:space="0" w:color="auto"/>
        <w:left w:val="none" w:sz="0" w:space="0" w:color="auto"/>
        <w:bottom w:val="none" w:sz="0" w:space="0" w:color="auto"/>
        <w:right w:val="none" w:sz="0" w:space="0" w:color="auto"/>
      </w:divBdr>
      <w:divsChild>
        <w:div w:id="913510137">
          <w:marLeft w:val="0"/>
          <w:marRight w:val="0"/>
          <w:marTop w:val="0"/>
          <w:marBottom w:val="0"/>
          <w:divBdr>
            <w:top w:val="none" w:sz="0" w:space="0" w:color="auto"/>
            <w:left w:val="none" w:sz="0" w:space="0" w:color="auto"/>
            <w:bottom w:val="none" w:sz="0" w:space="0" w:color="auto"/>
            <w:right w:val="none" w:sz="0" w:space="0" w:color="auto"/>
          </w:divBdr>
          <w:divsChild>
            <w:div w:id="18123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59870">
      <w:bodyDiv w:val="1"/>
      <w:marLeft w:val="0"/>
      <w:marRight w:val="0"/>
      <w:marTop w:val="0"/>
      <w:marBottom w:val="0"/>
      <w:divBdr>
        <w:top w:val="none" w:sz="0" w:space="0" w:color="auto"/>
        <w:left w:val="none" w:sz="0" w:space="0" w:color="auto"/>
        <w:bottom w:val="none" w:sz="0" w:space="0" w:color="auto"/>
        <w:right w:val="none" w:sz="0" w:space="0" w:color="auto"/>
      </w:divBdr>
    </w:div>
    <w:div w:id="1957982631">
      <w:bodyDiv w:val="1"/>
      <w:marLeft w:val="0"/>
      <w:marRight w:val="0"/>
      <w:marTop w:val="0"/>
      <w:marBottom w:val="0"/>
      <w:divBdr>
        <w:top w:val="none" w:sz="0" w:space="0" w:color="auto"/>
        <w:left w:val="none" w:sz="0" w:space="0" w:color="auto"/>
        <w:bottom w:val="none" w:sz="0" w:space="0" w:color="auto"/>
        <w:right w:val="none" w:sz="0" w:space="0" w:color="auto"/>
      </w:divBdr>
    </w:div>
    <w:div w:id="1994983289">
      <w:bodyDiv w:val="1"/>
      <w:marLeft w:val="0"/>
      <w:marRight w:val="0"/>
      <w:marTop w:val="0"/>
      <w:marBottom w:val="0"/>
      <w:divBdr>
        <w:top w:val="none" w:sz="0" w:space="0" w:color="auto"/>
        <w:left w:val="none" w:sz="0" w:space="0" w:color="auto"/>
        <w:bottom w:val="none" w:sz="0" w:space="0" w:color="auto"/>
        <w:right w:val="none" w:sz="0" w:space="0" w:color="auto"/>
      </w:divBdr>
      <w:divsChild>
        <w:div w:id="2056152634">
          <w:marLeft w:val="0"/>
          <w:marRight w:val="0"/>
          <w:marTop w:val="0"/>
          <w:marBottom w:val="0"/>
          <w:divBdr>
            <w:top w:val="none" w:sz="0" w:space="0" w:color="auto"/>
            <w:left w:val="none" w:sz="0" w:space="0" w:color="auto"/>
            <w:bottom w:val="none" w:sz="0" w:space="0" w:color="auto"/>
            <w:right w:val="none" w:sz="0" w:space="0" w:color="auto"/>
          </w:divBdr>
          <w:divsChild>
            <w:div w:id="1796868090">
              <w:marLeft w:val="0"/>
              <w:marRight w:val="0"/>
              <w:marTop w:val="0"/>
              <w:marBottom w:val="0"/>
              <w:divBdr>
                <w:top w:val="none" w:sz="0" w:space="0" w:color="auto"/>
                <w:left w:val="none" w:sz="0" w:space="0" w:color="auto"/>
                <w:bottom w:val="none" w:sz="0" w:space="0" w:color="auto"/>
                <w:right w:val="none" w:sz="0" w:space="0" w:color="auto"/>
              </w:divBdr>
              <w:divsChild>
                <w:div w:id="96746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51171">
      <w:bodyDiv w:val="1"/>
      <w:marLeft w:val="0"/>
      <w:marRight w:val="0"/>
      <w:marTop w:val="0"/>
      <w:marBottom w:val="0"/>
      <w:divBdr>
        <w:top w:val="none" w:sz="0" w:space="0" w:color="auto"/>
        <w:left w:val="none" w:sz="0" w:space="0" w:color="auto"/>
        <w:bottom w:val="none" w:sz="0" w:space="0" w:color="auto"/>
        <w:right w:val="none" w:sz="0" w:space="0" w:color="auto"/>
      </w:divBdr>
      <w:divsChild>
        <w:div w:id="1493332890">
          <w:marLeft w:val="0"/>
          <w:marRight w:val="0"/>
          <w:marTop w:val="0"/>
          <w:marBottom w:val="0"/>
          <w:divBdr>
            <w:top w:val="none" w:sz="0" w:space="0" w:color="auto"/>
            <w:left w:val="none" w:sz="0" w:space="0" w:color="auto"/>
            <w:bottom w:val="none" w:sz="0" w:space="0" w:color="auto"/>
            <w:right w:val="none" w:sz="0" w:space="0" w:color="auto"/>
          </w:divBdr>
          <w:divsChild>
            <w:div w:id="604070744">
              <w:marLeft w:val="0"/>
              <w:marRight w:val="0"/>
              <w:marTop w:val="0"/>
              <w:marBottom w:val="0"/>
              <w:divBdr>
                <w:top w:val="none" w:sz="0" w:space="0" w:color="auto"/>
                <w:left w:val="none" w:sz="0" w:space="0" w:color="auto"/>
                <w:bottom w:val="none" w:sz="0" w:space="0" w:color="auto"/>
                <w:right w:val="none" w:sz="0" w:space="0" w:color="auto"/>
              </w:divBdr>
              <w:divsChild>
                <w:div w:id="42225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911452">
      <w:bodyDiv w:val="1"/>
      <w:marLeft w:val="0"/>
      <w:marRight w:val="0"/>
      <w:marTop w:val="0"/>
      <w:marBottom w:val="0"/>
      <w:divBdr>
        <w:top w:val="none" w:sz="0" w:space="0" w:color="auto"/>
        <w:left w:val="none" w:sz="0" w:space="0" w:color="auto"/>
        <w:bottom w:val="none" w:sz="0" w:space="0" w:color="auto"/>
        <w:right w:val="none" w:sz="0" w:space="0" w:color="auto"/>
      </w:divBdr>
    </w:div>
    <w:div w:id="2064519748">
      <w:bodyDiv w:val="1"/>
      <w:marLeft w:val="0"/>
      <w:marRight w:val="0"/>
      <w:marTop w:val="0"/>
      <w:marBottom w:val="0"/>
      <w:divBdr>
        <w:top w:val="none" w:sz="0" w:space="0" w:color="auto"/>
        <w:left w:val="none" w:sz="0" w:space="0" w:color="auto"/>
        <w:bottom w:val="none" w:sz="0" w:space="0" w:color="auto"/>
        <w:right w:val="none" w:sz="0" w:space="0" w:color="auto"/>
      </w:divBdr>
    </w:div>
    <w:div w:id="2073849377">
      <w:bodyDiv w:val="1"/>
      <w:marLeft w:val="0"/>
      <w:marRight w:val="0"/>
      <w:marTop w:val="0"/>
      <w:marBottom w:val="0"/>
      <w:divBdr>
        <w:top w:val="none" w:sz="0" w:space="0" w:color="auto"/>
        <w:left w:val="none" w:sz="0" w:space="0" w:color="auto"/>
        <w:bottom w:val="none" w:sz="0" w:space="0" w:color="auto"/>
        <w:right w:val="none" w:sz="0" w:space="0" w:color="auto"/>
      </w:divBdr>
      <w:divsChild>
        <w:div w:id="712576895">
          <w:marLeft w:val="0"/>
          <w:marRight w:val="0"/>
          <w:marTop w:val="0"/>
          <w:marBottom w:val="0"/>
          <w:divBdr>
            <w:top w:val="none" w:sz="0" w:space="0" w:color="auto"/>
            <w:left w:val="none" w:sz="0" w:space="0" w:color="auto"/>
            <w:bottom w:val="none" w:sz="0" w:space="0" w:color="auto"/>
            <w:right w:val="none" w:sz="0" w:space="0" w:color="auto"/>
          </w:divBdr>
          <w:divsChild>
            <w:div w:id="1045912327">
              <w:marLeft w:val="0"/>
              <w:marRight w:val="0"/>
              <w:marTop w:val="0"/>
              <w:marBottom w:val="0"/>
              <w:divBdr>
                <w:top w:val="none" w:sz="0" w:space="0" w:color="auto"/>
                <w:left w:val="none" w:sz="0" w:space="0" w:color="auto"/>
                <w:bottom w:val="none" w:sz="0" w:space="0" w:color="auto"/>
                <w:right w:val="none" w:sz="0" w:space="0" w:color="auto"/>
              </w:divBdr>
              <w:divsChild>
                <w:div w:id="1130125440">
                  <w:marLeft w:val="0"/>
                  <w:marRight w:val="0"/>
                  <w:marTop w:val="0"/>
                  <w:marBottom w:val="0"/>
                  <w:divBdr>
                    <w:top w:val="none" w:sz="0" w:space="0" w:color="auto"/>
                    <w:left w:val="none" w:sz="0" w:space="0" w:color="auto"/>
                    <w:bottom w:val="none" w:sz="0" w:space="0" w:color="auto"/>
                    <w:right w:val="none" w:sz="0" w:space="0" w:color="auto"/>
                  </w:divBdr>
                </w:div>
              </w:divsChild>
            </w:div>
            <w:div w:id="1297876757">
              <w:marLeft w:val="0"/>
              <w:marRight w:val="0"/>
              <w:marTop w:val="0"/>
              <w:marBottom w:val="0"/>
              <w:divBdr>
                <w:top w:val="none" w:sz="0" w:space="0" w:color="auto"/>
                <w:left w:val="none" w:sz="0" w:space="0" w:color="auto"/>
                <w:bottom w:val="none" w:sz="0" w:space="0" w:color="auto"/>
                <w:right w:val="none" w:sz="0" w:space="0" w:color="auto"/>
              </w:divBdr>
              <w:divsChild>
                <w:div w:id="136938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549361">
      <w:bodyDiv w:val="1"/>
      <w:marLeft w:val="0"/>
      <w:marRight w:val="0"/>
      <w:marTop w:val="0"/>
      <w:marBottom w:val="0"/>
      <w:divBdr>
        <w:top w:val="none" w:sz="0" w:space="0" w:color="auto"/>
        <w:left w:val="none" w:sz="0" w:space="0" w:color="auto"/>
        <w:bottom w:val="none" w:sz="0" w:space="0" w:color="auto"/>
        <w:right w:val="none" w:sz="0" w:space="0" w:color="auto"/>
      </w:divBdr>
    </w:div>
    <w:div w:id="2111465902">
      <w:bodyDiv w:val="1"/>
      <w:marLeft w:val="0"/>
      <w:marRight w:val="0"/>
      <w:marTop w:val="0"/>
      <w:marBottom w:val="0"/>
      <w:divBdr>
        <w:top w:val="none" w:sz="0" w:space="0" w:color="auto"/>
        <w:left w:val="none" w:sz="0" w:space="0" w:color="auto"/>
        <w:bottom w:val="none" w:sz="0" w:space="0" w:color="auto"/>
        <w:right w:val="none" w:sz="0" w:space="0" w:color="auto"/>
      </w:divBdr>
      <w:divsChild>
        <w:div w:id="596711876">
          <w:marLeft w:val="0"/>
          <w:marRight w:val="0"/>
          <w:marTop w:val="0"/>
          <w:marBottom w:val="0"/>
          <w:divBdr>
            <w:top w:val="none" w:sz="0" w:space="0" w:color="auto"/>
            <w:left w:val="none" w:sz="0" w:space="0" w:color="auto"/>
            <w:bottom w:val="none" w:sz="0" w:space="0" w:color="auto"/>
            <w:right w:val="none" w:sz="0" w:space="0" w:color="auto"/>
          </w:divBdr>
          <w:divsChild>
            <w:div w:id="863598344">
              <w:marLeft w:val="0"/>
              <w:marRight w:val="0"/>
              <w:marTop w:val="0"/>
              <w:marBottom w:val="0"/>
              <w:divBdr>
                <w:top w:val="none" w:sz="0" w:space="0" w:color="auto"/>
                <w:left w:val="none" w:sz="0" w:space="0" w:color="auto"/>
                <w:bottom w:val="none" w:sz="0" w:space="0" w:color="auto"/>
                <w:right w:val="none" w:sz="0" w:space="0" w:color="auto"/>
              </w:divBdr>
              <w:divsChild>
                <w:div w:id="152975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08192">
      <w:bodyDiv w:val="1"/>
      <w:marLeft w:val="0"/>
      <w:marRight w:val="0"/>
      <w:marTop w:val="0"/>
      <w:marBottom w:val="0"/>
      <w:divBdr>
        <w:top w:val="none" w:sz="0" w:space="0" w:color="auto"/>
        <w:left w:val="none" w:sz="0" w:space="0" w:color="auto"/>
        <w:bottom w:val="none" w:sz="0" w:space="0" w:color="auto"/>
        <w:right w:val="none" w:sz="0" w:space="0" w:color="auto"/>
      </w:divBdr>
      <w:divsChild>
        <w:div w:id="342559131">
          <w:marLeft w:val="0"/>
          <w:marRight w:val="0"/>
          <w:marTop w:val="0"/>
          <w:marBottom w:val="0"/>
          <w:divBdr>
            <w:top w:val="none" w:sz="0" w:space="0" w:color="auto"/>
            <w:left w:val="none" w:sz="0" w:space="0" w:color="auto"/>
            <w:bottom w:val="none" w:sz="0" w:space="0" w:color="auto"/>
            <w:right w:val="none" w:sz="0" w:space="0" w:color="auto"/>
          </w:divBdr>
          <w:divsChild>
            <w:div w:id="637102888">
              <w:marLeft w:val="0"/>
              <w:marRight w:val="0"/>
              <w:marTop w:val="0"/>
              <w:marBottom w:val="0"/>
              <w:divBdr>
                <w:top w:val="none" w:sz="0" w:space="0" w:color="auto"/>
                <w:left w:val="none" w:sz="0" w:space="0" w:color="auto"/>
                <w:bottom w:val="none" w:sz="0" w:space="0" w:color="auto"/>
                <w:right w:val="none" w:sz="0" w:space="0" w:color="auto"/>
              </w:divBdr>
              <w:divsChild>
                <w:div w:id="208459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598910">
      <w:bodyDiv w:val="1"/>
      <w:marLeft w:val="0"/>
      <w:marRight w:val="0"/>
      <w:marTop w:val="0"/>
      <w:marBottom w:val="0"/>
      <w:divBdr>
        <w:top w:val="none" w:sz="0" w:space="0" w:color="auto"/>
        <w:left w:val="none" w:sz="0" w:space="0" w:color="auto"/>
        <w:bottom w:val="none" w:sz="0" w:space="0" w:color="auto"/>
        <w:right w:val="none" w:sz="0" w:space="0" w:color="auto"/>
      </w:divBdr>
    </w:div>
    <w:div w:id="2142187788">
      <w:bodyDiv w:val="1"/>
      <w:marLeft w:val="0"/>
      <w:marRight w:val="0"/>
      <w:marTop w:val="0"/>
      <w:marBottom w:val="0"/>
      <w:divBdr>
        <w:top w:val="none" w:sz="0" w:space="0" w:color="auto"/>
        <w:left w:val="none" w:sz="0" w:space="0" w:color="auto"/>
        <w:bottom w:val="none" w:sz="0" w:space="0" w:color="auto"/>
        <w:right w:val="none" w:sz="0" w:space="0" w:color="auto"/>
      </w:divBdr>
      <w:divsChild>
        <w:div w:id="2003385782">
          <w:marLeft w:val="0"/>
          <w:marRight w:val="0"/>
          <w:marTop w:val="0"/>
          <w:marBottom w:val="0"/>
          <w:divBdr>
            <w:top w:val="none" w:sz="0" w:space="0" w:color="auto"/>
            <w:left w:val="none" w:sz="0" w:space="0" w:color="auto"/>
            <w:bottom w:val="none" w:sz="0" w:space="0" w:color="auto"/>
            <w:right w:val="none" w:sz="0" w:space="0" w:color="auto"/>
          </w:divBdr>
          <w:divsChild>
            <w:div w:id="811099773">
              <w:marLeft w:val="0"/>
              <w:marRight w:val="0"/>
              <w:marTop w:val="0"/>
              <w:marBottom w:val="0"/>
              <w:divBdr>
                <w:top w:val="none" w:sz="0" w:space="0" w:color="auto"/>
                <w:left w:val="none" w:sz="0" w:space="0" w:color="auto"/>
                <w:bottom w:val="none" w:sz="0" w:space="0" w:color="auto"/>
                <w:right w:val="none" w:sz="0" w:space="0" w:color="auto"/>
              </w:divBdr>
              <w:divsChild>
                <w:div w:id="1807505780">
                  <w:marLeft w:val="0"/>
                  <w:marRight w:val="0"/>
                  <w:marTop w:val="0"/>
                  <w:marBottom w:val="0"/>
                  <w:divBdr>
                    <w:top w:val="none" w:sz="0" w:space="0" w:color="auto"/>
                    <w:left w:val="none" w:sz="0" w:space="0" w:color="auto"/>
                    <w:bottom w:val="none" w:sz="0" w:space="0" w:color="auto"/>
                    <w:right w:val="none" w:sz="0" w:space="0" w:color="auto"/>
                  </w:divBdr>
                  <w:divsChild>
                    <w:div w:id="1349477929">
                      <w:marLeft w:val="0"/>
                      <w:marRight w:val="0"/>
                      <w:marTop w:val="0"/>
                      <w:marBottom w:val="0"/>
                      <w:divBdr>
                        <w:top w:val="none" w:sz="0" w:space="0" w:color="auto"/>
                        <w:left w:val="none" w:sz="0" w:space="0" w:color="auto"/>
                        <w:bottom w:val="none" w:sz="0" w:space="0" w:color="auto"/>
                        <w:right w:val="none" w:sz="0" w:space="0" w:color="auto"/>
                      </w:divBdr>
                    </w:div>
                  </w:divsChild>
                </w:div>
                <w:div w:id="248740053">
                  <w:marLeft w:val="0"/>
                  <w:marRight w:val="0"/>
                  <w:marTop w:val="0"/>
                  <w:marBottom w:val="0"/>
                  <w:divBdr>
                    <w:top w:val="none" w:sz="0" w:space="0" w:color="auto"/>
                    <w:left w:val="none" w:sz="0" w:space="0" w:color="auto"/>
                    <w:bottom w:val="none" w:sz="0" w:space="0" w:color="auto"/>
                    <w:right w:val="none" w:sz="0" w:space="0" w:color="auto"/>
                  </w:divBdr>
                  <w:divsChild>
                    <w:div w:id="1377847898">
                      <w:marLeft w:val="0"/>
                      <w:marRight w:val="0"/>
                      <w:marTop w:val="0"/>
                      <w:marBottom w:val="0"/>
                      <w:divBdr>
                        <w:top w:val="none" w:sz="0" w:space="0" w:color="auto"/>
                        <w:left w:val="none" w:sz="0" w:space="0" w:color="auto"/>
                        <w:bottom w:val="none" w:sz="0" w:space="0" w:color="auto"/>
                        <w:right w:val="none" w:sz="0" w:space="0" w:color="auto"/>
                      </w:divBdr>
                    </w:div>
                  </w:divsChild>
                </w:div>
                <w:div w:id="821700775">
                  <w:marLeft w:val="0"/>
                  <w:marRight w:val="0"/>
                  <w:marTop w:val="0"/>
                  <w:marBottom w:val="0"/>
                  <w:divBdr>
                    <w:top w:val="none" w:sz="0" w:space="0" w:color="auto"/>
                    <w:left w:val="none" w:sz="0" w:space="0" w:color="auto"/>
                    <w:bottom w:val="none" w:sz="0" w:space="0" w:color="auto"/>
                    <w:right w:val="none" w:sz="0" w:space="0" w:color="auto"/>
                  </w:divBdr>
                  <w:divsChild>
                    <w:div w:id="101993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ill.com/view/journals/ejcl/aop/article-10.1163-22134514-bja10020/article-10.1163-22134514-bja10020.xml"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brill.com/view/journals/ejcl/ejcl-overview.xml"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data.europa.eu/eli/dec/2007/533/2019-12-28" TargetMode="External"/><Relationship Id="rId3" Type="http://schemas.openxmlformats.org/officeDocument/2006/relationships/hyperlink" Target="https://doi.org/10.1016/j.techsoc.2020.101304" TargetMode="External"/><Relationship Id="rId7" Type="http://schemas.openxmlformats.org/officeDocument/2006/relationships/hyperlink" Target="http://data.europa.eu/eli/reg/2018/1861/2019-06-11" TargetMode="External"/><Relationship Id="rId12" Type="http://schemas.openxmlformats.org/officeDocument/2006/relationships/hyperlink" Target="https://committees.parliament.uk/committee/83/home-affairs-committee/news/139076/security-cooperation-with-the-european-union-examined/" TargetMode="External"/><Relationship Id="rId2" Type="http://schemas.openxmlformats.org/officeDocument/2006/relationships/hyperlink" Target="https://doi.org/10.1016/j.techsoc.2020.101304" TargetMode="External"/><Relationship Id="rId1" Type="http://schemas.openxmlformats.org/officeDocument/2006/relationships/hyperlink" Target="https://dictionary.cambridge.org/dictionary/english/cooperation" TargetMode="External"/><Relationship Id="rId6" Type="http://schemas.openxmlformats.org/officeDocument/2006/relationships/hyperlink" Target="https://www.college.police.uk/What-we-do/Learning/Professional-Training/Information-communication-technology/Pages/PNC-Police-National-Computer.aspx" TargetMode="External"/><Relationship Id="rId11" Type="http://schemas.openxmlformats.org/officeDocument/2006/relationships/hyperlink" Target="https://committees.parliament.uk/publications/4321/documents/43864/default/" TargetMode="External"/><Relationship Id="rId5" Type="http://schemas.openxmlformats.org/officeDocument/2006/relationships/hyperlink" Target="https://www.legislation.gov.uk/ukpga/1972/68/contents" TargetMode="External"/><Relationship Id="rId10" Type="http://schemas.openxmlformats.org/officeDocument/2006/relationships/hyperlink" Target="https://www.bbc.co.uk/news/uk-55672194" TargetMode="External"/><Relationship Id="rId4" Type="http://schemas.openxmlformats.org/officeDocument/2006/relationships/hyperlink" Target="https://discovery.nationalarchives.gov.uk/details/r/C13430160" TargetMode="External"/><Relationship Id="rId9" Type="http://schemas.openxmlformats.org/officeDocument/2006/relationships/hyperlink" Target="https://ec.europa.eu/home-affairs/index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32</Pages>
  <Words>7138</Words>
  <Characters>40692</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Fox</dc:creator>
  <cp:keywords/>
  <dc:description/>
  <cp:lastModifiedBy>Sarah Fox</cp:lastModifiedBy>
  <cp:revision>5</cp:revision>
  <dcterms:created xsi:type="dcterms:W3CDTF">2021-04-21T08:11:00Z</dcterms:created>
  <dcterms:modified xsi:type="dcterms:W3CDTF">2021-07-13T13:11:00Z</dcterms:modified>
</cp:coreProperties>
</file>