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C742" w14:textId="77777777" w:rsidR="00B21E72" w:rsidRDefault="00B21E72" w:rsidP="00B21E72">
      <w:pPr>
        <w:rPr>
          <w:sz w:val="28"/>
          <w:szCs w:val="28"/>
        </w:rPr>
      </w:pPr>
    </w:p>
    <w:p w14:paraId="7FAEEA2B" w14:textId="77777777" w:rsidR="00B21E72" w:rsidRDefault="00B21E72" w:rsidP="00B21E72">
      <w:pPr>
        <w:rPr>
          <w:sz w:val="28"/>
          <w:szCs w:val="28"/>
        </w:rPr>
      </w:pPr>
    </w:p>
    <w:p w14:paraId="745A607D" w14:textId="77777777" w:rsidR="00B21E72" w:rsidRDefault="00B21E72" w:rsidP="00B21E72">
      <w:pPr>
        <w:rPr>
          <w:sz w:val="28"/>
          <w:szCs w:val="28"/>
        </w:rPr>
      </w:pPr>
    </w:p>
    <w:p w14:paraId="4A3498C4" w14:textId="77777777" w:rsidR="00B21E72" w:rsidRPr="00AD3B95" w:rsidRDefault="00B21E72" w:rsidP="00B21E72">
      <w:pPr>
        <w:spacing w:before="240" w:after="0"/>
        <w:rPr>
          <w:rFonts w:cstheme="minorHAnsi"/>
          <w:sz w:val="28"/>
          <w:szCs w:val="28"/>
        </w:rPr>
      </w:pPr>
      <w:r w:rsidRPr="00AD3B95">
        <w:rPr>
          <w:rFonts w:cstheme="minorHAnsi"/>
          <w:sz w:val="28"/>
          <w:szCs w:val="28"/>
        </w:rPr>
        <w:t xml:space="preserve">Title: </w:t>
      </w:r>
    </w:p>
    <w:p w14:paraId="5ED56CB2" w14:textId="77777777" w:rsidR="00B21E72" w:rsidRPr="00DA507D" w:rsidRDefault="00B21E72" w:rsidP="00B21E72">
      <w:pPr>
        <w:rPr>
          <w:sz w:val="24"/>
          <w:szCs w:val="24"/>
        </w:rPr>
      </w:pPr>
      <w:r w:rsidRPr="00DA507D">
        <w:rPr>
          <w:sz w:val="24"/>
          <w:szCs w:val="24"/>
        </w:rPr>
        <w:t>An Observational Study of Hand Hygiene Compliance of Surgical Healthcare Workers in a Nigerian Teaching Hospital</w:t>
      </w:r>
    </w:p>
    <w:p w14:paraId="3CB7CC2B" w14:textId="77777777" w:rsidR="00B21E72" w:rsidRPr="00A43CC4" w:rsidRDefault="00B21E72" w:rsidP="00B21E72">
      <w:pPr>
        <w:rPr>
          <w:sz w:val="28"/>
          <w:szCs w:val="28"/>
        </w:rPr>
      </w:pPr>
    </w:p>
    <w:p w14:paraId="72206FD9" w14:textId="77777777" w:rsidR="00B21E72" w:rsidRPr="00AD3B95" w:rsidRDefault="00B21E72" w:rsidP="00B21E72">
      <w:pPr>
        <w:rPr>
          <w:rFonts w:cstheme="minorHAnsi"/>
          <w:sz w:val="28"/>
          <w:szCs w:val="28"/>
        </w:rPr>
      </w:pPr>
      <w:r w:rsidRPr="00AD3B95">
        <w:rPr>
          <w:rFonts w:cstheme="minorHAnsi"/>
          <w:sz w:val="28"/>
          <w:szCs w:val="28"/>
        </w:rPr>
        <w:t>Authors:</w:t>
      </w:r>
    </w:p>
    <w:p w14:paraId="616FDD0E" w14:textId="77777777" w:rsidR="00B21E72" w:rsidRPr="00A43CC4" w:rsidRDefault="00B21E72" w:rsidP="00B21E72">
      <w:pPr>
        <w:pStyle w:val="ListParagraph"/>
        <w:numPr>
          <w:ilvl w:val="0"/>
          <w:numId w:val="2"/>
        </w:numPr>
        <w:spacing w:before="240" w:after="0"/>
        <w:rPr>
          <w:sz w:val="24"/>
          <w:szCs w:val="24"/>
        </w:rPr>
      </w:pPr>
      <w:r>
        <w:rPr>
          <w:sz w:val="24"/>
          <w:szCs w:val="24"/>
        </w:rPr>
        <w:t xml:space="preserve">Dr. </w:t>
      </w:r>
      <w:r w:rsidRPr="00A43CC4">
        <w:rPr>
          <w:sz w:val="24"/>
          <w:szCs w:val="24"/>
        </w:rPr>
        <w:t>Yetunde Ataiyero (corresponding author)</w:t>
      </w:r>
    </w:p>
    <w:p w14:paraId="1B803A6E" w14:textId="77777777" w:rsidR="00B21E72" w:rsidRPr="00A43CC4" w:rsidRDefault="00B21E72" w:rsidP="00B21E72">
      <w:pPr>
        <w:pStyle w:val="ListParagraph"/>
        <w:spacing w:before="240" w:after="0"/>
        <w:rPr>
          <w:sz w:val="24"/>
          <w:szCs w:val="24"/>
        </w:rPr>
      </w:pPr>
      <w:r>
        <w:rPr>
          <w:sz w:val="24"/>
          <w:szCs w:val="24"/>
        </w:rPr>
        <w:t>School of Health, Science and Wellbeing, Staffordshire University</w:t>
      </w:r>
    </w:p>
    <w:p w14:paraId="214E475C" w14:textId="77777777" w:rsidR="00B21E72" w:rsidRPr="00A43CC4" w:rsidRDefault="00FA2684" w:rsidP="00B21E72">
      <w:pPr>
        <w:pStyle w:val="ListParagraph"/>
        <w:spacing w:before="240" w:after="0"/>
        <w:rPr>
          <w:sz w:val="24"/>
          <w:szCs w:val="24"/>
        </w:rPr>
      </w:pPr>
      <w:hyperlink r:id="rId8" w:history="1">
        <w:r w:rsidR="00B21E72" w:rsidRPr="0046315D">
          <w:rPr>
            <w:rStyle w:val="Hyperlink"/>
          </w:rPr>
          <w:t>Y</w:t>
        </w:r>
        <w:r w:rsidR="00B21E72" w:rsidRPr="00696840">
          <w:rPr>
            <w:rStyle w:val="Hyperlink"/>
          </w:rPr>
          <w:t>etunde.Ataiyero@staffs.ac.uk</w:t>
        </w:r>
      </w:hyperlink>
      <w:r w:rsidR="00B21E72">
        <w:t xml:space="preserve"> </w:t>
      </w:r>
    </w:p>
    <w:p w14:paraId="53144D24" w14:textId="77777777" w:rsidR="00B21E72" w:rsidRDefault="00B21E72" w:rsidP="00B21E72">
      <w:pPr>
        <w:pStyle w:val="ListParagraph"/>
        <w:numPr>
          <w:ilvl w:val="0"/>
          <w:numId w:val="2"/>
        </w:numPr>
        <w:spacing w:before="240" w:after="0"/>
        <w:rPr>
          <w:sz w:val="24"/>
          <w:szCs w:val="24"/>
        </w:rPr>
      </w:pPr>
      <w:r w:rsidRPr="00A43CC4">
        <w:rPr>
          <w:sz w:val="24"/>
          <w:szCs w:val="24"/>
        </w:rPr>
        <w:t>Dr</w:t>
      </w:r>
      <w:r>
        <w:rPr>
          <w:sz w:val="24"/>
          <w:szCs w:val="24"/>
        </w:rPr>
        <w:t>.</w:t>
      </w:r>
      <w:r w:rsidRPr="00A43CC4">
        <w:rPr>
          <w:sz w:val="24"/>
          <w:szCs w:val="24"/>
        </w:rPr>
        <w:t xml:space="preserve"> Judith Dyson</w:t>
      </w:r>
    </w:p>
    <w:p w14:paraId="4CE04B2C" w14:textId="77777777" w:rsidR="00B21E72" w:rsidRPr="00A43CC4" w:rsidRDefault="00B21E72" w:rsidP="00B21E72">
      <w:pPr>
        <w:pStyle w:val="ListParagraph"/>
        <w:spacing w:before="240" w:after="0"/>
        <w:rPr>
          <w:sz w:val="24"/>
          <w:szCs w:val="24"/>
        </w:rPr>
      </w:pPr>
      <w:r>
        <w:rPr>
          <w:sz w:val="24"/>
          <w:szCs w:val="24"/>
        </w:rPr>
        <w:t>School of Health Sciences, Birmingham City University</w:t>
      </w:r>
    </w:p>
    <w:p w14:paraId="53B0C2CE" w14:textId="77777777" w:rsidR="00B21E72" w:rsidRPr="00A43CC4" w:rsidRDefault="00FA2684" w:rsidP="00B21E72">
      <w:pPr>
        <w:pStyle w:val="ListParagraph"/>
        <w:spacing w:before="240" w:after="0"/>
        <w:rPr>
          <w:rFonts w:cstheme="minorHAnsi"/>
          <w:sz w:val="24"/>
          <w:szCs w:val="24"/>
        </w:rPr>
      </w:pPr>
      <w:hyperlink r:id="rId9" w:history="1">
        <w:r w:rsidR="00B21E72" w:rsidRPr="001D7F94">
          <w:rPr>
            <w:rStyle w:val="Hyperlink"/>
            <w:rFonts w:cstheme="minorHAnsi"/>
            <w:sz w:val="24"/>
            <w:szCs w:val="24"/>
            <w:shd w:val="clear" w:color="auto" w:fill="FFFFFF"/>
          </w:rPr>
          <w:t>Judith.Dyson@bcu.ac.uk</w:t>
        </w:r>
      </w:hyperlink>
      <w:r w:rsidR="00B21E72" w:rsidRPr="00A43CC4">
        <w:rPr>
          <w:rFonts w:cstheme="minorHAnsi"/>
          <w:color w:val="333333"/>
          <w:sz w:val="24"/>
          <w:szCs w:val="24"/>
          <w:shd w:val="clear" w:color="auto" w:fill="FFFFFF"/>
        </w:rPr>
        <w:t xml:space="preserve"> </w:t>
      </w:r>
    </w:p>
    <w:p w14:paraId="3F2E4149" w14:textId="77777777" w:rsidR="00B21E72" w:rsidRDefault="00B21E72" w:rsidP="00B21E72">
      <w:pPr>
        <w:pStyle w:val="ListParagraph"/>
        <w:numPr>
          <w:ilvl w:val="0"/>
          <w:numId w:val="2"/>
        </w:numPr>
        <w:spacing w:before="240" w:after="0"/>
        <w:rPr>
          <w:sz w:val="24"/>
          <w:szCs w:val="24"/>
        </w:rPr>
      </w:pPr>
      <w:r w:rsidRPr="00A43CC4">
        <w:rPr>
          <w:sz w:val="24"/>
          <w:szCs w:val="24"/>
        </w:rPr>
        <w:t>Dr</w:t>
      </w:r>
      <w:r>
        <w:rPr>
          <w:sz w:val="24"/>
          <w:szCs w:val="24"/>
        </w:rPr>
        <w:t>.</w:t>
      </w:r>
      <w:r w:rsidRPr="00A43CC4">
        <w:rPr>
          <w:sz w:val="24"/>
          <w:szCs w:val="24"/>
        </w:rPr>
        <w:t xml:space="preserve"> Moira Graham</w:t>
      </w:r>
    </w:p>
    <w:p w14:paraId="6C8B6F4C" w14:textId="77777777" w:rsidR="00B21E72" w:rsidRPr="00A43CC4" w:rsidRDefault="00B21E72" w:rsidP="00B21E72">
      <w:pPr>
        <w:pStyle w:val="ListParagraph"/>
        <w:spacing w:before="240" w:after="0"/>
        <w:rPr>
          <w:sz w:val="24"/>
          <w:szCs w:val="24"/>
        </w:rPr>
      </w:pPr>
      <w:r w:rsidRPr="00A43CC4">
        <w:rPr>
          <w:sz w:val="24"/>
          <w:szCs w:val="24"/>
        </w:rPr>
        <w:t>Faculty of Health Sciences, University of Hull</w:t>
      </w:r>
    </w:p>
    <w:p w14:paraId="3C39B863" w14:textId="77777777" w:rsidR="00B21E72" w:rsidRPr="00A43CC4" w:rsidRDefault="00FA2684" w:rsidP="00B21E72">
      <w:pPr>
        <w:pStyle w:val="ListParagraph"/>
        <w:spacing w:before="240" w:after="0"/>
        <w:rPr>
          <w:sz w:val="24"/>
          <w:szCs w:val="24"/>
        </w:rPr>
      </w:pPr>
      <w:hyperlink r:id="rId10" w:history="1">
        <w:r w:rsidR="00B21E72" w:rsidRPr="00A43CC4">
          <w:rPr>
            <w:rStyle w:val="Hyperlink"/>
            <w:sz w:val="24"/>
            <w:szCs w:val="24"/>
          </w:rPr>
          <w:t>M.Graham2@hull.ac.uk</w:t>
        </w:r>
      </w:hyperlink>
      <w:r w:rsidR="00B21E72" w:rsidRPr="00A43CC4">
        <w:rPr>
          <w:sz w:val="24"/>
          <w:szCs w:val="24"/>
        </w:rPr>
        <w:t xml:space="preserve"> </w:t>
      </w:r>
    </w:p>
    <w:p w14:paraId="0D637886" w14:textId="77777777" w:rsidR="00B21E72" w:rsidRDefault="00B21E72" w:rsidP="00B21E72">
      <w:pPr>
        <w:rPr>
          <w:sz w:val="28"/>
          <w:szCs w:val="28"/>
        </w:rPr>
      </w:pPr>
    </w:p>
    <w:p w14:paraId="3C1355E4" w14:textId="77777777" w:rsidR="00B21E72" w:rsidRPr="009760AB" w:rsidRDefault="00B21E72" w:rsidP="00B21E72">
      <w:pPr>
        <w:pStyle w:val="Headingfrontmatter"/>
        <w:rPr>
          <w:lang w:val="en-GB"/>
        </w:rPr>
      </w:pPr>
      <w:r w:rsidRPr="009760AB">
        <w:rPr>
          <w:lang w:val="en-GB"/>
        </w:rPr>
        <w:lastRenderedPageBreak/>
        <w:t xml:space="preserve">Abstract </w:t>
      </w:r>
    </w:p>
    <w:p w14:paraId="4CD2E1EC" w14:textId="77777777" w:rsidR="00B21E72" w:rsidRPr="009760AB" w:rsidRDefault="00B21E72" w:rsidP="00B21E72">
      <w:pPr>
        <w:rPr>
          <w:rFonts w:cstheme="minorHAnsi"/>
        </w:rPr>
      </w:pPr>
      <w:r w:rsidRPr="00A43CC4">
        <w:rPr>
          <w:rFonts w:eastAsia="Times New Roman" w:cstheme="minorHAnsi"/>
          <w:b/>
          <w:bCs/>
          <w:color w:val="000000"/>
          <w:lang w:eastAsia="en-GB"/>
        </w:rPr>
        <w:t>Background:</w:t>
      </w:r>
      <w:r w:rsidRPr="009760AB">
        <w:rPr>
          <w:rFonts w:eastAsia="Times New Roman" w:cstheme="minorHAnsi"/>
          <w:color w:val="000000"/>
          <w:lang w:eastAsia="en-GB"/>
        </w:rPr>
        <w:t xml:space="preserve"> </w:t>
      </w:r>
      <w:r w:rsidRPr="009760AB">
        <w:rPr>
          <w:rFonts w:cstheme="minorHAnsi"/>
        </w:rPr>
        <w:t xml:space="preserve">Patients sometimes contract healthcare associated infections (HCAI) which are unrelated to their primary reasons for hospital admission. </w:t>
      </w:r>
      <w:r w:rsidRPr="009760AB">
        <w:rPr>
          <w:rFonts w:cstheme="minorHAnsi"/>
          <w:shd w:val="clear" w:color="auto" w:fill="FFFFFF"/>
        </w:rPr>
        <w:t>Surgical site infections are the most investigated and most recurrent type of HCAI in developing countries, affecting up to one-third of surgical patients.</w:t>
      </w:r>
    </w:p>
    <w:p w14:paraId="5131E942" w14:textId="77777777" w:rsidR="00B21E72" w:rsidRPr="009760AB" w:rsidRDefault="00B21E72" w:rsidP="00B21E72">
      <w:pPr>
        <w:rPr>
          <w:rFonts w:cstheme="minorHAnsi"/>
        </w:rPr>
      </w:pPr>
      <w:r w:rsidRPr="009760AB">
        <w:rPr>
          <w:rFonts w:eastAsia="Times New Roman" w:cstheme="minorHAnsi"/>
          <w:b/>
          <w:bCs/>
          <w:color w:val="000000"/>
          <w:lang w:eastAsia="en-GB"/>
        </w:rPr>
        <w:t>Objective:</w:t>
      </w:r>
      <w:r w:rsidRPr="009760AB">
        <w:rPr>
          <w:rFonts w:eastAsia="Times New Roman" w:cstheme="minorHAnsi"/>
          <w:color w:val="000000"/>
          <w:lang w:eastAsia="en-GB"/>
        </w:rPr>
        <w:t xml:space="preserve"> </w:t>
      </w:r>
      <w:r w:rsidRPr="009760AB">
        <w:rPr>
          <w:rFonts w:cstheme="minorHAnsi"/>
        </w:rPr>
        <w:t xml:space="preserve">This study aimed to </w:t>
      </w:r>
      <w:r w:rsidRPr="00F3352F">
        <w:t xml:space="preserve">assess and offer context </w:t>
      </w:r>
      <w:r w:rsidRPr="00F3352F">
        <w:rPr>
          <w:rFonts w:cstheme="minorHAnsi"/>
          <w:szCs w:val="24"/>
        </w:rPr>
        <w:t>to the hand hygiene resources available in a Nigerian teaching hospital through ward infrastructure survey</w:t>
      </w:r>
      <w:r>
        <w:rPr>
          <w:rFonts w:cstheme="minorHAnsi"/>
        </w:rPr>
        <w:t xml:space="preserve">, and to </w:t>
      </w:r>
      <w:r w:rsidRPr="009760AB">
        <w:rPr>
          <w:rFonts w:cstheme="minorHAnsi"/>
        </w:rPr>
        <w:t>determine the hand hygiene compliance rate among surgical healthcare workers</w:t>
      </w:r>
      <w:r>
        <w:rPr>
          <w:rFonts w:cstheme="minorHAnsi"/>
        </w:rPr>
        <w:t xml:space="preserve"> (HCWs)</w:t>
      </w:r>
      <w:r w:rsidRPr="009760AB">
        <w:rPr>
          <w:rFonts w:cstheme="minorHAnsi"/>
        </w:rPr>
        <w:t xml:space="preserve"> in a Nigerian teaching hospital through hand hygiene observations.</w:t>
      </w:r>
    </w:p>
    <w:p w14:paraId="02CE709B" w14:textId="77777777" w:rsidR="00B21E72" w:rsidRPr="009760AB" w:rsidRDefault="00B21E72" w:rsidP="00B21E72">
      <w:pPr>
        <w:rPr>
          <w:rFonts w:cstheme="minorHAnsi"/>
        </w:rPr>
      </w:pPr>
      <w:r w:rsidRPr="009760AB">
        <w:rPr>
          <w:rFonts w:eastAsia="Times New Roman" w:cstheme="minorHAnsi"/>
          <w:b/>
          <w:bCs/>
          <w:color w:val="000000"/>
          <w:lang w:eastAsia="en-GB"/>
        </w:rPr>
        <w:t>Methods:</w:t>
      </w:r>
      <w:r w:rsidRPr="009760AB">
        <w:rPr>
          <w:rFonts w:eastAsia="Times New Roman" w:cstheme="minorHAnsi"/>
          <w:color w:val="000000"/>
          <w:lang w:eastAsia="en-GB"/>
        </w:rPr>
        <w:t xml:space="preserve"> </w:t>
      </w:r>
      <w:r>
        <w:rPr>
          <w:rFonts w:eastAsia="Times New Roman" w:cstheme="minorHAnsi"/>
          <w:color w:val="000000"/>
          <w:lang w:eastAsia="en-GB"/>
        </w:rPr>
        <w:t>Ward infrastructure survey was conducted in the two adult surgical wards of the hospital using the World Health Organisation (</w:t>
      </w:r>
      <w:r w:rsidRPr="00F3352F">
        <w:t>WHO</w:t>
      </w:r>
      <w:r>
        <w:t>)</w:t>
      </w:r>
      <w:r w:rsidRPr="00F3352F">
        <w:t xml:space="preserve"> hand hygiene ward infrastructure survey form</w:t>
      </w:r>
      <w:r>
        <w:t>.</w:t>
      </w:r>
      <w:r w:rsidRPr="00F3352F">
        <w:t xml:space="preserve"> </w:t>
      </w:r>
      <w:r>
        <w:t>Hand hygiene observations</w:t>
      </w:r>
      <w:r>
        <w:rPr>
          <w:rFonts w:cstheme="minorHAnsi"/>
        </w:rPr>
        <w:t xml:space="preserve"> were monitored</w:t>
      </w:r>
      <w:r w:rsidRPr="009760AB">
        <w:rPr>
          <w:rFonts w:cstheme="minorHAnsi"/>
        </w:rPr>
        <w:t xml:space="preserve"> over </w:t>
      </w:r>
      <w:r>
        <w:rPr>
          <w:rFonts w:cstheme="minorHAnsi"/>
        </w:rPr>
        <w:t>seven days</w:t>
      </w:r>
      <w:r w:rsidRPr="009760AB">
        <w:rPr>
          <w:rFonts w:cstheme="minorHAnsi"/>
        </w:rPr>
        <w:t xml:space="preserve"> in t</w:t>
      </w:r>
      <w:r>
        <w:rPr>
          <w:rFonts w:cstheme="minorHAnsi"/>
        </w:rPr>
        <w:t>he surgical wards using a modified WHO hand hygiene observation form.</w:t>
      </w:r>
    </w:p>
    <w:p w14:paraId="44C2A5CD" w14:textId="77777777" w:rsidR="00B21E72" w:rsidRPr="009760AB" w:rsidRDefault="00B21E72" w:rsidP="00B21E72">
      <w:pPr>
        <w:rPr>
          <w:rFonts w:cstheme="minorHAnsi"/>
        </w:rPr>
      </w:pPr>
      <w:r w:rsidRPr="009760AB">
        <w:rPr>
          <w:rFonts w:eastAsia="Times New Roman" w:cstheme="minorHAnsi"/>
          <w:b/>
          <w:bCs/>
          <w:color w:val="000000"/>
          <w:lang w:eastAsia="en-GB"/>
        </w:rPr>
        <w:t>Results:</w:t>
      </w:r>
      <w:r w:rsidRPr="009760AB">
        <w:rPr>
          <w:rFonts w:eastAsia="Times New Roman" w:cstheme="minorHAnsi"/>
          <w:color w:val="000000"/>
          <w:lang w:eastAsia="en-GB"/>
        </w:rPr>
        <w:t xml:space="preserve"> </w:t>
      </w:r>
      <w:r>
        <w:rPr>
          <w:rFonts w:eastAsia="Times New Roman" w:cstheme="minorHAnsi"/>
          <w:color w:val="000000"/>
          <w:lang w:eastAsia="en-GB"/>
        </w:rPr>
        <w:t>H</w:t>
      </w:r>
      <w:r w:rsidRPr="00D33FF2">
        <w:rPr>
          <w:rFonts w:cstheme="minorHAnsi"/>
        </w:rPr>
        <w:t>and hygiene resources</w:t>
      </w:r>
      <w:r>
        <w:rPr>
          <w:rFonts w:cstheme="minorHAnsi"/>
        </w:rPr>
        <w:t xml:space="preserve"> were insufficient, </w:t>
      </w:r>
      <w:r w:rsidRPr="00D33FF2">
        <w:rPr>
          <w:rFonts w:cstheme="minorHAnsi"/>
        </w:rPr>
        <w:t>below the WHO recommended minimum standards</w:t>
      </w:r>
      <w:r>
        <w:rPr>
          <w:rFonts w:cstheme="minorHAnsi"/>
        </w:rPr>
        <w:t>.</w:t>
      </w:r>
      <w:r w:rsidRPr="00D33FF2">
        <w:rPr>
          <w:rFonts w:cstheme="minorHAnsi"/>
        </w:rPr>
        <w:t xml:space="preserve"> </w:t>
      </w:r>
      <w:r w:rsidRPr="009760AB">
        <w:rPr>
          <w:rFonts w:cstheme="minorHAnsi"/>
        </w:rPr>
        <w:t xml:space="preserve">Seven hundred hand hygiene opportunities were captured. </w:t>
      </w:r>
      <w:r w:rsidRPr="009760AB">
        <w:rPr>
          <w:rFonts w:eastAsia="Times New Roman" w:cstheme="minorHAnsi"/>
          <w:color w:val="000000"/>
          <w:lang w:eastAsia="en-GB"/>
        </w:rPr>
        <w:t xml:space="preserve">Using SPSS version 24.0, we conducted a </w:t>
      </w:r>
      <w:r w:rsidRPr="009760AB">
        <w:rPr>
          <w:rFonts w:cstheme="minorHAnsi"/>
        </w:rPr>
        <w:t>descriptive analysis of audit results</w:t>
      </w:r>
      <w:r w:rsidRPr="009760AB">
        <w:rPr>
          <w:rStyle w:val="CommentReference"/>
          <w:rFonts w:cstheme="minorHAnsi"/>
        </w:rPr>
        <w:t>,</w:t>
      </w:r>
      <w:r w:rsidRPr="009760AB">
        <w:rPr>
          <w:rFonts w:cstheme="minorHAnsi"/>
        </w:rPr>
        <w:t xml:space="preserve"> and results were presented according to professional group, seniority, and hand hygiene opportunit</w:t>
      </w:r>
      <w:r>
        <w:rPr>
          <w:rFonts w:cstheme="minorHAnsi"/>
        </w:rPr>
        <w:t>ies</w:t>
      </w:r>
      <w:r w:rsidRPr="009760AB">
        <w:rPr>
          <w:rFonts w:cstheme="minorHAnsi"/>
        </w:rPr>
        <w:t xml:space="preserve"> of the participants. Overall hand hygiene compliance was 29.1% and compliance was less than 40% across the three professional groups of doctors, nurses, and </w:t>
      </w:r>
      <w:r>
        <w:rPr>
          <w:rFonts w:cstheme="minorHAnsi"/>
        </w:rPr>
        <w:t>healthcare assistants</w:t>
      </w:r>
      <w:r w:rsidRPr="009760AB">
        <w:rPr>
          <w:rFonts w:cstheme="minorHAnsi"/>
        </w:rPr>
        <w:t xml:space="preserve">. </w:t>
      </w:r>
    </w:p>
    <w:p w14:paraId="7A5F8BDA" w14:textId="77777777" w:rsidR="00B21E72" w:rsidRPr="009760AB" w:rsidRDefault="00B21E72" w:rsidP="00B21E72">
      <w:pPr>
        <w:rPr>
          <w:rFonts w:cstheme="minorHAnsi"/>
        </w:rPr>
      </w:pPr>
      <w:r w:rsidRPr="009760AB">
        <w:rPr>
          <w:rFonts w:cstheme="minorHAnsi"/>
          <w:b/>
          <w:bCs/>
        </w:rPr>
        <w:t>Conclusion:</w:t>
      </w:r>
      <w:r w:rsidRPr="009760AB">
        <w:rPr>
          <w:rFonts w:cstheme="minorHAnsi"/>
        </w:rPr>
        <w:t xml:space="preserve"> Hand hygiene compliance rates of the surgical HCWs are comparable to those in other </w:t>
      </w:r>
      <w:r>
        <w:rPr>
          <w:rFonts w:cstheme="minorHAnsi"/>
        </w:rPr>
        <w:t>Sub-Saharan African</w:t>
      </w:r>
      <w:r w:rsidRPr="009760AB">
        <w:rPr>
          <w:rFonts w:cstheme="minorHAnsi"/>
        </w:rPr>
        <w:t xml:space="preserve"> countries as well as in developed countries.</w:t>
      </w:r>
    </w:p>
    <w:p w14:paraId="3E852DFF" w14:textId="77777777" w:rsidR="00B21E72" w:rsidRDefault="00B21E72" w:rsidP="00B21E72">
      <w:pPr>
        <w:spacing w:before="240" w:after="0"/>
        <w:rPr>
          <w:rFonts w:asciiTheme="majorHAnsi" w:hAnsiTheme="majorHAnsi" w:cstheme="majorHAnsi"/>
          <w:b/>
          <w:bCs/>
          <w:sz w:val="28"/>
          <w:szCs w:val="28"/>
        </w:rPr>
      </w:pPr>
    </w:p>
    <w:p w14:paraId="16425699" w14:textId="77777777" w:rsidR="00B21E72" w:rsidRPr="0016691C" w:rsidRDefault="00B21E72" w:rsidP="00B21E72">
      <w:pPr>
        <w:spacing w:before="240" w:after="0"/>
        <w:rPr>
          <w:rFonts w:asciiTheme="majorHAnsi" w:hAnsiTheme="majorHAnsi" w:cstheme="majorHAnsi"/>
          <w:b/>
          <w:bCs/>
          <w:sz w:val="28"/>
          <w:szCs w:val="28"/>
        </w:rPr>
      </w:pPr>
      <w:r w:rsidRPr="0016691C">
        <w:rPr>
          <w:rFonts w:asciiTheme="majorHAnsi" w:hAnsiTheme="majorHAnsi" w:cstheme="majorHAnsi"/>
          <w:b/>
          <w:bCs/>
          <w:sz w:val="28"/>
          <w:szCs w:val="28"/>
        </w:rPr>
        <w:t xml:space="preserve">Keywords </w:t>
      </w:r>
    </w:p>
    <w:p w14:paraId="0A00DF96" w14:textId="77777777" w:rsidR="00B21E72" w:rsidRDefault="00B21E72" w:rsidP="00B21E72">
      <w:pPr>
        <w:rPr>
          <w:rFonts w:cstheme="minorHAnsi"/>
          <w:sz w:val="24"/>
          <w:szCs w:val="24"/>
        </w:rPr>
      </w:pPr>
      <w:r w:rsidRPr="00AD3B95">
        <w:rPr>
          <w:rFonts w:cstheme="minorHAnsi"/>
          <w:sz w:val="24"/>
          <w:szCs w:val="24"/>
        </w:rPr>
        <w:t xml:space="preserve">Hand hygiene, </w:t>
      </w:r>
      <w:r>
        <w:rPr>
          <w:rFonts w:cstheme="minorHAnsi"/>
          <w:sz w:val="24"/>
          <w:szCs w:val="24"/>
        </w:rPr>
        <w:t>c</w:t>
      </w:r>
      <w:r w:rsidRPr="00AD3B95">
        <w:rPr>
          <w:rFonts w:cstheme="minorHAnsi"/>
          <w:sz w:val="24"/>
          <w:szCs w:val="24"/>
        </w:rPr>
        <w:t>ompliance, surgical healthcare workers, Nigeria, Sub-Saharan Africa, developing countries, low- and middle-income countries</w:t>
      </w:r>
    </w:p>
    <w:p w14:paraId="5E8E3337" w14:textId="77777777" w:rsidR="00B21E72" w:rsidRDefault="00B21E72" w:rsidP="00B21E72">
      <w:pPr>
        <w:rPr>
          <w:rFonts w:asciiTheme="majorHAnsi" w:eastAsiaTheme="majorEastAsia" w:hAnsiTheme="majorHAnsi" w:cstheme="majorBidi"/>
          <w:b/>
          <w:color w:val="000000" w:themeColor="text1"/>
          <w:sz w:val="28"/>
          <w:szCs w:val="26"/>
        </w:rPr>
      </w:pPr>
      <w:r>
        <w:br w:type="page"/>
      </w:r>
    </w:p>
    <w:p w14:paraId="104FA7E4" w14:textId="77777777" w:rsidR="00B21E72" w:rsidRPr="009760AB" w:rsidRDefault="00B21E72" w:rsidP="00B21E72">
      <w:pPr>
        <w:pStyle w:val="Heading2"/>
        <w:numPr>
          <w:ilvl w:val="0"/>
          <w:numId w:val="0"/>
        </w:numPr>
        <w:ind w:left="576" w:hanging="576"/>
      </w:pPr>
      <w:r w:rsidRPr="009760AB">
        <w:lastRenderedPageBreak/>
        <w:t xml:space="preserve">Background </w:t>
      </w:r>
    </w:p>
    <w:p w14:paraId="5AE88050" w14:textId="77777777" w:rsidR="00B21E72" w:rsidRPr="009760AB" w:rsidRDefault="00B21E72" w:rsidP="00B21E72">
      <w:pPr>
        <w:spacing w:line="360" w:lineRule="auto"/>
      </w:pPr>
      <w:r w:rsidRPr="009760AB">
        <w:t xml:space="preserve">Patients sometimes contract healthcare associated infections (HCAI) which are unrelated to their primary reasons for hospital admission </w:t>
      </w:r>
      <w:r w:rsidRPr="009760AB">
        <w:fldChar w:fldCharType="begin"/>
      </w:r>
      <w:r w:rsidRPr="009760AB">
        <w:instrText>ADDIN RW.CITE{{477 Devnani,Mahesh 2011}}</w:instrText>
      </w:r>
      <w:r w:rsidRPr="009760AB">
        <w:fldChar w:fldCharType="separate"/>
      </w:r>
      <w:r w:rsidRPr="009760AB">
        <w:t>(Devnani et al., 2011)</w:t>
      </w:r>
      <w:r w:rsidRPr="009760AB">
        <w:fldChar w:fldCharType="end"/>
      </w:r>
      <w:r w:rsidRPr="00A43CC4">
        <w:t>. The frequency of HCAI, espe</w:t>
      </w:r>
      <w:r w:rsidRPr="009760AB">
        <w:t xml:space="preserve">cially in high-risk patients in developing countries is 2 to 3 times </w:t>
      </w:r>
      <w:r>
        <w:t>greater</w:t>
      </w:r>
      <w:r w:rsidRPr="009760AB">
        <w:t xml:space="preserve"> than in developed countries </w:t>
      </w:r>
      <w:r w:rsidRPr="009760AB">
        <w:fldChar w:fldCharType="begin"/>
      </w:r>
      <w:r w:rsidRPr="009760AB">
        <w:instrText>ADDIN RW.CITE{{1488 Allegranzi,Benedetta 2017}}</w:instrText>
      </w:r>
      <w:r w:rsidRPr="009760AB">
        <w:fldChar w:fldCharType="separate"/>
      </w:r>
      <w:r w:rsidRPr="009760AB">
        <w:t>(Allegranzi et al., 2017)</w:t>
      </w:r>
      <w:r w:rsidRPr="009760AB">
        <w:fldChar w:fldCharType="end"/>
      </w:r>
      <w:r w:rsidRPr="00A43CC4">
        <w:t>. Higher prevalence</w:t>
      </w:r>
      <w:r w:rsidRPr="009760AB">
        <w:t xml:space="preserve"> of HCAI in developing countries has been credited to a range of factors (e.g., reuse of instruments, scarcity of basic facilities) including low compliance to infection control measures </w:t>
      </w:r>
      <w:r w:rsidRPr="009760AB">
        <w:fldChar w:fldCharType="begin"/>
      </w:r>
      <w:r w:rsidRPr="009760AB">
        <w:instrText>ADDIN RW.CITE{{557 Rosenthal,VictorD. 2011}}</w:instrText>
      </w:r>
      <w:r w:rsidRPr="009760AB">
        <w:fldChar w:fldCharType="separate"/>
      </w:r>
      <w:r w:rsidRPr="009760AB">
        <w:t>(Rosenthal, 2011)</w:t>
      </w:r>
      <w:r w:rsidRPr="009760AB">
        <w:fldChar w:fldCharType="end"/>
      </w:r>
      <w:r w:rsidRPr="00A43CC4">
        <w:t>.</w:t>
      </w:r>
      <w:r w:rsidRPr="009760AB">
        <w:t xml:space="preserve"> </w:t>
      </w:r>
      <w:r w:rsidRPr="009760AB">
        <w:rPr>
          <w:shd w:val="clear" w:color="auto" w:fill="FFFFFF"/>
        </w:rPr>
        <w:t xml:space="preserve">Surgical site infections (SSI) are the most investigated and most recurrent type of HCAI in developing countries, affecting up to one-third of surgical patients </w:t>
      </w:r>
      <w:r w:rsidRPr="009760AB">
        <w:rPr>
          <w:shd w:val="clear" w:color="auto" w:fill="FFFFFF"/>
        </w:rPr>
        <w:fldChar w:fldCharType="begin"/>
      </w:r>
      <w:r w:rsidRPr="009760AB">
        <w:rPr>
          <w:shd w:val="clear" w:color="auto" w:fill="FFFFFF"/>
        </w:rPr>
        <w:instrText>ADDIN RW.CITE{{1488 Allegranzi,Benedetta 2017}}</w:instrText>
      </w:r>
      <w:r w:rsidRPr="009760AB">
        <w:rPr>
          <w:shd w:val="clear" w:color="auto" w:fill="FFFFFF"/>
        </w:rPr>
        <w:fldChar w:fldCharType="separate"/>
      </w:r>
      <w:r w:rsidRPr="009760AB">
        <w:rPr>
          <w:shd w:val="clear" w:color="auto" w:fill="FFFFFF"/>
        </w:rPr>
        <w:t>(Allegranzi et al., 2017)</w:t>
      </w:r>
      <w:r w:rsidRPr="009760AB">
        <w:rPr>
          <w:shd w:val="clear" w:color="auto" w:fill="FFFFFF"/>
        </w:rPr>
        <w:fldChar w:fldCharType="end"/>
      </w:r>
      <w:r w:rsidRPr="00A43CC4">
        <w:rPr>
          <w:shd w:val="clear" w:color="auto" w:fill="FFFFFF"/>
        </w:rPr>
        <w:t xml:space="preserve">. SSI </w:t>
      </w:r>
      <w:r w:rsidRPr="009760AB">
        <w:rPr>
          <w:shd w:val="clear" w:color="auto" w:fill="FFFFFF"/>
        </w:rPr>
        <w:t xml:space="preserve">are a significant cause of post-surgical morbidity and mortality </w:t>
      </w:r>
      <w:r w:rsidRPr="009760AB">
        <w:rPr>
          <w:shd w:val="clear" w:color="auto" w:fill="FFFFFF"/>
        </w:rPr>
        <w:fldChar w:fldCharType="begin"/>
      </w:r>
      <w:r w:rsidRPr="009760AB">
        <w:rPr>
          <w:shd w:val="clear" w:color="auto" w:fill="FFFFFF"/>
        </w:rPr>
        <w:instrText>ADDIN RW.CITE{{1087 Chu,Kathryn 2015}}</w:instrText>
      </w:r>
      <w:r w:rsidRPr="009760AB">
        <w:rPr>
          <w:shd w:val="clear" w:color="auto" w:fill="FFFFFF"/>
        </w:rPr>
        <w:fldChar w:fldCharType="separate"/>
      </w:r>
      <w:r w:rsidRPr="009760AB">
        <w:rPr>
          <w:shd w:val="clear" w:color="auto" w:fill="FFFFFF"/>
        </w:rPr>
        <w:t>(Chu et al., 2015)</w:t>
      </w:r>
      <w:r w:rsidRPr="009760AB">
        <w:rPr>
          <w:shd w:val="clear" w:color="auto" w:fill="FFFFFF"/>
        </w:rPr>
        <w:fldChar w:fldCharType="end"/>
      </w:r>
      <w:r w:rsidRPr="00A43CC4">
        <w:rPr>
          <w:shd w:val="clear" w:color="auto" w:fill="FFFFFF"/>
        </w:rPr>
        <w:t>.</w:t>
      </w:r>
      <w:r>
        <w:rPr>
          <w:shd w:val="clear" w:color="auto" w:fill="FFFFFF"/>
        </w:rPr>
        <w:t xml:space="preserve"> </w:t>
      </w:r>
      <w:r w:rsidRPr="00A43CC4">
        <w:rPr>
          <w:shd w:val="clear" w:color="auto" w:fill="FFFFFF"/>
        </w:rPr>
        <w:t xml:space="preserve">In Nigeria, </w:t>
      </w:r>
      <w:r>
        <w:rPr>
          <w:shd w:val="clear" w:color="auto" w:fill="FFFFFF"/>
        </w:rPr>
        <w:t xml:space="preserve">a systematic review and meta-analysis </w:t>
      </w:r>
      <w:r w:rsidRPr="006660F7">
        <w:rPr>
          <w:shd w:val="clear" w:color="auto" w:fill="FFFFFF"/>
        </w:rPr>
        <w:t xml:space="preserve">estimated </w:t>
      </w:r>
      <w:r>
        <w:rPr>
          <w:shd w:val="clear" w:color="auto" w:fill="FFFFFF"/>
        </w:rPr>
        <w:t xml:space="preserve">SSI </w:t>
      </w:r>
      <w:r w:rsidRPr="006660F7">
        <w:rPr>
          <w:shd w:val="clear" w:color="auto" w:fill="FFFFFF"/>
        </w:rPr>
        <w:t xml:space="preserve">cumulative incidence rate at 14.5% </w:t>
      </w:r>
      <w:r w:rsidRPr="006660F7">
        <w:rPr>
          <w:shd w:val="clear" w:color="auto" w:fill="FFFFFF"/>
        </w:rPr>
        <w:fldChar w:fldCharType="begin"/>
      </w:r>
      <w:r w:rsidRPr="006660F7">
        <w:rPr>
          <w:shd w:val="clear" w:color="auto" w:fill="FFFFFF"/>
        </w:rPr>
        <w:instrText>ADDIN RW.CITE{{1091 Olowo-Okere,Ahmed 2019}}</w:instrText>
      </w:r>
      <w:r w:rsidRPr="006660F7">
        <w:rPr>
          <w:shd w:val="clear" w:color="auto" w:fill="FFFFFF"/>
        </w:rPr>
        <w:fldChar w:fldCharType="separate"/>
      </w:r>
      <w:r w:rsidRPr="006660F7">
        <w:rPr>
          <w:bCs/>
          <w:shd w:val="clear" w:color="auto" w:fill="FFFFFF"/>
          <w:lang w:val="en-US"/>
        </w:rPr>
        <w:t>(Olowo-Okere et al., 2019)</w:t>
      </w:r>
      <w:r w:rsidRPr="006660F7">
        <w:rPr>
          <w:shd w:val="clear" w:color="auto" w:fill="FFFFFF"/>
        </w:rPr>
        <w:fldChar w:fldCharType="end"/>
      </w:r>
      <w:r>
        <w:rPr>
          <w:shd w:val="clear" w:color="auto" w:fill="FFFFFF"/>
        </w:rPr>
        <w:t xml:space="preserve">. </w:t>
      </w:r>
    </w:p>
    <w:p w14:paraId="248F5687" w14:textId="77777777" w:rsidR="00B21E72" w:rsidRPr="00F3352F" w:rsidRDefault="00B21E72" w:rsidP="00B21E72">
      <w:pPr>
        <w:spacing w:line="360" w:lineRule="auto"/>
      </w:pPr>
      <w:r w:rsidRPr="009760AB">
        <w:t xml:space="preserve">Contaminated hands play a significant role in the spread of HCAI </w:t>
      </w:r>
      <w:r w:rsidRPr="009760AB">
        <w:fldChar w:fldCharType="begin"/>
      </w:r>
      <w:r w:rsidRPr="009760AB">
        <w:instrText>ADDIN RW.CITE{{476 Dixit,Devika 2012}}</w:instrText>
      </w:r>
      <w:r w:rsidRPr="009760AB">
        <w:fldChar w:fldCharType="separate"/>
      </w:r>
      <w:r w:rsidRPr="009760AB">
        <w:t>(Dixit et al., 2012)</w:t>
      </w:r>
      <w:r w:rsidRPr="009760AB">
        <w:fldChar w:fldCharType="end"/>
      </w:r>
      <w:r w:rsidRPr="00A43CC4">
        <w:t>. H</w:t>
      </w:r>
      <w:r w:rsidRPr="009760AB">
        <w:t xml:space="preserve">and hygiene is the best method to prevent these infections though </w:t>
      </w:r>
      <w:r>
        <w:t>healthcare workers (</w:t>
      </w:r>
      <w:r w:rsidRPr="009760AB">
        <w:t>HCWs</w:t>
      </w:r>
      <w:r>
        <w:t>)</w:t>
      </w:r>
      <w:r w:rsidRPr="009760AB">
        <w:t xml:space="preserve"> still do not clean their hands as often as expected </w:t>
      </w:r>
      <w:r w:rsidRPr="009760AB">
        <w:fldChar w:fldCharType="begin"/>
      </w:r>
      <w:r w:rsidRPr="009760AB">
        <w:instrText>ADDIN RW.CITE{{347 Graf,K. 2011; 851 WorldHealthOrganization 2009}}</w:instrText>
      </w:r>
      <w:r w:rsidRPr="009760AB">
        <w:fldChar w:fldCharType="separate"/>
      </w:r>
      <w:r w:rsidRPr="00F3352F">
        <w:t>(Graf et al., 2011; WHO, 2009a)</w:t>
      </w:r>
      <w:r w:rsidRPr="009760AB">
        <w:fldChar w:fldCharType="end"/>
      </w:r>
      <w:r w:rsidRPr="00A43CC4">
        <w:t>. A large systematic review of p</w:t>
      </w:r>
      <w:r w:rsidRPr="009760AB">
        <w:t xml:space="preserve">ublished studies on hand hygiene in developed countries suggests compliance rate of only 40% </w:t>
      </w:r>
      <w:r w:rsidRPr="009760AB">
        <w:fldChar w:fldCharType="begin"/>
      </w:r>
      <w:r w:rsidRPr="00F3352F">
        <w:instrText>ADDIN RW.CITE{{264 Erasmus,V. 2010}}</w:instrText>
      </w:r>
      <w:r w:rsidRPr="009760AB">
        <w:fldChar w:fldCharType="separate"/>
      </w:r>
      <w:r w:rsidRPr="00F3352F">
        <w:t>(Erasmus et al., 2010)</w:t>
      </w:r>
      <w:r w:rsidRPr="009760AB">
        <w:fldChar w:fldCharType="end"/>
      </w:r>
      <w:r w:rsidRPr="00A43CC4">
        <w:t xml:space="preserve"> while </w:t>
      </w:r>
      <w:r>
        <w:t>our</w:t>
      </w:r>
      <w:r w:rsidRPr="00A43CC4">
        <w:t xml:space="preserve"> recent narrative review from </w:t>
      </w:r>
      <w:r>
        <w:t>Sub-Saharan African (</w:t>
      </w:r>
      <w:r w:rsidRPr="00A43CC4">
        <w:t>SSA</w:t>
      </w:r>
      <w:r>
        <w:t>)</w:t>
      </w:r>
      <w:r w:rsidRPr="00A43CC4">
        <w:t xml:space="preserve"> countries estimated compliance rate of 21.1% </w:t>
      </w:r>
      <w:r w:rsidRPr="009760AB">
        <w:fldChar w:fldCharType="begin"/>
      </w:r>
      <w:r w:rsidRPr="00F3352F">
        <w:instrText>ADDIN RW.CITE{{1485 Ataiyero,Yetunde 2019}}</w:instrText>
      </w:r>
      <w:r w:rsidRPr="009760AB">
        <w:fldChar w:fldCharType="separate"/>
      </w:r>
      <w:r w:rsidRPr="00F3352F">
        <w:t>(Ataiyero et al., 2019)</w:t>
      </w:r>
      <w:r w:rsidRPr="009760AB">
        <w:fldChar w:fldCharType="end"/>
      </w:r>
      <w:r w:rsidRPr="00A43CC4">
        <w:t xml:space="preserve">. </w:t>
      </w:r>
      <w:r w:rsidRPr="009760AB">
        <w:t>However, there were only 9 studies investigating this in SSA and of these, only 2 studies are from Nigeria, suggesting a need for more studies on hand hygiene compliance rates in this region.</w:t>
      </w:r>
      <w:r>
        <w:t xml:space="preserve"> </w:t>
      </w:r>
    </w:p>
    <w:p w14:paraId="29F74E3D" w14:textId="77777777" w:rsidR="00B21E72" w:rsidRPr="00F3352F" w:rsidRDefault="00B21E72" w:rsidP="00B21E72">
      <w:pPr>
        <w:pStyle w:val="Heading2"/>
        <w:numPr>
          <w:ilvl w:val="0"/>
          <w:numId w:val="0"/>
        </w:numPr>
        <w:ind w:left="576" w:hanging="576"/>
      </w:pPr>
      <w:r w:rsidRPr="00F3352F">
        <w:t>Aim</w:t>
      </w:r>
    </w:p>
    <w:p w14:paraId="0F8141CB" w14:textId="77777777" w:rsidR="00B21E72" w:rsidRPr="00F3352F" w:rsidRDefault="00B21E72" w:rsidP="00B21E72">
      <w:pPr>
        <w:spacing w:line="360" w:lineRule="auto"/>
      </w:pPr>
      <w:r w:rsidRPr="00F3352F">
        <w:t>Our aims were:</w:t>
      </w:r>
    </w:p>
    <w:p w14:paraId="6CC5D518" w14:textId="77777777" w:rsidR="00B21E72" w:rsidRPr="00F3352F" w:rsidRDefault="00B21E72" w:rsidP="00B21E72">
      <w:pPr>
        <w:pStyle w:val="ListParagraph"/>
        <w:numPr>
          <w:ilvl w:val="0"/>
          <w:numId w:val="3"/>
        </w:numPr>
        <w:spacing w:line="360" w:lineRule="auto"/>
      </w:pPr>
      <w:r w:rsidRPr="00F3352F">
        <w:t xml:space="preserve">To assess and offer context </w:t>
      </w:r>
      <w:r w:rsidRPr="00F3352F">
        <w:rPr>
          <w:rFonts w:cstheme="minorHAnsi"/>
          <w:szCs w:val="24"/>
        </w:rPr>
        <w:t>to the hand hygiene resources available in a Nigerian teaching hospital through ward infrastructure survey.</w:t>
      </w:r>
    </w:p>
    <w:p w14:paraId="7C8CFD70" w14:textId="77777777" w:rsidR="00B21E72" w:rsidRPr="00F3352F" w:rsidRDefault="00B21E72" w:rsidP="00B21E72">
      <w:pPr>
        <w:pStyle w:val="ListParagraph"/>
        <w:numPr>
          <w:ilvl w:val="0"/>
          <w:numId w:val="3"/>
        </w:numPr>
        <w:spacing w:line="360" w:lineRule="auto"/>
      </w:pPr>
      <w:r w:rsidRPr="00F3352F">
        <w:t xml:space="preserve">To determine the hand hygiene compliance rate among surgical HCWs in a Nigerian teaching hospital through hand hygiene observations. </w:t>
      </w:r>
    </w:p>
    <w:p w14:paraId="47E3BE7A" w14:textId="77777777" w:rsidR="00B21E72" w:rsidRPr="00F3352F" w:rsidRDefault="00B21E72" w:rsidP="00B21E72">
      <w:pPr>
        <w:pStyle w:val="Heading2"/>
        <w:numPr>
          <w:ilvl w:val="0"/>
          <w:numId w:val="0"/>
        </w:numPr>
        <w:ind w:left="576" w:hanging="576"/>
      </w:pPr>
      <w:r w:rsidRPr="00F3352F">
        <w:t xml:space="preserve">Methods </w:t>
      </w:r>
    </w:p>
    <w:p w14:paraId="070F33DA" w14:textId="77777777" w:rsidR="00B21E72" w:rsidRPr="00F3352F" w:rsidRDefault="00B21E72" w:rsidP="00B21E72">
      <w:pPr>
        <w:pStyle w:val="Heading3"/>
        <w:numPr>
          <w:ilvl w:val="0"/>
          <w:numId w:val="0"/>
        </w:numPr>
        <w:ind w:left="720" w:hanging="720"/>
      </w:pPr>
      <w:r w:rsidRPr="00F3352F">
        <w:t>Setting</w:t>
      </w:r>
    </w:p>
    <w:p w14:paraId="6D44EA64" w14:textId="77777777" w:rsidR="00B21E72" w:rsidRPr="009760AB" w:rsidRDefault="00B21E72" w:rsidP="00B21E72">
      <w:pPr>
        <w:spacing w:line="360" w:lineRule="auto"/>
      </w:pPr>
      <w:r w:rsidRPr="00F3352F">
        <w:t xml:space="preserve">This study was conducted in a private teaching hospital in South-western Nigeria, in two surgical wards (male and female) of the hospital. We chose surgical wards because in Nigeria, surgical wards have the highest occurrence of HCAI when compared to other wards </w:t>
      </w:r>
      <w:r w:rsidRPr="009760AB">
        <w:fldChar w:fldCharType="begin"/>
      </w:r>
      <w:r>
        <w:instrText>ADDIN RW.CITE{{1501 Iliyasu,Garba 2018; 900 Ige,O.K. 2011}}</w:instrText>
      </w:r>
      <w:r w:rsidRPr="009760AB">
        <w:fldChar w:fldCharType="separate"/>
      </w:r>
      <w:r w:rsidRPr="003634EA">
        <w:t>(Ige et al., 2011; Iliyasu et al., 2018)</w:t>
      </w:r>
      <w:r w:rsidRPr="009760AB">
        <w:fldChar w:fldCharType="end"/>
      </w:r>
      <w:r w:rsidRPr="00A43CC4">
        <w:t>.</w:t>
      </w:r>
      <w:r w:rsidRPr="009760AB">
        <w:t xml:space="preserve">  </w:t>
      </w:r>
    </w:p>
    <w:p w14:paraId="07E0E103" w14:textId="77777777" w:rsidR="00B21E72" w:rsidRPr="00F3352F" w:rsidRDefault="00B21E72" w:rsidP="00B21E72">
      <w:pPr>
        <w:pStyle w:val="Heading3"/>
        <w:numPr>
          <w:ilvl w:val="0"/>
          <w:numId w:val="0"/>
        </w:numPr>
        <w:ind w:left="720" w:hanging="720"/>
      </w:pPr>
      <w:r w:rsidRPr="00F3352F">
        <w:lastRenderedPageBreak/>
        <w:t>Design</w:t>
      </w:r>
    </w:p>
    <w:p w14:paraId="5924EC1B" w14:textId="77777777" w:rsidR="00B21E72" w:rsidRPr="00F3352F" w:rsidRDefault="00B21E72" w:rsidP="00B21E72">
      <w:pPr>
        <w:spacing w:line="360" w:lineRule="auto"/>
      </w:pPr>
      <w:r w:rsidRPr="00F3352F">
        <w:t xml:space="preserve">We conducted a ward infrastructure survey of hand hygiene facilities available in each of the two wards, using the WHO hand hygiene ward infrastructure survey form </w:t>
      </w:r>
      <w:r w:rsidRPr="00F3352F">
        <w:fldChar w:fldCharType="begin"/>
      </w:r>
      <w:r w:rsidRPr="00F3352F">
        <w:instrText>ADDIN RW.CITE{{1561 WHO 2009}}</w:instrText>
      </w:r>
      <w:r w:rsidRPr="00F3352F">
        <w:fldChar w:fldCharType="separate"/>
      </w:r>
      <w:r w:rsidRPr="00F3352F">
        <w:t>(WHO, 2009b)</w:t>
      </w:r>
      <w:r w:rsidRPr="00F3352F">
        <w:fldChar w:fldCharType="end"/>
      </w:r>
      <w:r w:rsidRPr="00A43CC4">
        <w:t>.</w:t>
      </w:r>
      <w:r w:rsidRPr="00F3352F">
        <w:t xml:space="preserve"> This form is in two parts. The first part of the form assesses handwashing/hand-rubbing facilities and resources on the wards while the second part is a grid which assesses the exact number of hand hygiene resources and the products in place.</w:t>
      </w:r>
    </w:p>
    <w:p w14:paraId="7882B49A" w14:textId="77777777" w:rsidR="00B21E72" w:rsidRPr="00F3352F" w:rsidRDefault="00B21E72" w:rsidP="00B21E72">
      <w:pPr>
        <w:spacing w:line="360" w:lineRule="auto"/>
      </w:pPr>
      <w:r w:rsidRPr="00F3352F">
        <w:t>For hand hygiene observations, direct observation of hand hygiene opportunities of HCWs in the two surgical wards was conducted</w:t>
      </w:r>
      <w:r>
        <w:t xml:space="preserve"> </w:t>
      </w:r>
      <w:r w:rsidRPr="00114765">
        <w:t>(by YA),</w:t>
      </w:r>
      <w:r w:rsidRPr="00F3352F">
        <w:t xml:space="preserve"> being the gold standard measure for hand hygiene compliance </w:t>
      </w:r>
      <w:r w:rsidRPr="00F3352F">
        <w:fldChar w:fldCharType="begin"/>
      </w:r>
      <w:r w:rsidRPr="00F3352F">
        <w:instrText>ADDIN RW.CITE{{334 Randle,J. 2010}}</w:instrText>
      </w:r>
      <w:r w:rsidRPr="00F3352F">
        <w:fldChar w:fldCharType="separate"/>
      </w:r>
      <w:r w:rsidRPr="00F3352F">
        <w:t>(Randle et al., 2010)</w:t>
      </w:r>
      <w:r w:rsidRPr="00F3352F">
        <w:fldChar w:fldCharType="end"/>
      </w:r>
      <w:r w:rsidRPr="00A43CC4">
        <w:t>. All observed data were col</w:t>
      </w:r>
      <w:r w:rsidRPr="00F3352F">
        <w:t xml:space="preserve">lected manually using a modified WHO hand hygiene observation form </w:t>
      </w:r>
      <w:r w:rsidRPr="00F3352F">
        <w:fldChar w:fldCharType="begin"/>
      </w:r>
      <w:r w:rsidRPr="00F3352F">
        <w:instrText>ADDIN RW.CITE{{851 WHO 2009}}</w:instrText>
      </w:r>
      <w:r w:rsidRPr="00F3352F">
        <w:fldChar w:fldCharType="separate"/>
      </w:r>
      <w:r w:rsidRPr="00F3352F">
        <w:rPr>
          <w:rFonts w:ascii="Calibri" w:hAnsi="Calibri" w:cs="Calibri"/>
          <w:bCs/>
        </w:rPr>
        <w:t>(WHO, 2009a)</w:t>
      </w:r>
      <w:r w:rsidRPr="00F3352F">
        <w:fldChar w:fldCharType="end"/>
      </w:r>
      <w:r w:rsidRPr="00A43CC4">
        <w:t xml:space="preserve">. The form consists of institutional level characteristics including the ward, department, staff category (medical, nursing or </w:t>
      </w:r>
      <w:r>
        <w:t>healthcare assistants</w:t>
      </w:r>
      <w:r w:rsidRPr="00A43CC4">
        <w:t>)</w:t>
      </w:r>
      <w:r w:rsidRPr="00F3352F">
        <w:t xml:space="preserve">, and professional level according to seniority. Hand hygiene opportunities observed included the “My five moments of hand hygiene” namely – </w:t>
      </w:r>
      <w:r w:rsidRPr="00F3352F">
        <w:rPr>
          <w:i/>
          <w:iCs/>
        </w:rPr>
        <w:t>“before patient contact, before aseptic procedure</w:t>
      </w:r>
      <w:r w:rsidRPr="00114765">
        <w:rPr>
          <w:i/>
          <w:iCs/>
        </w:rPr>
        <w:t>, after</w:t>
      </w:r>
      <w:r>
        <w:rPr>
          <w:i/>
          <w:iCs/>
        </w:rPr>
        <w:t xml:space="preserve"> </w:t>
      </w:r>
      <w:r w:rsidRPr="00F3352F">
        <w:rPr>
          <w:i/>
          <w:iCs/>
        </w:rPr>
        <w:t xml:space="preserve">exposure to body fluids, after patient contact </w:t>
      </w:r>
      <w:r w:rsidRPr="00F3352F">
        <w:t>and</w:t>
      </w:r>
      <w:r w:rsidRPr="00F3352F">
        <w:rPr>
          <w:i/>
          <w:iCs/>
        </w:rPr>
        <w:t xml:space="preserve"> after touching patient surroundings” </w:t>
      </w:r>
      <w:r w:rsidRPr="00F3352F">
        <w:fldChar w:fldCharType="begin"/>
      </w:r>
      <w:r w:rsidRPr="00F3352F">
        <w:instrText>ADDIN RW.CITE{{851 WHO 2009}}</w:instrText>
      </w:r>
      <w:r w:rsidRPr="00F3352F">
        <w:fldChar w:fldCharType="separate"/>
      </w:r>
      <w:r w:rsidRPr="00F3352F">
        <w:t>(WHO, 2009a)</w:t>
      </w:r>
      <w:r w:rsidRPr="00F3352F">
        <w:fldChar w:fldCharType="end"/>
      </w:r>
      <w:r w:rsidRPr="00A43CC4">
        <w:t>.</w:t>
      </w:r>
    </w:p>
    <w:p w14:paraId="49576E42" w14:textId="77777777" w:rsidR="00B21E72" w:rsidRPr="00F3352F" w:rsidRDefault="00B21E72" w:rsidP="00B21E72">
      <w:pPr>
        <w:pStyle w:val="Heading3"/>
        <w:numPr>
          <w:ilvl w:val="0"/>
          <w:numId w:val="0"/>
        </w:numPr>
        <w:ind w:left="720" w:hanging="720"/>
      </w:pPr>
      <w:r w:rsidRPr="00F3352F">
        <w:t xml:space="preserve">Procedure </w:t>
      </w:r>
    </w:p>
    <w:p w14:paraId="3A2DACA0" w14:textId="77777777" w:rsidR="00B21E72" w:rsidRPr="00F3352F" w:rsidRDefault="00B21E72" w:rsidP="00B21E72">
      <w:pPr>
        <w:spacing w:line="360" w:lineRule="auto"/>
        <w:rPr>
          <w:rFonts w:ascii="Times New Roman" w:hAnsi="Times New Roman" w:cs="Times New Roman"/>
          <w:lang w:eastAsia="en-GB"/>
        </w:rPr>
      </w:pPr>
      <w:r w:rsidRPr="00F3352F">
        <w:t>No p</w:t>
      </w:r>
      <w:r>
        <w:t>articipants</w:t>
      </w:r>
      <w:r w:rsidRPr="00F3352F">
        <w:t xml:space="preserve"> (patients </w:t>
      </w:r>
      <w:r>
        <w:t>or HCWs)</w:t>
      </w:r>
      <w:r w:rsidRPr="00F3352F">
        <w:t xml:space="preserve"> were included in the ward infrastructure survey. The purpose of the survey was discussed with the matrons-in-charge of the wards. On the day of the survey, the observer was allowed to conduct the survey </w:t>
      </w:r>
      <w:r>
        <w:t>alone</w:t>
      </w:r>
      <w:r w:rsidRPr="00F3352F">
        <w:t xml:space="preserve"> however, when in doubt, details/clarifications were obtained from the matrons. For instance, the matrons confirmed the number of staff in both nursing and medical professional groups. Only p</w:t>
      </w:r>
      <w:r>
        <w:t>hotographs</w:t>
      </w:r>
      <w:r w:rsidRPr="00F3352F">
        <w:t xml:space="preserve"> relating to hand hygiene materials were taken to give a pictorial representation of the setting. P</w:t>
      </w:r>
      <w:r>
        <w:t>hotographs</w:t>
      </w:r>
      <w:r w:rsidRPr="00F3352F">
        <w:t xml:space="preserve"> of patients or </w:t>
      </w:r>
      <w:r>
        <w:t>HCWs</w:t>
      </w:r>
      <w:r w:rsidRPr="00F3352F">
        <w:t xml:space="preserve"> performing clinical procedures were avoided.</w:t>
      </w:r>
    </w:p>
    <w:p w14:paraId="05443704" w14:textId="77777777" w:rsidR="00B21E72" w:rsidRPr="004C61BD" w:rsidRDefault="00B21E72" w:rsidP="00B21E72">
      <w:pPr>
        <w:spacing w:line="360" w:lineRule="auto"/>
      </w:pPr>
      <w:r>
        <w:t xml:space="preserve">Only </w:t>
      </w:r>
      <w:r w:rsidRPr="00F3352F">
        <w:t xml:space="preserve">HCWs directly involved in patient care including doctors, nurses and </w:t>
      </w:r>
      <w:r>
        <w:t>healthcare assistants were observed</w:t>
      </w:r>
      <w:r w:rsidRPr="00F3352F">
        <w:t>. Observations were conducted during morning and afternoon shifts (between 9am and 6pm). A hand hygiene observation notification poster was displayed on the wards’ notice boards a week before observations commenced and the right</w:t>
      </w:r>
      <w:r>
        <w:t xml:space="preserve"> and procedures</w:t>
      </w:r>
      <w:r w:rsidRPr="00F3352F">
        <w:t xml:space="preserve"> of HCWs to dissent</w:t>
      </w:r>
      <w:r>
        <w:t xml:space="preserve"> from observation</w:t>
      </w:r>
      <w:r w:rsidRPr="00F3352F">
        <w:t xml:space="preserve"> was clearly stated. Participant information sheets which detailed what the study was about and HCWs’ rights to participate were made available on the wards. </w:t>
      </w:r>
      <w:r w:rsidRPr="00114765">
        <w:t>The contact details of the observer were also provided on the poster and the information sheet so that if</w:t>
      </w:r>
      <w:r w:rsidRPr="00114765">
        <w:rPr>
          <w:rFonts w:cstheme="minorHAnsi"/>
        </w:rPr>
        <w:t xml:space="preserve"> anyone wanted further information or to dissent from observation, such individual could contact the researcher or hand hygiene observations would be done on days dissented HCWs were not on shift, respectively. </w:t>
      </w:r>
      <w:r w:rsidRPr="00114765">
        <w:t>However, no one asked to be excluded from being observed.</w:t>
      </w:r>
    </w:p>
    <w:p w14:paraId="24FF5378" w14:textId="77777777" w:rsidR="00B21E72" w:rsidRPr="00F3352F" w:rsidRDefault="00B21E72" w:rsidP="00B21E72">
      <w:pPr>
        <w:pStyle w:val="Heading3"/>
        <w:numPr>
          <w:ilvl w:val="0"/>
          <w:numId w:val="0"/>
        </w:numPr>
        <w:ind w:left="720" w:hanging="720"/>
      </w:pPr>
      <w:r w:rsidRPr="00F3352F">
        <w:lastRenderedPageBreak/>
        <w:t>Ethical considerations</w:t>
      </w:r>
    </w:p>
    <w:p w14:paraId="7231F337" w14:textId="77777777" w:rsidR="00B21E72" w:rsidRPr="00F3352F" w:rsidRDefault="00B21E72" w:rsidP="00B21E72">
      <w:pPr>
        <w:spacing w:line="360" w:lineRule="auto"/>
      </w:pPr>
      <w:r w:rsidRPr="00F3352F">
        <w:t>Prior to study commencement, ethical approval was granted by the host university, University of Hull (ref 279) and the hospital’s Research Ethics Committees</w:t>
      </w:r>
      <w:r>
        <w:t>; the study was conducted</w:t>
      </w:r>
      <w:r w:rsidRPr="00F3352F">
        <w:t xml:space="preserve"> as part of a PhD research</w:t>
      </w:r>
      <w:r>
        <w:t xml:space="preserve"> programme</w:t>
      </w:r>
      <w:r w:rsidRPr="00F3352F">
        <w:t xml:space="preserve">. </w:t>
      </w:r>
      <w:r>
        <w:t>D</w:t>
      </w:r>
      <w:r w:rsidRPr="00F3352F">
        <w:t xml:space="preserve">issent </w:t>
      </w:r>
      <w:r>
        <w:t>was employed to allow</w:t>
      </w:r>
      <w:r w:rsidRPr="00F3352F">
        <w:t xml:space="preserve"> HCWs a choice to either participate in the study or not</w:t>
      </w:r>
      <w:r>
        <w:t>, because, u</w:t>
      </w:r>
      <w:r w:rsidRPr="00F3352F">
        <w:t xml:space="preserve">nlike in developed countries like the UK, hand hygiene audits are not routinely </w:t>
      </w:r>
      <w:r>
        <w:t>conducted</w:t>
      </w:r>
      <w:r w:rsidRPr="00F3352F">
        <w:t xml:space="preserve"> in SSA/Nigerian hospitals.</w:t>
      </w:r>
    </w:p>
    <w:p w14:paraId="014C6FE8" w14:textId="77777777" w:rsidR="00B21E72" w:rsidRPr="00F3352F" w:rsidRDefault="00B21E72" w:rsidP="00B21E72">
      <w:pPr>
        <w:pStyle w:val="Heading3"/>
        <w:numPr>
          <w:ilvl w:val="0"/>
          <w:numId w:val="0"/>
        </w:numPr>
        <w:ind w:left="720" w:hanging="720"/>
      </w:pPr>
      <w:r w:rsidRPr="00F3352F">
        <w:t>Data Analysis</w:t>
      </w:r>
    </w:p>
    <w:p w14:paraId="6C6DD28C" w14:textId="77777777" w:rsidR="00B21E72" w:rsidRPr="00F3352F" w:rsidRDefault="00B21E72" w:rsidP="00B21E72">
      <w:pPr>
        <w:spacing w:line="360" w:lineRule="auto"/>
      </w:pPr>
      <w:r w:rsidRPr="00F3352F">
        <w:t>Using Statistical Package for Social Sciences (SPSS version 24.0) we conducted a descriptive analysis of audit results</w:t>
      </w:r>
      <w:r w:rsidRPr="00F3352F">
        <w:rPr>
          <w:rStyle w:val="CommentReference"/>
          <w:rFonts w:cstheme="minorHAnsi"/>
        </w:rPr>
        <w:t>,</w:t>
      </w:r>
      <w:r w:rsidRPr="00F3352F">
        <w:t xml:space="preserve"> and results were presented according to professional group, seniority, and hand hygiene opportunity of the participants. </w:t>
      </w:r>
    </w:p>
    <w:p w14:paraId="4C3338B3" w14:textId="77777777" w:rsidR="00B21E72" w:rsidRPr="00F3352F" w:rsidRDefault="00B21E72" w:rsidP="00B21E72">
      <w:pPr>
        <w:pStyle w:val="Heading2"/>
        <w:numPr>
          <w:ilvl w:val="0"/>
          <w:numId w:val="0"/>
        </w:numPr>
        <w:ind w:left="576" w:hanging="576"/>
      </w:pPr>
      <w:r w:rsidRPr="00F3352F">
        <w:t>Results</w:t>
      </w:r>
    </w:p>
    <w:p w14:paraId="6413095C" w14:textId="77777777" w:rsidR="00B21E72" w:rsidRPr="00F3352F" w:rsidRDefault="00B21E72" w:rsidP="00B21E72">
      <w:pPr>
        <w:pStyle w:val="Heading3"/>
        <w:numPr>
          <w:ilvl w:val="0"/>
          <w:numId w:val="0"/>
        </w:numPr>
        <w:ind w:left="720" w:hanging="720"/>
      </w:pPr>
      <w:r w:rsidRPr="00F3352F">
        <w:t>Ward infrastructure survey</w:t>
      </w:r>
    </w:p>
    <w:p w14:paraId="495B028F" w14:textId="77777777" w:rsidR="00B21E72" w:rsidRPr="00F3352F" w:rsidRDefault="00B21E72" w:rsidP="00B21E72">
      <w:pPr>
        <w:spacing w:line="360" w:lineRule="auto"/>
      </w:pPr>
      <w:r w:rsidRPr="00F3352F">
        <w:t xml:space="preserve">There were 15 nurses and 6 </w:t>
      </w:r>
      <w:r>
        <w:t>healthcare assistants</w:t>
      </w:r>
      <w:r w:rsidRPr="00F3352F">
        <w:t xml:space="preserve"> in each of the male and female surgical wards. There were 15 doctors attached to the two wards. The wards are open</w:t>
      </w:r>
      <w:r>
        <w:t xml:space="preserve"> (nightingale style)</w:t>
      </w:r>
      <w:r w:rsidRPr="00F3352F">
        <w:t xml:space="preserve"> wards </w:t>
      </w:r>
      <w:r>
        <w:t>occupied by</w:t>
      </w:r>
      <w:r w:rsidRPr="00F3352F">
        <w:t xml:space="preserve"> patients </w:t>
      </w:r>
      <w:r>
        <w:t>with</w:t>
      </w:r>
      <w:r w:rsidRPr="00F3352F">
        <w:t xml:space="preserve"> different surgical needs including but not limited to general surgery, urology, and orthopaedics. There were 30 beds and 21 beds in the male and female surgical wards respectively. Each bed was separated by curtains to provide some privacy for the patients. There were no private rooms for patients on the wards </w:t>
      </w:r>
      <w:r w:rsidRPr="00740FFF">
        <w:t>as t</w:t>
      </w:r>
      <w:r w:rsidRPr="00F3352F">
        <w:t xml:space="preserve">here is a private ward in the hospital where patients who are more </w:t>
      </w:r>
      <w:r>
        <w:t>affluent</w:t>
      </w:r>
      <w:r w:rsidRPr="00F3352F">
        <w:t xml:space="preserve"> were admitted.</w:t>
      </w:r>
    </w:p>
    <w:p w14:paraId="437E169E" w14:textId="77777777" w:rsidR="00B21E72" w:rsidRDefault="00B21E72" w:rsidP="00B21E72">
      <w:pPr>
        <w:spacing w:line="360" w:lineRule="auto"/>
        <w:rPr>
          <w:rFonts w:cstheme="minorHAnsi"/>
          <w:szCs w:val="24"/>
        </w:rPr>
      </w:pPr>
      <w:r>
        <w:t>At</w:t>
      </w:r>
      <w:r w:rsidRPr="00F3352F">
        <w:t xml:space="preserve"> the time of the survey, each ward had two sinks with visibly clean water running from taps. There were no faulty sinks though </w:t>
      </w:r>
      <w:r>
        <w:t>one of the four</w:t>
      </w:r>
      <w:r w:rsidRPr="00F3352F">
        <w:t xml:space="preserve"> sink</w:t>
      </w:r>
      <w:r>
        <w:t>s</w:t>
      </w:r>
      <w:r w:rsidRPr="00F3352F">
        <w:t xml:space="preserve"> and its environment w</w:t>
      </w:r>
      <w:r>
        <w:t>as</w:t>
      </w:r>
      <w:r w:rsidRPr="00F3352F">
        <w:t xml:space="preserve"> visibly dirty. </w:t>
      </w:r>
      <w:r>
        <w:t xml:space="preserve">Only cold water was running. </w:t>
      </w:r>
      <w:r w:rsidRPr="00F3352F">
        <w:t>Taps were knob-operated, no elbow-operated taps were available. There were plastic water storage facilities, as well as buckets and bowl to manually pour water on the hands in case water was not running. Soap was always available, but they were either bar soaps or heavily diluted liquid soap without any record of dilution standard. Each of the wards also had a treatment room with running water and soap. There were no disposable towels at any point during the survey</w:t>
      </w:r>
      <w:r>
        <w:t>;</w:t>
      </w:r>
      <w:r w:rsidRPr="00F3352F">
        <w:t xml:space="preserve"> cotton</w:t>
      </w:r>
      <w:r>
        <w:t xml:space="preserve"> hand</w:t>
      </w:r>
      <w:r w:rsidRPr="00F3352F">
        <w:t xml:space="preserve"> towels were provided, and these were reportedly changed </w:t>
      </w:r>
      <w:r>
        <w:t xml:space="preserve">once </w:t>
      </w:r>
      <w:r w:rsidRPr="00F3352F">
        <w:t xml:space="preserve">per shift. There were no wall mounted </w:t>
      </w:r>
      <w:r>
        <w:t>alcohol-based hand rubs (</w:t>
      </w:r>
      <w:r w:rsidRPr="00F3352F">
        <w:t>ABHRs</w:t>
      </w:r>
      <w:r>
        <w:t xml:space="preserve">), none on </w:t>
      </w:r>
      <w:r w:rsidRPr="00F3352F">
        <w:t xml:space="preserve">patients’ bedsides </w:t>
      </w:r>
      <w:r>
        <w:t>and no</w:t>
      </w:r>
      <w:r w:rsidRPr="00F3352F">
        <w:t xml:space="preserve"> pocket-sized ABHRs. When available, ABHRs are </w:t>
      </w:r>
      <w:r>
        <w:t xml:space="preserve">reportedly </w:t>
      </w:r>
      <w:r w:rsidRPr="00F3352F">
        <w:t xml:space="preserve">placed on and used from the nurses’ station. Disposable gloves were </w:t>
      </w:r>
      <w:r>
        <w:t xml:space="preserve">observed </w:t>
      </w:r>
      <w:r w:rsidRPr="00F3352F">
        <w:t>by</w:t>
      </w:r>
      <w:r>
        <w:t xml:space="preserve"> all</w:t>
      </w:r>
      <w:r w:rsidRPr="00F3352F">
        <w:t xml:space="preserve"> patient bedsides. Posters illustrating hand hygiene were displayed by the sinks but </w:t>
      </w:r>
      <w:r>
        <w:t xml:space="preserve">in no other </w:t>
      </w:r>
      <w:r w:rsidRPr="00F3352F">
        <w:t>of the ward. No other hand hygiene reminders w</w:t>
      </w:r>
      <w:r>
        <w:t>ere</w:t>
      </w:r>
      <w:r w:rsidRPr="00F3352F">
        <w:t xml:space="preserve"> displayed. Hand hygiene observation ha</w:t>
      </w:r>
      <w:r>
        <w:t>d</w:t>
      </w:r>
      <w:r w:rsidRPr="00F3352F">
        <w:t xml:space="preserve"> never been done in the hospital prior to our study. </w:t>
      </w:r>
      <w:r>
        <w:t>Images 1</w:t>
      </w:r>
      <w:r w:rsidRPr="00F3352F">
        <w:rPr>
          <w:rFonts w:cstheme="minorHAnsi"/>
          <w:szCs w:val="24"/>
        </w:rPr>
        <w:t xml:space="preserve"> </w:t>
      </w:r>
      <w:r>
        <w:rPr>
          <w:rFonts w:cstheme="minorHAnsi"/>
          <w:szCs w:val="24"/>
        </w:rPr>
        <w:t xml:space="preserve">to 3 </w:t>
      </w:r>
      <w:r w:rsidRPr="00F3352F">
        <w:rPr>
          <w:rFonts w:cstheme="minorHAnsi"/>
          <w:szCs w:val="24"/>
        </w:rPr>
        <w:lastRenderedPageBreak/>
        <w:t>show some of the hand hygiene resources available on the adult male and female surgical wards of the research setting.</w:t>
      </w:r>
    </w:p>
    <w:p w14:paraId="5736901A" w14:textId="77777777" w:rsidR="00B21E72" w:rsidRDefault="00FA2684" w:rsidP="00B21E72">
      <w:pPr>
        <w:rPr>
          <w:rFonts w:cstheme="minorHAnsi"/>
          <w:szCs w:val="24"/>
        </w:rPr>
      </w:pPr>
      <w:sdt>
        <w:sdtPr>
          <w:rPr>
            <w:rFonts w:cstheme="minorHAnsi"/>
            <w:szCs w:val="24"/>
          </w:rPr>
          <w:id w:val="1385141457"/>
          <w:citation/>
        </w:sdtPr>
        <w:sdtEndPr/>
        <w:sdtContent>
          <w:r w:rsidR="00B21E72">
            <w:rPr>
              <w:rFonts w:cstheme="minorHAnsi"/>
              <w:szCs w:val="24"/>
            </w:rPr>
            <w:fldChar w:fldCharType="begin"/>
          </w:r>
          <w:r w:rsidR="00B21E72">
            <w:rPr>
              <w:rFonts w:cstheme="minorHAnsi"/>
              <w:szCs w:val="24"/>
            </w:rPr>
            <w:instrText xml:space="preserve"> CITATION Image1 \l 2057 </w:instrText>
          </w:r>
          <w:r w:rsidR="00B21E72">
            <w:rPr>
              <w:rFonts w:cstheme="minorHAnsi"/>
              <w:szCs w:val="24"/>
            </w:rPr>
            <w:fldChar w:fldCharType="separate"/>
          </w:r>
          <w:r w:rsidR="00B21E72" w:rsidRPr="000F35DB">
            <w:rPr>
              <w:rFonts w:cstheme="minorHAnsi"/>
              <w:noProof/>
              <w:szCs w:val="24"/>
            </w:rPr>
            <w:t>(Image1)</w:t>
          </w:r>
          <w:r w:rsidR="00B21E72">
            <w:rPr>
              <w:rFonts w:cstheme="minorHAnsi"/>
              <w:szCs w:val="24"/>
            </w:rPr>
            <w:fldChar w:fldCharType="end"/>
          </w:r>
        </w:sdtContent>
      </w:sdt>
    </w:p>
    <w:p w14:paraId="63431414" w14:textId="77777777" w:rsidR="00B21E72" w:rsidRDefault="00FA2684" w:rsidP="00B21E72">
      <w:pPr>
        <w:rPr>
          <w:rFonts w:cstheme="minorHAnsi"/>
          <w:szCs w:val="24"/>
        </w:rPr>
      </w:pPr>
      <w:sdt>
        <w:sdtPr>
          <w:rPr>
            <w:rFonts w:cstheme="minorHAnsi"/>
            <w:szCs w:val="24"/>
          </w:rPr>
          <w:id w:val="-548152329"/>
          <w:citation/>
        </w:sdtPr>
        <w:sdtEndPr/>
        <w:sdtContent>
          <w:r w:rsidR="00B21E72">
            <w:rPr>
              <w:rFonts w:cstheme="minorHAnsi"/>
              <w:szCs w:val="24"/>
            </w:rPr>
            <w:fldChar w:fldCharType="begin"/>
          </w:r>
          <w:r w:rsidR="00B21E72">
            <w:rPr>
              <w:rFonts w:cstheme="minorHAnsi"/>
              <w:szCs w:val="24"/>
            </w:rPr>
            <w:instrText xml:space="preserve"> CITATION Image2 \l 2057 </w:instrText>
          </w:r>
          <w:r w:rsidR="00B21E72">
            <w:rPr>
              <w:rFonts w:cstheme="minorHAnsi"/>
              <w:szCs w:val="24"/>
            </w:rPr>
            <w:fldChar w:fldCharType="separate"/>
          </w:r>
          <w:r w:rsidR="00B21E72" w:rsidRPr="000F35DB">
            <w:rPr>
              <w:rFonts w:cstheme="minorHAnsi"/>
              <w:noProof/>
              <w:szCs w:val="24"/>
            </w:rPr>
            <w:t>(Image2)</w:t>
          </w:r>
          <w:r w:rsidR="00B21E72">
            <w:rPr>
              <w:rFonts w:cstheme="minorHAnsi"/>
              <w:szCs w:val="24"/>
            </w:rPr>
            <w:fldChar w:fldCharType="end"/>
          </w:r>
        </w:sdtContent>
      </w:sdt>
    </w:p>
    <w:p w14:paraId="1F662CEB" w14:textId="77777777" w:rsidR="00B21E72" w:rsidRDefault="00FA2684" w:rsidP="00B21E72">
      <w:pPr>
        <w:rPr>
          <w:rFonts w:cstheme="minorHAnsi"/>
          <w:szCs w:val="24"/>
        </w:rPr>
      </w:pPr>
      <w:sdt>
        <w:sdtPr>
          <w:rPr>
            <w:rFonts w:cstheme="minorHAnsi"/>
            <w:szCs w:val="24"/>
          </w:rPr>
          <w:id w:val="1303273715"/>
          <w:citation/>
        </w:sdtPr>
        <w:sdtEndPr/>
        <w:sdtContent>
          <w:r w:rsidR="00B21E72">
            <w:rPr>
              <w:rFonts w:cstheme="minorHAnsi"/>
              <w:szCs w:val="24"/>
            </w:rPr>
            <w:fldChar w:fldCharType="begin"/>
          </w:r>
          <w:r w:rsidR="00B21E72">
            <w:rPr>
              <w:rFonts w:cstheme="minorHAnsi"/>
              <w:szCs w:val="24"/>
            </w:rPr>
            <w:instrText xml:space="preserve"> CITATION Image3 \l 2057 </w:instrText>
          </w:r>
          <w:r w:rsidR="00B21E72">
            <w:rPr>
              <w:rFonts w:cstheme="minorHAnsi"/>
              <w:szCs w:val="24"/>
            </w:rPr>
            <w:fldChar w:fldCharType="separate"/>
          </w:r>
          <w:r w:rsidR="00B21E72" w:rsidRPr="000F35DB">
            <w:rPr>
              <w:rFonts w:cstheme="minorHAnsi"/>
              <w:noProof/>
              <w:szCs w:val="24"/>
            </w:rPr>
            <w:t>(Image3)</w:t>
          </w:r>
          <w:r w:rsidR="00B21E72">
            <w:rPr>
              <w:rFonts w:cstheme="minorHAnsi"/>
              <w:szCs w:val="24"/>
            </w:rPr>
            <w:fldChar w:fldCharType="end"/>
          </w:r>
        </w:sdtContent>
      </w:sdt>
    </w:p>
    <w:p w14:paraId="2DD5EB32" w14:textId="77777777" w:rsidR="00B21E72" w:rsidRDefault="00B21E72" w:rsidP="00B21E72">
      <w:pPr>
        <w:rPr>
          <w:rFonts w:cstheme="minorHAnsi"/>
          <w:szCs w:val="24"/>
        </w:rPr>
      </w:pPr>
      <w:r>
        <w:rPr>
          <w:rFonts w:cstheme="minorHAnsi"/>
          <w:szCs w:val="24"/>
        </w:rPr>
        <w:br w:type="page"/>
      </w:r>
    </w:p>
    <w:p w14:paraId="02AC9D02" w14:textId="77777777" w:rsidR="00B21E72" w:rsidRPr="00F3352F" w:rsidRDefault="00B21E72" w:rsidP="00B21E72">
      <w:pPr>
        <w:pStyle w:val="Heading3"/>
        <w:numPr>
          <w:ilvl w:val="0"/>
          <w:numId w:val="0"/>
        </w:numPr>
        <w:ind w:left="720" w:hanging="720"/>
      </w:pPr>
      <w:r w:rsidRPr="00F3352F">
        <w:lastRenderedPageBreak/>
        <w:t>Hand Hygiene Observations</w:t>
      </w:r>
    </w:p>
    <w:p w14:paraId="330FFFEA" w14:textId="77777777" w:rsidR="00B21E72" w:rsidRPr="00F3352F" w:rsidRDefault="00B21E72" w:rsidP="00B21E72">
      <w:pPr>
        <w:spacing w:line="360" w:lineRule="auto"/>
      </w:pPr>
      <w:r w:rsidRPr="00114765">
        <w:t>To estimate the compliance rate, a total of 700 hand hygiene opportunities, 350 per surgical ward were observed in May 2018 for 70 hours according to the WHO (2009a) recommendations, for 7 days. Of these,</w:t>
      </w:r>
      <w:r w:rsidRPr="00F3352F">
        <w:t xml:space="preserve"> 341 were nurses, 238 were doctors and 121 were health</w:t>
      </w:r>
      <w:r>
        <w:t>care</w:t>
      </w:r>
      <w:r w:rsidRPr="00F3352F">
        <w:t xml:space="preserve"> assistants. Two hundred and eighty-two opportunities were recorded in the morning shifts and 418 opportunities recorded for afternoon shifts. The overall hand hygiene compliance rate was estimated as 29.1%. Compliance to hand hygiene varied across professional groups – 35.7% for doctors, 31.1% for nurses and 10.7% for health</w:t>
      </w:r>
      <w:r>
        <w:t xml:space="preserve">care </w:t>
      </w:r>
      <w:r w:rsidRPr="00F3352F">
        <w:t xml:space="preserve">assistants. </w:t>
      </w:r>
      <w:r>
        <w:t>C</w:t>
      </w:r>
      <w:r w:rsidRPr="00F3352F">
        <w:t xml:space="preserve">ompliance also varied according to the “five moments of hand hygiene” – 20.5% for before patient contact, 66.7% for before aseptic procedure, 78.5% for after exposure to body fluids, 10% for after touching a patient and </w:t>
      </w:r>
      <w:r w:rsidRPr="00114765">
        <w:t>37.8% after touching patient’s surroundings. Table 1 and figure 1 present the distribution of hand hygiene</w:t>
      </w:r>
      <w:r w:rsidRPr="00F3352F">
        <w:t xml:space="preserve"> opportunities and compliance rates according to professional category, using the “my five moments of hand hygiene”.</w:t>
      </w:r>
    </w:p>
    <w:p w14:paraId="07D9719B" w14:textId="77777777" w:rsidR="00B21E72" w:rsidRDefault="00FA2684" w:rsidP="00B21E72">
      <w:pPr>
        <w:spacing w:before="240" w:line="360" w:lineRule="auto"/>
      </w:pPr>
      <w:sdt>
        <w:sdtPr>
          <w:id w:val="-1490395584"/>
          <w:citation/>
        </w:sdtPr>
        <w:sdtEndPr/>
        <w:sdtContent>
          <w:r w:rsidR="00B21E72">
            <w:fldChar w:fldCharType="begin"/>
          </w:r>
          <w:r w:rsidR="00B21E72">
            <w:instrText xml:space="preserve"> CITATION Table1 \l 2057 </w:instrText>
          </w:r>
          <w:r w:rsidR="00B21E72">
            <w:fldChar w:fldCharType="separate"/>
          </w:r>
          <w:r w:rsidR="00B21E72">
            <w:rPr>
              <w:noProof/>
            </w:rPr>
            <w:t>(Table1)</w:t>
          </w:r>
          <w:r w:rsidR="00B21E72">
            <w:fldChar w:fldCharType="end"/>
          </w:r>
        </w:sdtContent>
      </w:sdt>
    </w:p>
    <w:p w14:paraId="3BE7F743" w14:textId="77777777" w:rsidR="00B21E72" w:rsidRPr="00F3352F" w:rsidRDefault="00B21E72" w:rsidP="00B21E72">
      <w:pPr>
        <w:spacing w:before="240" w:line="360" w:lineRule="auto"/>
      </w:pPr>
      <w:r w:rsidRPr="00114765">
        <w:t>All the professional groups had their highest compliance after exposure to body fluids with compliance</w:t>
      </w:r>
      <w:r w:rsidRPr="00F3352F">
        <w:t xml:space="preserve"> </w:t>
      </w:r>
      <w:r w:rsidRPr="00114765">
        <w:t>rates of 88.5% for doctors, 73.5% for nurses and 60% for healthcare assistants. The lowest compliance was</w:t>
      </w:r>
      <w:r w:rsidRPr="00F3352F">
        <w:t xml:space="preserve"> seen after touching a patient between doctors (10.1%) and nurses (12%). Notably, doctors always had the highest compliance rate across the </w:t>
      </w:r>
      <w:r>
        <w:t xml:space="preserve">other </w:t>
      </w:r>
      <w:r w:rsidRPr="00F3352F">
        <w:t>f</w:t>
      </w:r>
      <w:r>
        <w:t>our</w:t>
      </w:r>
      <w:r w:rsidRPr="00F3352F">
        <w:t xml:space="preserve"> moments of hand hygiene. There were no hand hygiene opportunities before aseptic procedure for health</w:t>
      </w:r>
      <w:r>
        <w:t xml:space="preserve">care </w:t>
      </w:r>
      <w:r w:rsidRPr="00F3352F">
        <w:t xml:space="preserve">assistants. </w:t>
      </w:r>
    </w:p>
    <w:p w14:paraId="4D05A8C5" w14:textId="77777777" w:rsidR="00B21E72" w:rsidRDefault="00FA2684" w:rsidP="00B21E72">
      <w:pPr>
        <w:spacing w:line="360" w:lineRule="auto"/>
      </w:pPr>
      <w:sdt>
        <w:sdtPr>
          <w:id w:val="-819185988"/>
          <w:citation/>
        </w:sdtPr>
        <w:sdtEndPr/>
        <w:sdtContent>
          <w:r w:rsidR="00B21E72">
            <w:fldChar w:fldCharType="begin"/>
          </w:r>
          <w:r w:rsidR="00B21E72">
            <w:instrText xml:space="preserve"> CITATION figure1 \l 2057 </w:instrText>
          </w:r>
          <w:r w:rsidR="00B21E72">
            <w:fldChar w:fldCharType="separate"/>
          </w:r>
          <w:r w:rsidR="00B21E72">
            <w:rPr>
              <w:noProof/>
            </w:rPr>
            <w:t>(figure1)</w:t>
          </w:r>
          <w:r w:rsidR="00B21E72">
            <w:fldChar w:fldCharType="end"/>
          </w:r>
        </w:sdtContent>
      </w:sdt>
    </w:p>
    <w:p w14:paraId="6D2868D4" w14:textId="77777777" w:rsidR="00B21E72" w:rsidRDefault="00B21E72" w:rsidP="00B21E72">
      <w:pPr>
        <w:spacing w:line="360" w:lineRule="auto"/>
        <w:rPr>
          <w:noProof/>
        </w:rPr>
      </w:pPr>
      <w:r w:rsidRPr="00114765">
        <w:t>Hand hygiene compliance was also compared in terms of seniority level within professional groups.  Among doctors, compliance rate was 28% for medical officers, 31.4% for house officers, 44.4% for resident doctors and 44.6% for consultants. Among nurses, compliance rate was 26.3% among assistant chief nursing officers, 30% for senior nursing officers, 33.7% for chief nursing officers and 34.9% for staff nurses. These are presented in figures 2 and 3.</w:t>
      </w:r>
      <w:r w:rsidRPr="00114765">
        <w:rPr>
          <w:noProof/>
        </w:rPr>
        <w:t xml:space="preserve"> Compliance was higher in morning shifts (30.1%) than afternoon shifts (28.5%). This is presented in table 2.</w:t>
      </w:r>
    </w:p>
    <w:p w14:paraId="424A6FFF" w14:textId="77777777" w:rsidR="00B21E72" w:rsidRDefault="00FA2684" w:rsidP="00B21E72">
      <w:pPr>
        <w:spacing w:line="360" w:lineRule="auto"/>
        <w:rPr>
          <w:noProof/>
        </w:rPr>
      </w:pPr>
      <w:sdt>
        <w:sdtPr>
          <w:rPr>
            <w:noProof/>
          </w:rPr>
          <w:id w:val="415287205"/>
          <w:citation/>
        </w:sdtPr>
        <w:sdtEndPr/>
        <w:sdtContent>
          <w:r w:rsidR="00B21E72">
            <w:rPr>
              <w:noProof/>
            </w:rPr>
            <w:fldChar w:fldCharType="begin"/>
          </w:r>
          <w:r w:rsidR="00B21E72">
            <w:rPr>
              <w:noProof/>
            </w:rPr>
            <w:instrText xml:space="preserve"> CITATION table2 \l 2057 </w:instrText>
          </w:r>
          <w:r w:rsidR="00B21E72">
            <w:rPr>
              <w:noProof/>
            </w:rPr>
            <w:fldChar w:fldCharType="separate"/>
          </w:r>
          <w:r w:rsidR="00B21E72">
            <w:rPr>
              <w:noProof/>
            </w:rPr>
            <w:t>(table2)</w:t>
          </w:r>
          <w:r w:rsidR="00B21E72">
            <w:rPr>
              <w:noProof/>
            </w:rPr>
            <w:fldChar w:fldCharType="end"/>
          </w:r>
        </w:sdtContent>
      </w:sdt>
    </w:p>
    <w:p w14:paraId="3CB76187" w14:textId="77777777" w:rsidR="00B21E72" w:rsidRDefault="00FA2684" w:rsidP="00B21E72">
      <w:pPr>
        <w:spacing w:line="360" w:lineRule="auto"/>
        <w:rPr>
          <w:noProof/>
        </w:rPr>
      </w:pPr>
      <w:sdt>
        <w:sdtPr>
          <w:rPr>
            <w:noProof/>
          </w:rPr>
          <w:id w:val="-754059678"/>
          <w:citation/>
        </w:sdtPr>
        <w:sdtEndPr/>
        <w:sdtContent>
          <w:r w:rsidR="00B21E72">
            <w:rPr>
              <w:noProof/>
            </w:rPr>
            <w:fldChar w:fldCharType="begin"/>
          </w:r>
          <w:r w:rsidR="00B21E72">
            <w:rPr>
              <w:noProof/>
            </w:rPr>
            <w:instrText xml:space="preserve"> CITATION figure2 \l 2057 </w:instrText>
          </w:r>
          <w:r w:rsidR="00B21E72">
            <w:rPr>
              <w:noProof/>
            </w:rPr>
            <w:fldChar w:fldCharType="separate"/>
          </w:r>
          <w:r w:rsidR="00B21E72">
            <w:rPr>
              <w:noProof/>
            </w:rPr>
            <w:t>(figure2)</w:t>
          </w:r>
          <w:r w:rsidR="00B21E72">
            <w:rPr>
              <w:noProof/>
            </w:rPr>
            <w:fldChar w:fldCharType="end"/>
          </w:r>
        </w:sdtContent>
      </w:sdt>
    </w:p>
    <w:p w14:paraId="6225545A" w14:textId="77777777" w:rsidR="00B21E72" w:rsidRPr="00F3352F" w:rsidRDefault="00FA2684" w:rsidP="00B21E72">
      <w:pPr>
        <w:spacing w:line="360" w:lineRule="auto"/>
        <w:rPr>
          <w:noProof/>
        </w:rPr>
      </w:pPr>
      <w:sdt>
        <w:sdtPr>
          <w:rPr>
            <w:noProof/>
          </w:rPr>
          <w:id w:val="-1794520381"/>
          <w:citation/>
        </w:sdtPr>
        <w:sdtEndPr/>
        <w:sdtContent>
          <w:r w:rsidR="00B21E72">
            <w:rPr>
              <w:noProof/>
            </w:rPr>
            <w:fldChar w:fldCharType="begin"/>
          </w:r>
          <w:r w:rsidR="00B21E72">
            <w:rPr>
              <w:noProof/>
            </w:rPr>
            <w:instrText xml:space="preserve"> CITATION figure3 \l 2057 </w:instrText>
          </w:r>
          <w:r w:rsidR="00B21E72">
            <w:rPr>
              <w:noProof/>
            </w:rPr>
            <w:fldChar w:fldCharType="separate"/>
          </w:r>
          <w:r w:rsidR="00B21E72">
            <w:rPr>
              <w:noProof/>
            </w:rPr>
            <w:t xml:space="preserve"> (figure3)</w:t>
          </w:r>
          <w:r w:rsidR="00B21E72">
            <w:rPr>
              <w:noProof/>
            </w:rPr>
            <w:fldChar w:fldCharType="end"/>
          </w:r>
        </w:sdtContent>
      </w:sdt>
    </w:p>
    <w:p w14:paraId="4D21F881" w14:textId="77777777" w:rsidR="00B21E72" w:rsidRPr="00F3352F" w:rsidRDefault="00B21E72" w:rsidP="00B21E72">
      <w:pPr>
        <w:pStyle w:val="Heading2"/>
        <w:numPr>
          <w:ilvl w:val="0"/>
          <w:numId w:val="0"/>
        </w:numPr>
      </w:pPr>
      <w:r w:rsidRPr="00A43CC4">
        <w:lastRenderedPageBreak/>
        <w:t>D</w:t>
      </w:r>
      <w:r w:rsidRPr="00F3352F">
        <w:t>iscussion</w:t>
      </w:r>
    </w:p>
    <w:p w14:paraId="2B4757B6" w14:textId="77777777" w:rsidR="00B21E72" w:rsidRPr="00D33FF2" w:rsidRDefault="00B21E72" w:rsidP="00B21E72">
      <w:pPr>
        <w:spacing w:line="360" w:lineRule="auto"/>
      </w:pPr>
      <w:r w:rsidRPr="00D33FF2">
        <w:t>This study had two purposes</w:t>
      </w:r>
      <w:r>
        <w:t>;</w:t>
      </w:r>
      <w:r w:rsidRPr="00D33FF2">
        <w:t xml:space="preserve"> to assess and offer context </w:t>
      </w:r>
      <w:r w:rsidRPr="00D33FF2">
        <w:rPr>
          <w:rFonts w:cstheme="minorHAnsi"/>
          <w:szCs w:val="24"/>
        </w:rPr>
        <w:t>to the hand hygiene resources available in a Nigerian teaching hospital through ward infrastructure survey and to</w:t>
      </w:r>
      <w:r w:rsidRPr="00D33FF2">
        <w:t xml:space="preserve"> determine the hand hygiene compliance rate among surgical HCWs in </w:t>
      </w:r>
      <w:r>
        <w:t>this</w:t>
      </w:r>
      <w:r w:rsidRPr="00D33FF2">
        <w:t xml:space="preserve"> hospital through hand hygiene observations. </w:t>
      </w:r>
      <w:r>
        <w:t>Based on</w:t>
      </w:r>
      <w:r w:rsidRPr="00D33FF2">
        <w:t xml:space="preserve"> the ward infrastructure survey, we considered our findings within the context of the wider literature in terms of the overall compliance rate, professional groups, seniority level, shift pattern and the WHO my five moments of hand hygiene.</w:t>
      </w:r>
    </w:p>
    <w:p w14:paraId="6AFCBBB4" w14:textId="77777777" w:rsidR="00B21E72" w:rsidRPr="00D33FF2" w:rsidRDefault="00B21E72" w:rsidP="00B21E72">
      <w:pPr>
        <w:spacing w:line="360" w:lineRule="auto"/>
        <w:rPr>
          <w:rFonts w:cstheme="minorHAnsi"/>
        </w:rPr>
      </w:pPr>
      <w:r w:rsidRPr="00D33FF2">
        <w:rPr>
          <w:rFonts w:cstheme="minorHAnsi"/>
        </w:rPr>
        <w:t xml:space="preserve">Our study found insufficient hand hygiene resources, below the WHO recommended minimum standards of at least one sink to every 10 beds, </w:t>
      </w:r>
      <w:proofErr w:type="gramStart"/>
      <w:r w:rsidRPr="00D33FF2">
        <w:rPr>
          <w:rFonts w:cstheme="minorHAnsi"/>
        </w:rPr>
        <w:t>soap</w:t>
      </w:r>
      <w:proofErr w:type="gramEnd"/>
      <w:r w:rsidRPr="00D33FF2">
        <w:rPr>
          <w:rFonts w:cstheme="minorHAnsi"/>
        </w:rPr>
        <w:t xml:space="preserve"> and fresh towels at every sink and at least bottles of ABHR positioned at points of care in each ward or given to staff </w:t>
      </w:r>
      <w:r w:rsidRPr="00D33FF2">
        <w:rPr>
          <w:rFonts w:cstheme="minorHAnsi"/>
        </w:rPr>
        <w:fldChar w:fldCharType="begin"/>
      </w:r>
      <w:r w:rsidRPr="00D33FF2">
        <w:rPr>
          <w:rFonts w:cstheme="minorHAnsi"/>
        </w:rPr>
        <w:instrText>ADDIN RW.CITE{{851 WHO 2009}}</w:instrText>
      </w:r>
      <w:r w:rsidRPr="00D33FF2">
        <w:rPr>
          <w:rFonts w:cstheme="minorHAnsi"/>
        </w:rPr>
        <w:fldChar w:fldCharType="separate"/>
      </w:r>
      <w:r w:rsidRPr="00A847B3">
        <w:rPr>
          <w:rFonts w:cstheme="minorHAnsi"/>
          <w:bCs/>
          <w:lang w:val="en-US"/>
        </w:rPr>
        <w:t>(WHO, 2009a)</w:t>
      </w:r>
      <w:r w:rsidRPr="00D33FF2">
        <w:rPr>
          <w:rFonts w:cstheme="minorHAnsi"/>
        </w:rPr>
        <w:fldChar w:fldCharType="end"/>
      </w:r>
      <w:r w:rsidRPr="00D33FF2">
        <w:rPr>
          <w:rFonts w:cstheme="minorHAnsi"/>
        </w:rPr>
        <w:t xml:space="preserve">. </w:t>
      </w:r>
      <w:r>
        <w:rPr>
          <w:rFonts w:cstheme="minorHAnsi"/>
        </w:rPr>
        <w:t>This is consistent with the limited data available relating to this.  U</w:t>
      </w:r>
      <w:r w:rsidRPr="00D33FF2">
        <w:rPr>
          <w:rFonts w:cstheme="minorHAnsi"/>
        </w:rPr>
        <w:t xml:space="preserve">navailability of hand hygiene facilities is markedly worse in developing countries, with only 6% of healthcare facilities having access to basic water and sanitation services </w:t>
      </w:r>
      <w:r w:rsidRPr="00D33FF2">
        <w:rPr>
          <w:rFonts w:cstheme="minorHAnsi"/>
        </w:rPr>
        <w:fldChar w:fldCharType="begin"/>
      </w:r>
      <w:r w:rsidRPr="00D33FF2">
        <w:rPr>
          <w:rFonts w:cstheme="minorHAnsi"/>
        </w:rPr>
        <w:instrText>ADDIN RW.CITE{{1444 NationalBureauofStatistics 2019}}</w:instrText>
      </w:r>
      <w:r w:rsidRPr="00D33FF2">
        <w:rPr>
          <w:rFonts w:cstheme="minorHAnsi"/>
        </w:rPr>
        <w:fldChar w:fldCharType="separate"/>
      </w:r>
      <w:r w:rsidRPr="00D33FF2">
        <w:rPr>
          <w:rFonts w:cstheme="minorHAnsi"/>
          <w:bCs/>
          <w:lang w:val="en-US"/>
        </w:rPr>
        <w:t>(National Bureau of Statistics, 2019)</w:t>
      </w:r>
      <w:r w:rsidRPr="00D33FF2">
        <w:rPr>
          <w:rFonts w:cstheme="minorHAnsi"/>
        </w:rPr>
        <w:fldChar w:fldCharType="end"/>
      </w:r>
      <w:r w:rsidRPr="00D33FF2">
        <w:rPr>
          <w:rFonts w:cstheme="minorHAnsi"/>
        </w:rPr>
        <w:t xml:space="preserve">. Hospitals in SSA countries are characterised by infrastructural deficit and poor positioning of hand hygiene resources </w:t>
      </w:r>
      <w:r w:rsidRPr="00D33FF2">
        <w:rPr>
          <w:rFonts w:cstheme="minorHAnsi"/>
        </w:rPr>
        <w:fldChar w:fldCharType="begin"/>
      </w:r>
      <w:r w:rsidRPr="00D33FF2">
        <w:rPr>
          <w:rFonts w:cstheme="minorHAnsi"/>
        </w:rPr>
        <w:instrText>ADDIN RW.CITE{{1485 Ataiyero,Yetunde 2019}}</w:instrText>
      </w:r>
      <w:r w:rsidRPr="00D33FF2">
        <w:rPr>
          <w:rFonts w:cstheme="minorHAnsi"/>
        </w:rPr>
        <w:fldChar w:fldCharType="separate"/>
      </w:r>
      <w:r w:rsidRPr="00D33FF2">
        <w:rPr>
          <w:rFonts w:ascii="Calibri" w:hAnsi="Calibri" w:cs="Calibri"/>
          <w:bCs/>
          <w:lang w:val="en-US"/>
        </w:rPr>
        <w:t>(Ataiyero et al., 2019)</w:t>
      </w:r>
      <w:r w:rsidRPr="00D33FF2">
        <w:rPr>
          <w:rFonts w:cstheme="minorHAnsi"/>
        </w:rPr>
        <w:fldChar w:fldCharType="end"/>
      </w:r>
      <w:r w:rsidRPr="00D33FF2">
        <w:rPr>
          <w:rFonts w:cstheme="minorHAnsi"/>
        </w:rPr>
        <w:t xml:space="preserve">. A survey of healthcare facilities in low- and middle-income countries found that 50% of the healthcare facilities lacked piped water while 39% lacked handwashing soap </w:t>
      </w:r>
      <w:r w:rsidRPr="00D33FF2">
        <w:rPr>
          <w:rFonts w:cstheme="minorHAnsi"/>
        </w:rPr>
        <w:fldChar w:fldCharType="begin"/>
      </w:r>
      <w:r w:rsidRPr="00D33FF2">
        <w:rPr>
          <w:rFonts w:cstheme="minorHAnsi"/>
        </w:rPr>
        <w:instrText>ADDIN RW.CITE{{1311 Cronk,Ryan 2018}}</w:instrText>
      </w:r>
      <w:r w:rsidRPr="00D33FF2">
        <w:rPr>
          <w:rFonts w:cstheme="minorHAnsi"/>
        </w:rPr>
        <w:fldChar w:fldCharType="separate"/>
      </w:r>
      <w:r w:rsidRPr="00D33FF2">
        <w:rPr>
          <w:rFonts w:cstheme="minorHAnsi"/>
          <w:bCs/>
          <w:lang w:val="en-US"/>
        </w:rPr>
        <w:t>(Cronk and Bartram, 2018)</w:t>
      </w:r>
      <w:r w:rsidRPr="00D33FF2">
        <w:rPr>
          <w:rFonts w:cstheme="minorHAnsi"/>
        </w:rPr>
        <w:fldChar w:fldCharType="end"/>
      </w:r>
      <w:r w:rsidRPr="00D33FF2">
        <w:rPr>
          <w:rFonts w:cstheme="minorHAnsi"/>
        </w:rPr>
        <w:t xml:space="preserve">. </w:t>
      </w:r>
    </w:p>
    <w:p w14:paraId="7CB9D961" w14:textId="77777777" w:rsidR="00B21E72" w:rsidRPr="00D33FF2" w:rsidRDefault="00B21E72" w:rsidP="00B21E72">
      <w:pPr>
        <w:spacing w:line="360" w:lineRule="auto"/>
      </w:pPr>
      <w:r w:rsidRPr="00D33FF2">
        <w:rPr>
          <w:rFonts w:cstheme="minorHAnsi"/>
        </w:rPr>
        <w:t>The insufficient hand hygiene resources might have influenced the hand hygiene compliance rates in this study as</w:t>
      </w:r>
      <w:r w:rsidRPr="00D33FF2">
        <w:t xml:space="preserve"> the overall compliance rate among surgical HCWs was 29.1%. Our findings are consistent with other studies conducted in both developing and developing countries. For instance, our recent review of studies from SSA countries that reported on compliance found an overall compliance rate of 21.1% </w:t>
      </w:r>
      <w:r w:rsidRPr="00D33FF2">
        <w:fldChar w:fldCharType="begin"/>
      </w:r>
      <w:r w:rsidRPr="00D33FF2">
        <w:instrText>ADDIN RW.CITE{{1485 Ataiyero,Yetunde 2019}}</w:instrText>
      </w:r>
      <w:r w:rsidRPr="00D33FF2">
        <w:fldChar w:fldCharType="separate"/>
      </w:r>
      <w:r w:rsidRPr="00D33FF2">
        <w:t>(Ataiyero et al., 2019)</w:t>
      </w:r>
      <w:r w:rsidRPr="00D33FF2">
        <w:fldChar w:fldCharType="end"/>
      </w:r>
      <w:r w:rsidRPr="00D33FF2">
        <w:t xml:space="preserve">. A large systematic review of studies from developed countries also reported less than 40% hand hygiene compliance rate </w:t>
      </w:r>
      <w:r w:rsidRPr="00D33FF2">
        <w:fldChar w:fldCharType="begin"/>
      </w:r>
      <w:r w:rsidRPr="00D33FF2">
        <w:instrText>ADDIN RW.CITE{{264 Erasmus,V. 2010}}</w:instrText>
      </w:r>
      <w:r w:rsidRPr="00D33FF2">
        <w:fldChar w:fldCharType="separate"/>
      </w:r>
      <w:r w:rsidRPr="00D33FF2">
        <w:t>(Erasmus et al., 2010)</w:t>
      </w:r>
      <w:r w:rsidRPr="00D33FF2">
        <w:fldChar w:fldCharType="end"/>
      </w:r>
      <w:r w:rsidRPr="00D33FF2">
        <w:t xml:space="preserve"> while a more recent systematic review which included 16 studies from both developed and developing countries also estimated an overall mean baseline compliance of 34.1% before interventions </w:t>
      </w:r>
      <w:r w:rsidRPr="00D33FF2">
        <w:fldChar w:fldCharType="begin"/>
      </w:r>
      <w:r w:rsidRPr="00D33FF2">
        <w:instrText>ADDIN RW.CITE{{220 Kingston,L. 2016}}</w:instrText>
      </w:r>
      <w:r w:rsidRPr="00D33FF2">
        <w:fldChar w:fldCharType="separate"/>
      </w:r>
      <w:r w:rsidRPr="00D33FF2">
        <w:rPr>
          <w:rFonts w:ascii="Calibri" w:hAnsi="Calibri" w:cs="Calibri"/>
          <w:bCs/>
          <w:lang w:val="en-US"/>
        </w:rPr>
        <w:t>(Kingston et al., 2016)</w:t>
      </w:r>
      <w:r w:rsidRPr="00D33FF2">
        <w:fldChar w:fldCharType="end"/>
      </w:r>
      <w:r w:rsidRPr="00D33FF2">
        <w:t xml:space="preserve">. Despite the infrastructural deficit and their poor positioning in SSA countries, compared to developed countries where hand hygiene facilities are abundant, hand hygiene compliance rates of </w:t>
      </w:r>
      <w:r>
        <w:t>HCWs</w:t>
      </w:r>
      <w:r w:rsidRPr="00D33FF2">
        <w:t xml:space="preserve"> in both </w:t>
      </w:r>
      <w:r>
        <w:t xml:space="preserve">developed and developing countries </w:t>
      </w:r>
      <w:r w:rsidRPr="00D33FF2">
        <w:t>are comparable.</w:t>
      </w:r>
    </w:p>
    <w:p w14:paraId="00D55B26" w14:textId="77777777" w:rsidR="00B21E72" w:rsidRPr="00D33FF2" w:rsidRDefault="00B21E72" w:rsidP="00B21E72">
      <w:pPr>
        <w:spacing w:line="360" w:lineRule="auto"/>
      </w:pPr>
      <w:r w:rsidRPr="00D33FF2">
        <w:t xml:space="preserve">We also found </w:t>
      </w:r>
      <w:r>
        <w:t>highe</w:t>
      </w:r>
      <w:r w:rsidRPr="00D33FF2">
        <w:t xml:space="preserve">r compliance among doctors (35.1%) than other professional groups (31.1% for nurses, 10.7% for </w:t>
      </w:r>
      <w:r>
        <w:t>healthcare assistants</w:t>
      </w:r>
      <w:r w:rsidRPr="00D33FF2">
        <w:t xml:space="preserve">). This is contrary to evidence from </w:t>
      </w:r>
      <w:r>
        <w:t>other</w:t>
      </w:r>
      <w:r w:rsidRPr="00D33FF2">
        <w:t xml:space="preserve"> countries where doctors were less likely to comply with hand hygiene guidelines when compared to other professional groups  </w:t>
      </w:r>
      <w:r w:rsidRPr="00D33FF2">
        <w:fldChar w:fldCharType="begin"/>
      </w:r>
      <w:r>
        <w:instrText>ADDIN RW.CITE{{264 Erasmus,V. 2010; 1227 Alshammari,Modhi 2018; 1225 Le,CamDung 2019}}</w:instrText>
      </w:r>
      <w:r w:rsidRPr="00D33FF2">
        <w:fldChar w:fldCharType="separate"/>
      </w:r>
      <w:r w:rsidRPr="003818EE">
        <w:t>(Alshammari et al., 2018; Erasmus et al., 2010; Le et al., 2019)</w:t>
      </w:r>
      <w:r w:rsidRPr="00D33FF2">
        <w:fldChar w:fldCharType="end"/>
      </w:r>
      <w:r w:rsidRPr="00D33FF2">
        <w:t xml:space="preserve">. Doctors’ </w:t>
      </w:r>
      <w:r>
        <w:t>high</w:t>
      </w:r>
      <w:r w:rsidRPr="00D33FF2">
        <w:t xml:space="preserve">er compliance may be attributed to differences in training between doctors and other professional </w:t>
      </w:r>
      <w:r w:rsidRPr="00D33FF2">
        <w:lastRenderedPageBreak/>
        <w:t xml:space="preserve">groups </w:t>
      </w:r>
      <w:r w:rsidRPr="00D33FF2">
        <w:fldChar w:fldCharType="begin"/>
      </w:r>
      <w:r w:rsidRPr="00D33FF2">
        <w:instrText>ADDIN RW.CITE{{1217 Sahay,S. 2010; 672 Holmen,IanC. 2016}}</w:instrText>
      </w:r>
      <w:r w:rsidRPr="00D33FF2">
        <w:fldChar w:fldCharType="separate"/>
      </w:r>
      <w:r w:rsidRPr="00D33FF2">
        <w:t>(Holmen et al., 2016; Sahay et al., 2010)</w:t>
      </w:r>
      <w:r w:rsidRPr="00D33FF2">
        <w:fldChar w:fldCharType="end"/>
      </w:r>
      <w:r w:rsidRPr="00D33FF2">
        <w:t xml:space="preserve">. In terms of </w:t>
      </w:r>
      <w:r>
        <w:t>seniority</w:t>
      </w:r>
      <w:r w:rsidRPr="00D33FF2">
        <w:t xml:space="preserve"> level, consultants were more compliant than residents, medical officers, and house officers; chief nursing officers were more compliant than assistant chief and senior nursing officers in our study. Our previous review established that the higher the level of a HCW in the profession, the more likely they have </w:t>
      </w:r>
      <w:r>
        <w:t>high</w:t>
      </w:r>
      <w:r w:rsidRPr="00D33FF2">
        <w:t xml:space="preserve">er hand hygiene practices </w:t>
      </w:r>
      <w:r w:rsidRPr="00D33FF2">
        <w:fldChar w:fldCharType="begin"/>
      </w:r>
      <w:r w:rsidRPr="00D33FF2">
        <w:instrText>ADDIN RW.CITE{{1485 Ataiyero,Yetunde 2019}}</w:instrText>
      </w:r>
      <w:r w:rsidRPr="00D33FF2">
        <w:fldChar w:fldCharType="separate"/>
      </w:r>
      <w:r w:rsidRPr="00D33FF2">
        <w:rPr>
          <w:rFonts w:ascii="Calibri" w:hAnsi="Calibri" w:cs="Calibri"/>
          <w:bCs/>
        </w:rPr>
        <w:t>(Ataiyero et al., 2019)</w:t>
      </w:r>
      <w:r w:rsidRPr="00D33FF2">
        <w:fldChar w:fldCharType="end"/>
      </w:r>
      <w:r w:rsidRPr="00D33FF2">
        <w:t xml:space="preserve">. This is consistent with the findings from other studies </w:t>
      </w:r>
      <w:r w:rsidRPr="00D33FF2">
        <w:fldChar w:fldCharType="begin"/>
      </w:r>
      <w:r w:rsidRPr="00D33FF2">
        <w:instrText>ADDIN RW.CITE{{298 Aiello,A.E. 2009; 312 Cantrell,D. 2009}}</w:instrText>
      </w:r>
      <w:r w:rsidRPr="00D33FF2">
        <w:fldChar w:fldCharType="separate"/>
      </w:r>
      <w:r w:rsidRPr="00D33FF2">
        <w:t>(Aiello et al., 2009; Cantrell et al., 2009)</w:t>
      </w:r>
      <w:r w:rsidRPr="00D33FF2">
        <w:fldChar w:fldCharType="end"/>
      </w:r>
      <w:r w:rsidRPr="00D33FF2">
        <w:t>.</w:t>
      </w:r>
    </w:p>
    <w:p w14:paraId="14166C7E" w14:textId="77777777" w:rsidR="00B21E72" w:rsidRPr="00114765" w:rsidRDefault="00B21E72" w:rsidP="00B21E72">
      <w:pPr>
        <w:spacing w:line="360" w:lineRule="auto"/>
      </w:pPr>
      <w:r w:rsidRPr="00D33FF2">
        <w:t>Compliance</w:t>
      </w:r>
      <w:bookmarkStart w:id="0" w:name="_Toc39243349"/>
      <w:r w:rsidRPr="00A0628F">
        <w:t xml:space="preserve"> rates were </w:t>
      </w:r>
      <w:r>
        <w:t>high</w:t>
      </w:r>
      <w:r w:rsidRPr="00D33FF2">
        <w:t>er</w:t>
      </w:r>
      <w:r w:rsidRPr="00A0628F">
        <w:t xml:space="preserve"> before performing aseptic procedures (66.7%) and when there is exposure to body fluids (78.5%) in this study. This finding has been previously reported</w:t>
      </w:r>
      <w:r w:rsidRPr="00D33FF2">
        <w:t xml:space="preserve"> in both developing </w:t>
      </w:r>
      <w:r w:rsidRPr="00D33FF2">
        <w:fldChar w:fldCharType="begin"/>
      </w:r>
      <w:r w:rsidRPr="00D33FF2">
        <w:instrText>ADDIN RW.CITE{{1485 Ataiyero,Yetunde 2019; 461 Alsubaie,Sarah 2013}}</w:instrText>
      </w:r>
      <w:r w:rsidRPr="00D33FF2">
        <w:fldChar w:fldCharType="separate"/>
      </w:r>
      <w:r w:rsidRPr="00D33FF2">
        <w:rPr>
          <w:rFonts w:ascii="Calibri" w:hAnsi="Calibri" w:cs="Calibri"/>
          <w:bCs/>
          <w:lang w:val="en-US"/>
        </w:rPr>
        <w:t>(Alsubaie et al., 2013; Ataiyero et al., 2019)</w:t>
      </w:r>
      <w:r w:rsidRPr="00D33FF2">
        <w:fldChar w:fldCharType="end"/>
      </w:r>
      <w:r w:rsidRPr="00D33FF2">
        <w:t xml:space="preserve"> and developed countries </w:t>
      </w:r>
      <w:r w:rsidRPr="00D33FF2">
        <w:fldChar w:fldCharType="begin"/>
      </w:r>
      <w:r>
        <w:instrText>ADDIN RW.CITE{{264 Erasmus,V. 2010; 334 Randle,J. 2010}}</w:instrText>
      </w:r>
      <w:r w:rsidRPr="00D33FF2">
        <w:fldChar w:fldCharType="separate"/>
      </w:r>
      <w:r w:rsidRPr="00707171">
        <w:t>(Erasmus et al., 2010; Randle et al., 2010)</w:t>
      </w:r>
      <w:r w:rsidRPr="00D33FF2">
        <w:fldChar w:fldCharType="end"/>
      </w:r>
      <w:r w:rsidRPr="00D33FF2">
        <w:t xml:space="preserve">, where </w:t>
      </w:r>
      <w:r>
        <w:t>HCWs</w:t>
      </w:r>
      <w:r w:rsidRPr="00D33FF2">
        <w:t xml:space="preserve"> increase </w:t>
      </w:r>
      <w:r w:rsidRPr="00A0628F">
        <w:t>compliance when there is high risk for infection, before aseptic procedures or when hands are visibly dirty</w:t>
      </w:r>
      <w:r w:rsidRPr="00D33FF2">
        <w:t>. Consequently, we found lower compliance rates</w:t>
      </w:r>
      <w:r w:rsidRPr="00A0628F">
        <w:t xml:space="preserve"> in other types of patient contact – before patient contact, after patient contact and after touching patient’s surroundings. Similar findings have been documented elsewhere </w:t>
      </w:r>
      <w:r w:rsidRPr="00A0628F">
        <w:fldChar w:fldCharType="begin"/>
      </w:r>
      <w:r>
        <w:instrText>ADDIN RW.CITE{{1229 Chavali,Siddharth 2014; 335 Randle,J. 2014}}</w:instrText>
      </w:r>
      <w:r w:rsidRPr="00A0628F">
        <w:fldChar w:fldCharType="separate"/>
      </w:r>
      <w:r w:rsidRPr="00707171">
        <w:t>(Chavali et al., 2014; Randle et al., 2014)</w:t>
      </w:r>
      <w:r w:rsidRPr="00A0628F">
        <w:fldChar w:fldCharType="end"/>
      </w:r>
      <w:r w:rsidRPr="00A43CC4">
        <w:t>.</w:t>
      </w:r>
      <w:r w:rsidRPr="00A0628F">
        <w:t xml:space="preserve"> The low compliance before patient contact might be explained by the strong belief of some </w:t>
      </w:r>
      <w:r>
        <w:t>HCWs</w:t>
      </w:r>
      <w:r w:rsidRPr="00A0628F">
        <w:t xml:space="preserve"> that hand hygiene practices are first to protect themselves before the patients </w:t>
      </w:r>
      <w:r w:rsidRPr="00A0628F">
        <w:fldChar w:fldCharType="begin"/>
      </w:r>
      <w:r w:rsidRPr="00A0628F">
        <w:instrText>ADDIN RW.CITE{{1229 Chavali,Siddharth 2014}}</w:instrText>
      </w:r>
      <w:r w:rsidRPr="00A0628F">
        <w:fldChar w:fldCharType="separate"/>
      </w:r>
      <w:r w:rsidRPr="00A0628F">
        <w:t>(Chavali et al., 2014)</w:t>
      </w:r>
      <w:r w:rsidRPr="00A0628F">
        <w:fldChar w:fldCharType="end"/>
      </w:r>
      <w:r w:rsidRPr="00A43CC4">
        <w:t xml:space="preserve">. </w:t>
      </w:r>
      <w:r w:rsidRPr="00A0628F">
        <w:t xml:space="preserve">A study found significantly lower hand hygiene compliance before touching urinary catheter than after </w:t>
      </w:r>
      <w:r w:rsidRPr="00A0628F">
        <w:fldChar w:fldCharType="begin"/>
      </w:r>
      <w:r w:rsidRPr="00A0628F">
        <w:instrText>ADDIN RW.CITE{{1331 Biswal,Manisha 2013}}</w:instrText>
      </w:r>
      <w:r w:rsidRPr="00A0628F">
        <w:fldChar w:fldCharType="separate"/>
      </w:r>
      <w:r w:rsidRPr="00A0628F">
        <w:t>(Biswal et al., 2013)</w:t>
      </w:r>
      <w:r w:rsidRPr="00A0628F">
        <w:fldChar w:fldCharType="end"/>
      </w:r>
      <w:r w:rsidRPr="00A43CC4">
        <w:t xml:space="preserve">. </w:t>
      </w:r>
      <w:r w:rsidRPr="00A0628F">
        <w:t xml:space="preserve">This behaviour might suggest that it is more important to control cross-contamination from patient to patient rather than preventing it which might have been informed by emphasis on infection control rather than prevention </w:t>
      </w:r>
      <w:r w:rsidRPr="00A0628F">
        <w:fldChar w:fldCharType="begin"/>
      </w:r>
      <w:r w:rsidRPr="00A0628F">
        <w:instrText>ADDIN RW.CITE{{1228 Jenner,E.A. 2006}}</w:instrText>
      </w:r>
      <w:r w:rsidRPr="00A0628F">
        <w:fldChar w:fldCharType="separate"/>
      </w:r>
      <w:r w:rsidRPr="00A0628F">
        <w:t>(Jenner et al., 2006)</w:t>
      </w:r>
      <w:r w:rsidRPr="00A0628F">
        <w:fldChar w:fldCharType="end"/>
      </w:r>
      <w:r w:rsidRPr="00A43CC4">
        <w:t>.</w:t>
      </w:r>
      <w:r>
        <w:t xml:space="preserve"> </w:t>
      </w:r>
      <w:r w:rsidRPr="00A0628F">
        <w:t xml:space="preserve">Poor hand hygiene compliance after touching patient’s surroundings might be due to poor risk perception for touching patient surfaces </w:t>
      </w:r>
      <w:r w:rsidRPr="00A0628F">
        <w:fldChar w:fldCharType="begin"/>
      </w:r>
      <w:r>
        <w:instrText>ADDIN RW.CITE{{1219 Fitzgerald,G. 2013}}</w:instrText>
      </w:r>
      <w:r w:rsidRPr="00A0628F">
        <w:fldChar w:fldCharType="separate"/>
      </w:r>
      <w:r w:rsidRPr="00707171">
        <w:t>(Fitzgerald et al., 2013)</w:t>
      </w:r>
      <w:r w:rsidRPr="00A0628F">
        <w:fldChar w:fldCharType="end"/>
      </w:r>
      <w:r w:rsidRPr="00A43CC4">
        <w:t xml:space="preserve">. It is likely HCWs believe person-to-person contact are significantly more likely to transmit pathogens than surface-to-person contact </w:t>
      </w:r>
      <w:r w:rsidRPr="00A0628F">
        <w:fldChar w:fldCharType="begin"/>
      </w:r>
      <w:r w:rsidRPr="00A0628F">
        <w:instrText>ADDIN RW.CITE{{1224 McLaughlin,AnneCollins 2013}}</w:instrText>
      </w:r>
      <w:r w:rsidRPr="00A0628F">
        <w:fldChar w:fldCharType="separate"/>
      </w:r>
      <w:r w:rsidRPr="00A0628F">
        <w:t>(McLaughlin et al., 2013)</w:t>
      </w:r>
      <w:r w:rsidRPr="00A0628F">
        <w:fldChar w:fldCharType="end"/>
      </w:r>
      <w:r w:rsidRPr="00A43CC4">
        <w:t xml:space="preserve">. HCWs need to be aware that cross contamination can occur at seemingly low risk </w:t>
      </w:r>
      <w:r w:rsidRPr="00114765">
        <w:t xml:space="preserve">activities </w:t>
      </w:r>
      <w:r w:rsidRPr="00114765">
        <w:fldChar w:fldCharType="begin"/>
      </w:r>
      <w:r w:rsidRPr="00114765">
        <w:instrText>ADDIN RW.CITE{{1219 Fitzgerald,G. 2013}}</w:instrText>
      </w:r>
      <w:r w:rsidRPr="00114765">
        <w:fldChar w:fldCharType="separate"/>
      </w:r>
      <w:r w:rsidRPr="00114765">
        <w:t>(Fitzgerald et al., 2013)</w:t>
      </w:r>
      <w:r w:rsidRPr="00114765">
        <w:fldChar w:fldCharType="end"/>
      </w:r>
      <w:r w:rsidRPr="00114765">
        <w:t xml:space="preserve">. </w:t>
      </w:r>
    </w:p>
    <w:p w14:paraId="3B4CCD48" w14:textId="77777777" w:rsidR="00B21E72" w:rsidRDefault="00B21E72" w:rsidP="00B21E72">
      <w:pPr>
        <w:spacing w:line="360" w:lineRule="auto"/>
        <w:rPr>
          <w:b/>
        </w:rPr>
      </w:pPr>
      <w:r w:rsidRPr="00114765">
        <w:t xml:space="preserve">Higher compliance in morning shifts in this study is contrary to findings from previous studies where higher compliance are observed in later shifts </w:t>
      </w:r>
      <w:sdt>
        <w:sdtPr>
          <w:rPr>
            <w:rFonts w:ascii="Calibri" w:hAnsi="Calibri" w:cs="Calibri"/>
            <w:color w:val="000000"/>
            <w:highlight w:val="white"/>
          </w:rPr>
          <w:alias w:val="Citation"/>
          <w:tag w:val="{&quot;referencesIds&quot;:[&quot;doc:606f1d258f08e6984dda9aa3&quot;],&quot;referencesOptions&quot;:{&quot;doc:606f1d258f08e6984dda9aa3&quot;:{&quot;author&quot;:true,&quot;year&quot;:true,&quot;pageReplace&quot;:&quot;&quot;,&quot;prefix&quot;:&quot;&quot;,&quot;suffix&quot;:&quot;&quot;}},&quot;hasBrokenReferences&quot;:false,&quot;hasManualEdits&quot;:false,&quot;citationType&quot;:&quot;inline&quot;,&quot;id&quot;:-1915927247,&quot;citationText&quot;:&quot;&lt;span style=\&quot;font-family:Calibri;font-size:14.666666666666666px;color:#000000\&quot;&gt;(Alsubaie et al., 2013)&lt;/span&gt;&quot;}"/>
          <w:id w:val="-1915927247"/>
          <w:placeholder>
            <w:docPart w:val="23B7E22600A441AFB9EC3423FB1F3FBA"/>
          </w:placeholder>
        </w:sdtPr>
        <w:sdtEndPr/>
        <w:sdtContent>
          <w:r>
            <w:rPr>
              <w:rFonts w:ascii="Calibri" w:eastAsia="Times New Roman" w:hAnsi="Calibri" w:cs="Calibri"/>
              <w:color w:val="000000"/>
            </w:rPr>
            <w:t>(</w:t>
          </w:r>
          <w:proofErr w:type="spellStart"/>
          <w:r>
            <w:rPr>
              <w:rFonts w:ascii="Calibri" w:eastAsia="Times New Roman" w:hAnsi="Calibri" w:cs="Calibri"/>
              <w:color w:val="000000"/>
            </w:rPr>
            <w:t>Alsubaie</w:t>
          </w:r>
          <w:proofErr w:type="spellEnd"/>
          <w:r>
            <w:rPr>
              <w:rFonts w:ascii="Calibri" w:eastAsia="Times New Roman" w:hAnsi="Calibri" w:cs="Calibri"/>
              <w:color w:val="000000"/>
            </w:rPr>
            <w:t xml:space="preserve"> et al., 2013)</w:t>
          </w:r>
        </w:sdtContent>
      </w:sdt>
      <w:r w:rsidRPr="00114765">
        <w:t xml:space="preserve">. However, this may be connected to performing more clinical procedures in the morning than later shifts. </w:t>
      </w:r>
      <w:r w:rsidRPr="00114765">
        <w:rPr>
          <w:rFonts w:cstheme="minorHAnsi"/>
        </w:rPr>
        <w:t xml:space="preserve">While Randle et al. (2010) argued that hand hygiene compliance is independent of the time of the day, some authors stated that HCWs are likely to practise hand hygiene more in evening shifts than the morning shifts </w:t>
      </w:r>
      <w:r w:rsidRPr="00114765">
        <w:rPr>
          <w:rFonts w:cstheme="minorHAnsi"/>
        </w:rPr>
        <w:fldChar w:fldCharType="begin"/>
      </w:r>
      <w:r w:rsidRPr="00114765">
        <w:rPr>
          <w:rFonts w:cstheme="minorHAnsi"/>
        </w:rPr>
        <w:instrText>ADDIN RW.CITE{{475 Duggan,J.M. 2008}}</w:instrText>
      </w:r>
      <w:r w:rsidRPr="00114765">
        <w:rPr>
          <w:rFonts w:cstheme="minorHAnsi"/>
        </w:rPr>
        <w:fldChar w:fldCharType="separate"/>
      </w:r>
      <w:r w:rsidRPr="00114765">
        <w:rPr>
          <w:rFonts w:cstheme="minorHAnsi"/>
          <w:bCs/>
          <w:lang w:val="en-US"/>
        </w:rPr>
        <w:t>(Duggan et al., 2008)</w:t>
      </w:r>
      <w:r w:rsidRPr="00114765">
        <w:rPr>
          <w:rFonts w:cstheme="minorHAnsi"/>
        </w:rPr>
        <w:fldChar w:fldCharType="end"/>
      </w:r>
      <w:r w:rsidRPr="00114765">
        <w:rPr>
          <w:rFonts w:cstheme="minorHAnsi"/>
        </w:rPr>
        <w:t>.</w:t>
      </w:r>
    </w:p>
    <w:p w14:paraId="0C6C0848" w14:textId="77777777" w:rsidR="00B21E72" w:rsidRPr="00A0628F" w:rsidRDefault="00B21E72" w:rsidP="00B21E72">
      <w:pPr>
        <w:pStyle w:val="Heading2"/>
        <w:numPr>
          <w:ilvl w:val="0"/>
          <w:numId w:val="0"/>
        </w:numPr>
        <w:ind w:left="576" w:hanging="576"/>
      </w:pPr>
      <w:r w:rsidRPr="00A0628F">
        <w:t xml:space="preserve">Strengths and </w:t>
      </w:r>
      <w:r>
        <w:t>L</w:t>
      </w:r>
      <w:r w:rsidRPr="00A0628F">
        <w:t>imitations</w:t>
      </w:r>
    </w:p>
    <w:p w14:paraId="2786681B" w14:textId="77777777" w:rsidR="00B21E72" w:rsidRPr="00A0628F" w:rsidRDefault="00B21E72" w:rsidP="00B21E72">
      <w:pPr>
        <w:spacing w:line="360" w:lineRule="auto"/>
      </w:pPr>
      <w:r w:rsidRPr="00A0628F">
        <w:t xml:space="preserve">To the best of our knowledge, this study is the first to assess the hand hygiene compliance rate of surgical HCWs in Nigeria. </w:t>
      </w:r>
      <w:r>
        <w:t xml:space="preserve">This is a contribution to knowledge bearing in mind the impact of SSI in SSA </w:t>
      </w:r>
      <w:r>
        <w:lastRenderedPageBreak/>
        <w:t>countries.</w:t>
      </w:r>
      <w:r w:rsidRPr="00A0628F">
        <w:t xml:space="preserve"> However, we identified some limitations.</w:t>
      </w:r>
      <w:r>
        <w:t xml:space="preserve"> </w:t>
      </w:r>
      <w:r w:rsidRPr="00A0628F">
        <w:t>Overt observations could have triggered Hawthorne effect whereby participants change their behaviours because of their awareness of being observed</w:t>
      </w:r>
      <w:r>
        <w:t xml:space="preserve"> </w:t>
      </w:r>
      <w:r>
        <w:fldChar w:fldCharType="begin"/>
      </w:r>
      <w:r>
        <w:instrText>ADDIN RW.CITE{{1477 McCambridge,Jim 2014}}</w:instrText>
      </w:r>
      <w:r>
        <w:fldChar w:fldCharType="separate"/>
      </w:r>
      <w:r w:rsidRPr="00976B54">
        <w:rPr>
          <w:rFonts w:ascii="Calibri" w:hAnsi="Calibri" w:cs="Calibri"/>
          <w:bCs/>
          <w:lang w:val="en-US"/>
        </w:rPr>
        <w:t>(McCambridge et al., 2014)</w:t>
      </w:r>
      <w:r>
        <w:fldChar w:fldCharType="end"/>
      </w:r>
      <w:r w:rsidRPr="007B77F4">
        <w:rPr>
          <w:color w:val="7030A0"/>
        </w:rPr>
        <w:t xml:space="preserve">. </w:t>
      </w:r>
      <w:r w:rsidRPr="00A0628F">
        <w:t xml:space="preserve">The study was conducted in short duration although a range of participants, performing different clinical procedures, during peak periods in morning and afternoon shifts wards were observed. </w:t>
      </w:r>
      <w:r w:rsidRPr="00A43CC4">
        <w:t xml:space="preserve">Though we observed a good number of hand hygiene opportunities, </w:t>
      </w:r>
      <w:r w:rsidRPr="00A0628F">
        <w:t>this study was conducted in just one hospital with only two surgical wards hence generalisation is limited.</w:t>
      </w:r>
    </w:p>
    <w:bookmarkEnd w:id="0"/>
    <w:p w14:paraId="6A54A541" w14:textId="77777777" w:rsidR="00B21E72" w:rsidRDefault="00B21E72" w:rsidP="00B21E72">
      <w:pPr>
        <w:pStyle w:val="Heading2"/>
        <w:numPr>
          <w:ilvl w:val="0"/>
          <w:numId w:val="0"/>
        </w:numPr>
        <w:ind w:left="576" w:hanging="576"/>
      </w:pPr>
      <w:r>
        <w:t>Recommendations</w:t>
      </w:r>
    </w:p>
    <w:p w14:paraId="4C549976" w14:textId="77777777" w:rsidR="00B21E72" w:rsidRPr="003417C9" w:rsidRDefault="00B21E72" w:rsidP="00B21E72">
      <w:pPr>
        <w:pStyle w:val="CommentText"/>
        <w:spacing w:line="360" w:lineRule="auto"/>
        <w:rPr>
          <w:sz w:val="22"/>
          <w:szCs w:val="22"/>
        </w:rPr>
      </w:pPr>
      <w:r w:rsidRPr="003417C9">
        <w:rPr>
          <w:sz w:val="22"/>
          <w:szCs w:val="22"/>
        </w:rPr>
        <w:t>We acknowledge that this study has not investigated factors associated with hand hygiene compliance in the study setting. However, based on observations made, we suggest improvements in provision of hand hygiene facilities/resources, encouragement and support from senior staff, on-the-job induction/training, and more illustrative posters and information around the ward on the importance and steps involved in hand hygiene practices.</w:t>
      </w:r>
      <w:r>
        <w:rPr>
          <w:sz w:val="22"/>
          <w:szCs w:val="22"/>
        </w:rPr>
        <w:t xml:space="preserve"> </w:t>
      </w:r>
    </w:p>
    <w:p w14:paraId="64901E74" w14:textId="77777777" w:rsidR="00B21E72" w:rsidRPr="00BD6996" w:rsidRDefault="00B21E72" w:rsidP="00B21E72">
      <w:pPr>
        <w:pStyle w:val="CommentText"/>
        <w:spacing w:line="360" w:lineRule="auto"/>
        <w:rPr>
          <w:sz w:val="22"/>
          <w:szCs w:val="22"/>
        </w:rPr>
      </w:pPr>
      <w:r w:rsidRPr="00BD6996">
        <w:rPr>
          <w:sz w:val="22"/>
          <w:szCs w:val="22"/>
        </w:rPr>
        <w:t xml:space="preserve">This study was conducted in a private teaching hospital where more hand hygiene resources are expected to be available. It would be interesting to assess the hand hygiene compliance rates in surgical wards of public hospitals. We recommend a multicentre study, using electronic monitoring systems for future </w:t>
      </w:r>
      <w:r w:rsidRPr="00114765">
        <w:rPr>
          <w:sz w:val="22"/>
          <w:szCs w:val="22"/>
        </w:rPr>
        <w:t>observational studies to accurately measure the hand hygiene compliance rates</w:t>
      </w:r>
      <w:r w:rsidRPr="00114765">
        <w:rPr>
          <w:rFonts w:cstheme="minorHAnsi"/>
          <w:sz w:val="22"/>
          <w:szCs w:val="22"/>
        </w:rPr>
        <w:t xml:space="preserve">. </w:t>
      </w:r>
      <w:r w:rsidRPr="00114765">
        <w:rPr>
          <w:sz w:val="22"/>
          <w:szCs w:val="22"/>
        </w:rPr>
        <w:t>We also suggest the design of regular hand hygiene audit programme, to be carried out by the Infection Prevention and Control staff for adequate monitoring of hand hygiene compliance rates.</w:t>
      </w:r>
    </w:p>
    <w:p w14:paraId="07ED3923" w14:textId="77777777" w:rsidR="00B21E72" w:rsidRPr="00A0628F" w:rsidRDefault="00B21E72" w:rsidP="00B21E72">
      <w:pPr>
        <w:pStyle w:val="Heading2"/>
        <w:numPr>
          <w:ilvl w:val="0"/>
          <w:numId w:val="0"/>
        </w:numPr>
        <w:ind w:left="576" w:hanging="576"/>
      </w:pPr>
      <w:r w:rsidRPr="00A0628F">
        <w:t xml:space="preserve">Acknowledgments </w:t>
      </w:r>
    </w:p>
    <w:p w14:paraId="32B5A3E5" w14:textId="77777777" w:rsidR="00B21E72" w:rsidRPr="00A0628F" w:rsidRDefault="00B21E72" w:rsidP="00B21E72">
      <w:pPr>
        <w:spacing w:line="360" w:lineRule="auto"/>
      </w:pPr>
      <w:r w:rsidRPr="00A0628F">
        <w:t>We thank all the HCWs that participated in this study.</w:t>
      </w:r>
    </w:p>
    <w:p w14:paraId="7D5D5A29" w14:textId="77777777" w:rsidR="00B21E72" w:rsidRPr="00A0628F" w:rsidRDefault="00B21E72" w:rsidP="00B21E72">
      <w:pPr>
        <w:pStyle w:val="Heading2"/>
        <w:numPr>
          <w:ilvl w:val="0"/>
          <w:numId w:val="0"/>
        </w:numPr>
        <w:ind w:left="576" w:hanging="576"/>
      </w:pPr>
      <w:r w:rsidRPr="00A0628F">
        <w:t>Declaration of Conflicting Interests</w:t>
      </w:r>
    </w:p>
    <w:p w14:paraId="0158CC29" w14:textId="77777777" w:rsidR="00B21E72" w:rsidRPr="00A0628F" w:rsidRDefault="00B21E72" w:rsidP="00B21E72">
      <w:pPr>
        <w:spacing w:line="360" w:lineRule="auto"/>
      </w:pPr>
      <w:r w:rsidRPr="00A0628F">
        <w:t>None declared.</w:t>
      </w:r>
      <w:r w:rsidRPr="00A0628F">
        <w:br w:type="page"/>
      </w:r>
    </w:p>
    <w:p w14:paraId="469CFEB6" w14:textId="77777777" w:rsidR="00B21E72" w:rsidRPr="00A43CC4" w:rsidRDefault="00B21E72" w:rsidP="00B21E72">
      <w:pPr>
        <w:pStyle w:val="Headingfrontmatter"/>
        <w:rPr>
          <w:lang w:val="en-GB"/>
        </w:rPr>
      </w:pPr>
      <w:r w:rsidRPr="00A43CC4">
        <w:rPr>
          <w:lang w:val="en-GB"/>
        </w:rPr>
        <w:lastRenderedPageBreak/>
        <w:t xml:space="preserve">References </w:t>
      </w:r>
    </w:p>
    <w:p w14:paraId="0FE46057" w14:textId="77777777" w:rsidR="00B21E72" w:rsidRPr="00F83A35" w:rsidRDefault="00B21E72" w:rsidP="00B21E72">
      <w:pPr>
        <w:pStyle w:val="NormalWeb"/>
        <w:rPr>
          <w:rFonts w:ascii="Calibri" w:hAnsi="Calibri" w:cs="Calibri"/>
          <w:sz w:val="22"/>
        </w:rPr>
      </w:pPr>
      <w:r>
        <w:fldChar w:fldCharType="begin"/>
      </w:r>
      <w:r>
        <w:instrText>ADDIN RW.BIB</w:instrText>
      </w:r>
      <w:r>
        <w:fldChar w:fldCharType="separate"/>
      </w:r>
      <w:r w:rsidRPr="00F83A35">
        <w:rPr>
          <w:rFonts w:ascii="Calibri" w:hAnsi="Calibri" w:cs="Calibri"/>
          <w:sz w:val="22"/>
        </w:rPr>
        <w:t xml:space="preserve">Aiello AE, Malinis M, Knapp JK and Mody L (2009) The influence of knowledge, perceptions, and beliefs, on hand hygiene practices in nursing homes. </w:t>
      </w:r>
      <w:r w:rsidRPr="00F83A35">
        <w:rPr>
          <w:rFonts w:ascii="Calibri" w:hAnsi="Calibri" w:cs="Calibri"/>
          <w:i/>
          <w:iCs/>
          <w:sz w:val="22"/>
        </w:rPr>
        <w:t>American Journal of Hospital Infection Control.</w:t>
      </w:r>
      <w:r w:rsidRPr="00F83A35">
        <w:rPr>
          <w:rFonts w:ascii="Calibri" w:hAnsi="Calibri" w:cs="Calibri"/>
          <w:sz w:val="22"/>
        </w:rPr>
        <w:t xml:space="preserve"> 37(2): 164-167.</w:t>
      </w:r>
    </w:p>
    <w:p w14:paraId="4750AED7"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Allegranzi B, Nejad SB and Pittet D (2017) The Burden of Healthcare-Associated Infection. In: Pittet D, Boyce JM and Allegranzi B (eds) </w:t>
      </w:r>
      <w:r w:rsidRPr="00F83A35">
        <w:rPr>
          <w:rFonts w:ascii="Calibri" w:hAnsi="Calibri" w:cs="Calibri"/>
          <w:i/>
          <w:iCs/>
          <w:sz w:val="22"/>
        </w:rPr>
        <w:t xml:space="preserve">Hand Hygiene. </w:t>
      </w:r>
      <w:r w:rsidRPr="00F83A35">
        <w:rPr>
          <w:rFonts w:ascii="Calibri" w:hAnsi="Calibri" w:cs="Calibri"/>
          <w:sz w:val="22"/>
        </w:rPr>
        <w:t>, 1-7.</w:t>
      </w:r>
    </w:p>
    <w:p w14:paraId="7D5041A6"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Alshammari M, Reynolds KA, Verhougstraete M and O'Rourke MK (2018) Comparison of Perceived and Observed Hand Hygiene Compliance in Healthcare Workers in MERS-CoV Endemic Regions. </w:t>
      </w:r>
      <w:r w:rsidRPr="00F83A35">
        <w:rPr>
          <w:rFonts w:ascii="Calibri" w:hAnsi="Calibri" w:cs="Calibri"/>
          <w:i/>
          <w:iCs/>
          <w:sz w:val="22"/>
        </w:rPr>
        <w:t>Healthcare (Basel, Switzerland)</w:t>
      </w:r>
      <w:r w:rsidRPr="00F83A35">
        <w:rPr>
          <w:rFonts w:ascii="Calibri" w:hAnsi="Calibri" w:cs="Calibri"/>
          <w:sz w:val="22"/>
        </w:rPr>
        <w:t xml:space="preserve"> 6(4).</w:t>
      </w:r>
    </w:p>
    <w:p w14:paraId="0AF36B74"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Alsubaie S, Maither Ab, Alalmaei W, Al-Shammari A, Tashkandi M, Somily AM, et al. (2013) Determinants of hand hygiene noncompliance in intensive care units. </w:t>
      </w:r>
      <w:r w:rsidRPr="00F83A35">
        <w:rPr>
          <w:rFonts w:ascii="Calibri" w:hAnsi="Calibri" w:cs="Calibri"/>
          <w:i/>
          <w:iCs/>
          <w:sz w:val="22"/>
        </w:rPr>
        <w:t>American Journal of Infection Control</w:t>
      </w:r>
      <w:r w:rsidRPr="00F83A35">
        <w:rPr>
          <w:rFonts w:ascii="Calibri" w:hAnsi="Calibri" w:cs="Calibri"/>
          <w:sz w:val="22"/>
        </w:rPr>
        <w:t xml:space="preserve"> 41(2): 131-135.</w:t>
      </w:r>
    </w:p>
    <w:p w14:paraId="376DF537"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Ataiyero Y, Dyson J and Graham M (2019) Barriers to hand hygiene practices among health care workers in sub-Saharan African countries: A narrative review. </w:t>
      </w:r>
      <w:r w:rsidRPr="00F83A35">
        <w:rPr>
          <w:rFonts w:ascii="Calibri" w:hAnsi="Calibri" w:cs="Calibri"/>
          <w:i/>
          <w:iCs/>
          <w:sz w:val="22"/>
        </w:rPr>
        <w:t>American Journal of Infection Control</w:t>
      </w:r>
      <w:r w:rsidRPr="00F83A35">
        <w:rPr>
          <w:rFonts w:ascii="Calibri" w:hAnsi="Calibri" w:cs="Calibri"/>
          <w:sz w:val="22"/>
        </w:rPr>
        <w:t xml:space="preserve"> 47(5): 565-573.</w:t>
      </w:r>
    </w:p>
    <w:p w14:paraId="1065220A"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Biswal M, Singh NV, Kaur R, Sebastian T, Dolkar R, Appananavar SB, et al. (2013) Adherence to hand hygiene in high-risk units of a tertiary care hospital in India. </w:t>
      </w:r>
      <w:r w:rsidRPr="00F83A35">
        <w:rPr>
          <w:rFonts w:ascii="Calibri" w:hAnsi="Calibri" w:cs="Calibri"/>
          <w:i/>
          <w:iCs/>
          <w:sz w:val="22"/>
        </w:rPr>
        <w:t>American Journal of Infection Control</w:t>
      </w:r>
      <w:r w:rsidRPr="00F83A35">
        <w:rPr>
          <w:rFonts w:ascii="Calibri" w:hAnsi="Calibri" w:cs="Calibri"/>
          <w:sz w:val="22"/>
        </w:rPr>
        <w:t xml:space="preserve"> 41(11): 1114-1115.</w:t>
      </w:r>
    </w:p>
    <w:p w14:paraId="12D7920F"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Cantrell D, Shamriz O, Cohen MJ, Stern Z, Block C and Brezis M (2009) Hand hygiene compliance by physicians: marked heterogeneity due to local culture? . </w:t>
      </w:r>
      <w:r w:rsidRPr="00F83A35">
        <w:rPr>
          <w:rFonts w:ascii="Calibri" w:hAnsi="Calibri" w:cs="Calibri"/>
          <w:i/>
          <w:iCs/>
          <w:sz w:val="22"/>
        </w:rPr>
        <w:t>American Journal of Infection Control</w:t>
      </w:r>
      <w:r w:rsidRPr="00F83A35">
        <w:rPr>
          <w:rFonts w:ascii="Calibri" w:hAnsi="Calibri" w:cs="Calibri"/>
          <w:sz w:val="22"/>
        </w:rPr>
        <w:t xml:space="preserve"> 37(4): 301-305.</w:t>
      </w:r>
    </w:p>
    <w:p w14:paraId="730AF44E"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Chavali S, Menon V and Shukla U (2014) Hand hygiene compliance among healthcare workers in an accredited tertiary care hospital. </w:t>
      </w:r>
      <w:r w:rsidRPr="00F83A35">
        <w:rPr>
          <w:rFonts w:ascii="Calibri" w:hAnsi="Calibri" w:cs="Calibri"/>
          <w:i/>
          <w:iCs/>
          <w:sz w:val="22"/>
        </w:rPr>
        <w:t>Indian Journal of Critical Care Medicine</w:t>
      </w:r>
      <w:r w:rsidRPr="00F83A35">
        <w:rPr>
          <w:rFonts w:ascii="Calibri" w:hAnsi="Calibri" w:cs="Calibri"/>
          <w:sz w:val="22"/>
        </w:rPr>
        <w:t xml:space="preserve"> 18(10): 689-693.</w:t>
      </w:r>
    </w:p>
    <w:p w14:paraId="064B50A5"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Chu K, Maine R and Trelles M (2015) Cesarean section surgical site infections in sub-Saharan Africa: a multi-country study from Medecins Sans Frontieres. </w:t>
      </w:r>
      <w:r w:rsidRPr="00F83A35">
        <w:rPr>
          <w:rFonts w:ascii="Calibri" w:hAnsi="Calibri" w:cs="Calibri"/>
          <w:i/>
          <w:iCs/>
          <w:sz w:val="22"/>
        </w:rPr>
        <w:t>World Journal of Surgery</w:t>
      </w:r>
      <w:r w:rsidRPr="00F83A35">
        <w:rPr>
          <w:rFonts w:ascii="Calibri" w:hAnsi="Calibri" w:cs="Calibri"/>
          <w:sz w:val="22"/>
        </w:rPr>
        <w:t xml:space="preserve"> 39(2): 350-355.</w:t>
      </w:r>
    </w:p>
    <w:p w14:paraId="12618A9C"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Cronk R and Bartram J (2018) Environmental conditions in health care facilities in low- and middle-income countries: Coverage and inequalities. </w:t>
      </w:r>
      <w:r w:rsidRPr="00F83A35">
        <w:rPr>
          <w:rFonts w:ascii="Calibri" w:hAnsi="Calibri" w:cs="Calibri"/>
          <w:i/>
          <w:iCs/>
          <w:sz w:val="22"/>
        </w:rPr>
        <w:t>International Journal of Hygiene and Environmental Health</w:t>
      </w:r>
      <w:r w:rsidRPr="00F83A35">
        <w:rPr>
          <w:rFonts w:ascii="Calibri" w:hAnsi="Calibri" w:cs="Calibri"/>
          <w:sz w:val="22"/>
        </w:rPr>
        <w:t xml:space="preserve"> 221(3): 409-422.</w:t>
      </w:r>
    </w:p>
    <w:p w14:paraId="430F2CC8"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Devnani M, Kumar R, Sharma RK and Gupta AK (2011) A survey of hand-washing facilities in the outpatient department of a tertiary care teaching hospital in India. </w:t>
      </w:r>
      <w:r w:rsidRPr="00F83A35">
        <w:rPr>
          <w:rFonts w:ascii="Calibri" w:hAnsi="Calibri" w:cs="Calibri"/>
          <w:i/>
          <w:iCs/>
          <w:sz w:val="22"/>
        </w:rPr>
        <w:t>Journal of Infection in Developing Countries</w:t>
      </w:r>
      <w:r w:rsidRPr="00F83A35">
        <w:rPr>
          <w:rFonts w:ascii="Calibri" w:hAnsi="Calibri" w:cs="Calibri"/>
          <w:sz w:val="22"/>
        </w:rPr>
        <w:t xml:space="preserve"> 5(2): 114-118.</w:t>
      </w:r>
    </w:p>
    <w:p w14:paraId="3835D1A5" w14:textId="77777777" w:rsidR="00B21E72" w:rsidRDefault="00B21E72" w:rsidP="00B21E72">
      <w:pPr>
        <w:pStyle w:val="NormalWeb"/>
        <w:rPr>
          <w:rFonts w:ascii="Calibri" w:hAnsi="Calibri" w:cs="Calibri"/>
          <w:sz w:val="22"/>
        </w:rPr>
      </w:pPr>
      <w:r w:rsidRPr="00F83A35">
        <w:rPr>
          <w:rFonts w:ascii="Calibri" w:hAnsi="Calibri" w:cs="Calibri"/>
          <w:sz w:val="22"/>
        </w:rPr>
        <w:t xml:space="preserve">Dixit D, Hagtvedt R, Reay T, Ballermann M and Forgie S (2012) Attitudes and beliefs about hand hygiene among paediatric residents: a qualitative study. </w:t>
      </w:r>
      <w:r w:rsidRPr="00F83A35">
        <w:rPr>
          <w:rFonts w:ascii="Calibri" w:hAnsi="Calibri" w:cs="Calibri"/>
          <w:i/>
          <w:iCs/>
          <w:sz w:val="22"/>
        </w:rPr>
        <w:t>BMJ Open</w:t>
      </w:r>
      <w:r w:rsidRPr="00F83A35">
        <w:rPr>
          <w:rFonts w:ascii="Calibri" w:hAnsi="Calibri" w:cs="Calibri"/>
          <w:sz w:val="22"/>
        </w:rPr>
        <w:t xml:space="preserve"> 2(6).</w:t>
      </w:r>
      <w:r>
        <w:rPr>
          <w:rFonts w:ascii="Calibri" w:hAnsi="Calibri" w:cs="Calibri"/>
          <w:sz w:val="22"/>
        </w:rPr>
        <w:t xml:space="preserve"> </w:t>
      </w:r>
    </w:p>
    <w:p w14:paraId="03B86A62" w14:textId="77777777" w:rsidR="00B21E72" w:rsidRPr="00FF119B" w:rsidRDefault="00B21E72" w:rsidP="00B21E72">
      <w:pPr>
        <w:pStyle w:val="NormalWeb"/>
        <w:rPr>
          <w:rFonts w:asciiTheme="minorHAnsi" w:hAnsiTheme="minorHAnsi" w:cstheme="minorHAnsi"/>
          <w:sz w:val="22"/>
          <w:szCs w:val="22"/>
        </w:rPr>
      </w:pPr>
      <w:r w:rsidRPr="00FF119B">
        <w:rPr>
          <w:rFonts w:asciiTheme="minorHAnsi" w:hAnsiTheme="minorHAnsi" w:cstheme="minorHAnsi"/>
          <w:sz w:val="22"/>
          <w:szCs w:val="22"/>
          <w:shd w:val="clear" w:color="auto" w:fill="FFFFFF"/>
        </w:rPr>
        <w:t>Duggan JM, Hensley S, Khuder S, Papadimos TJ and Jacobs L (2008) Inverse correlation between level of professional education and rate of handwashing compliance in a teaching hospital. </w:t>
      </w:r>
      <w:r w:rsidRPr="00FF119B">
        <w:rPr>
          <w:rFonts w:asciiTheme="minorHAnsi" w:hAnsiTheme="minorHAnsi" w:cstheme="minorHAnsi"/>
          <w:i/>
          <w:iCs/>
          <w:sz w:val="22"/>
          <w:szCs w:val="22"/>
          <w:shd w:val="clear" w:color="auto" w:fill="FFFFFF"/>
        </w:rPr>
        <w:t>Infection Control &amp; Hospital Epidemiology</w:t>
      </w:r>
      <w:r w:rsidRPr="00FF119B">
        <w:rPr>
          <w:rFonts w:asciiTheme="minorHAnsi" w:hAnsiTheme="minorHAnsi" w:cstheme="minorHAnsi"/>
          <w:sz w:val="22"/>
          <w:szCs w:val="22"/>
          <w:shd w:val="clear" w:color="auto" w:fill="FFFFFF"/>
        </w:rPr>
        <w:t> 29(6): 534-538.</w:t>
      </w:r>
    </w:p>
    <w:p w14:paraId="54D5D0FF" w14:textId="77777777" w:rsidR="00B21E72" w:rsidRPr="00F83A35" w:rsidRDefault="00B21E72" w:rsidP="00B21E72">
      <w:pPr>
        <w:pStyle w:val="NormalWeb"/>
        <w:rPr>
          <w:rFonts w:ascii="Calibri" w:hAnsi="Calibri" w:cs="Calibri"/>
          <w:sz w:val="22"/>
        </w:rPr>
      </w:pPr>
      <w:r w:rsidRPr="00F83A35">
        <w:rPr>
          <w:rFonts w:ascii="Calibri" w:hAnsi="Calibri" w:cs="Calibri"/>
          <w:sz w:val="22"/>
        </w:rPr>
        <w:lastRenderedPageBreak/>
        <w:t xml:space="preserve">Erasmus V, Daha TJ, Brug H, Richardus JH, Behrendt MD, Vos MC, et al. (2010) Systematic review of studies on compliance with hand hygiene guidelines in hospital care. </w:t>
      </w:r>
      <w:r w:rsidRPr="00F83A35">
        <w:rPr>
          <w:rFonts w:ascii="Calibri" w:hAnsi="Calibri" w:cs="Calibri"/>
          <w:i/>
          <w:iCs/>
          <w:sz w:val="22"/>
        </w:rPr>
        <w:t>Infection Control &amp; Hospital Epidemiology</w:t>
      </w:r>
      <w:r w:rsidRPr="00F83A35">
        <w:rPr>
          <w:rFonts w:ascii="Calibri" w:hAnsi="Calibri" w:cs="Calibri"/>
          <w:sz w:val="22"/>
        </w:rPr>
        <w:t xml:space="preserve"> 31(3): 283-294 12p.</w:t>
      </w:r>
    </w:p>
    <w:p w14:paraId="29BFA499"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Fitzgerald G, Moore G and Wilson APR (2013) </w:t>
      </w:r>
      <w:r w:rsidRPr="00F83A35">
        <w:rPr>
          <w:rFonts w:ascii="Calibri" w:hAnsi="Calibri" w:cs="Calibri"/>
          <w:i/>
          <w:iCs/>
          <w:sz w:val="22"/>
        </w:rPr>
        <w:t xml:space="preserve">Hand Hygiene After Touching a Patient's Surroundings: The Opportunities most Commonly Missed. </w:t>
      </w:r>
      <w:r w:rsidRPr="00F83A35">
        <w:rPr>
          <w:rFonts w:ascii="Calibri" w:hAnsi="Calibri" w:cs="Calibri"/>
          <w:sz w:val="22"/>
        </w:rPr>
        <w:t>Philadelphia, Pennsylvania: W B Saunders.</w:t>
      </w:r>
    </w:p>
    <w:p w14:paraId="381A52E1"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Graf K, Chaberny IF and Vonberg R (2011)  Beliefs about hand hygiene: A survey in medical students in their first clinical year. </w:t>
      </w:r>
      <w:r w:rsidRPr="00F83A35">
        <w:rPr>
          <w:rFonts w:ascii="Calibri" w:hAnsi="Calibri" w:cs="Calibri"/>
          <w:i/>
          <w:iCs/>
          <w:sz w:val="22"/>
        </w:rPr>
        <w:t>American Journal of Infection Control.</w:t>
      </w:r>
      <w:r w:rsidRPr="00F83A35">
        <w:rPr>
          <w:rFonts w:ascii="Calibri" w:hAnsi="Calibri" w:cs="Calibri"/>
          <w:sz w:val="22"/>
        </w:rPr>
        <w:t xml:space="preserve"> 39(19): 885-888.</w:t>
      </w:r>
    </w:p>
    <w:p w14:paraId="64EA5EA6"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Holmen IC, Seneza C, Nyiranzayisaba B, Nyiringabo V, Bienfait M and Safdar N (2016) Improving Hand Hygiene Practices in a Rural Hospital in Sub-Saharan Africa. </w:t>
      </w:r>
      <w:r w:rsidRPr="00F83A35">
        <w:rPr>
          <w:rFonts w:ascii="Calibri" w:hAnsi="Calibri" w:cs="Calibri"/>
          <w:i/>
          <w:iCs/>
          <w:sz w:val="22"/>
        </w:rPr>
        <w:t>Infection Control and Hospital Epidemiology</w:t>
      </w:r>
      <w:r w:rsidRPr="00F83A35">
        <w:rPr>
          <w:rFonts w:ascii="Calibri" w:hAnsi="Calibri" w:cs="Calibri"/>
          <w:sz w:val="22"/>
        </w:rPr>
        <w:t xml:space="preserve"> 37(7): 834-839.</w:t>
      </w:r>
    </w:p>
    <w:p w14:paraId="0E3DE923"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Ige OK, Adesanmi AA and Asuzu MC (2011) Hospital-acquired infections in a Nigerian tertiary health facility: An audit of surveillance reports. </w:t>
      </w:r>
      <w:r w:rsidRPr="00F83A35">
        <w:rPr>
          <w:rFonts w:ascii="Calibri" w:hAnsi="Calibri" w:cs="Calibri"/>
          <w:i/>
          <w:iCs/>
          <w:sz w:val="22"/>
        </w:rPr>
        <w:t>Nigerian Medical Journal</w:t>
      </w:r>
      <w:r w:rsidRPr="00F83A35">
        <w:rPr>
          <w:rFonts w:ascii="Calibri" w:hAnsi="Calibri" w:cs="Calibri"/>
          <w:sz w:val="22"/>
        </w:rPr>
        <w:t xml:space="preserve"> 52(4): 239-243.</w:t>
      </w:r>
    </w:p>
    <w:p w14:paraId="7825AD97"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Iliyasu G, Dayyab FM, Abubakar S, Inuwa S, Tambuwal SH, Tiamiyu AB, et al. (2018) Laboratory-confirmed hospital-acquired infections: An analysis of a hospital's surveillance data in Nigeria. </w:t>
      </w:r>
      <w:r w:rsidRPr="00F83A35">
        <w:rPr>
          <w:rFonts w:ascii="Calibri" w:hAnsi="Calibri" w:cs="Calibri"/>
          <w:i/>
          <w:iCs/>
          <w:sz w:val="22"/>
        </w:rPr>
        <w:t>Heliyon</w:t>
      </w:r>
      <w:r w:rsidRPr="00F83A35">
        <w:rPr>
          <w:rFonts w:ascii="Calibri" w:hAnsi="Calibri" w:cs="Calibri"/>
          <w:sz w:val="22"/>
        </w:rPr>
        <w:t xml:space="preserve"> 4(8): e00720.</w:t>
      </w:r>
    </w:p>
    <w:p w14:paraId="58817DCE"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Jenner EA, Fletcher B, Watson P, Jones FA, Miller L and Scott GM (2006) Discrepancy between self-reported and observed hand hygiene behaviour in healthcare professionals. </w:t>
      </w:r>
      <w:r w:rsidRPr="00F83A35">
        <w:rPr>
          <w:rFonts w:ascii="Calibri" w:hAnsi="Calibri" w:cs="Calibri"/>
          <w:i/>
          <w:iCs/>
          <w:sz w:val="22"/>
        </w:rPr>
        <w:t>Journal of Hospital Infection</w:t>
      </w:r>
      <w:r w:rsidRPr="00F83A35">
        <w:rPr>
          <w:rFonts w:ascii="Calibri" w:hAnsi="Calibri" w:cs="Calibri"/>
          <w:sz w:val="22"/>
        </w:rPr>
        <w:t xml:space="preserve"> 63(4): 418-422.</w:t>
      </w:r>
    </w:p>
    <w:p w14:paraId="7AC41CBA"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Kingston L, O'Connell NH, Dunne CP and O'Connell,N.H. (2016) Hand hygiene-related clinical trials reported since 2010: a systematic review. </w:t>
      </w:r>
      <w:r w:rsidRPr="00F83A35">
        <w:rPr>
          <w:rFonts w:ascii="Calibri" w:hAnsi="Calibri" w:cs="Calibri"/>
          <w:i/>
          <w:iCs/>
          <w:sz w:val="22"/>
        </w:rPr>
        <w:t>Journal of Hospital Infection</w:t>
      </w:r>
      <w:r w:rsidRPr="00F83A35">
        <w:rPr>
          <w:rFonts w:ascii="Calibri" w:hAnsi="Calibri" w:cs="Calibri"/>
          <w:sz w:val="22"/>
        </w:rPr>
        <w:t xml:space="preserve"> 92(4): 309-320 12p.</w:t>
      </w:r>
    </w:p>
    <w:p w14:paraId="508F040E"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Le CD, Lehman EB, Nguyen TH and Craig TJ (2019) Hand Hygiene Compliance Study at a Large Central Hospital in Vietnam. </w:t>
      </w:r>
      <w:r w:rsidRPr="00F83A35">
        <w:rPr>
          <w:rFonts w:ascii="Calibri" w:hAnsi="Calibri" w:cs="Calibri"/>
          <w:i/>
          <w:iCs/>
          <w:sz w:val="22"/>
        </w:rPr>
        <w:t>International Journal of Environmental Research and Public Health</w:t>
      </w:r>
      <w:r w:rsidRPr="00F83A35">
        <w:rPr>
          <w:rFonts w:ascii="Calibri" w:hAnsi="Calibri" w:cs="Calibri"/>
          <w:sz w:val="22"/>
        </w:rPr>
        <w:t xml:space="preserve"> 16(4).</w:t>
      </w:r>
    </w:p>
    <w:p w14:paraId="199B69ED"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McCambridge J, Witton J and Elbourne DR (2014) Systematic review of the Hawthorne effect: new concepts are needed to study research participation effects. </w:t>
      </w:r>
      <w:r w:rsidRPr="00F83A35">
        <w:rPr>
          <w:rFonts w:ascii="Calibri" w:hAnsi="Calibri" w:cs="Calibri"/>
          <w:i/>
          <w:iCs/>
          <w:sz w:val="22"/>
        </w:rPr>
        <w:t>Journal of Clinical Epidemiology</w:t>
      </w:r>
      <w:r w:rsidRPr="00F83A35">
        <w:rPr>
          <w:rFonts w:ascii="Calibri" w:hAnsi="Calibri" w:cs="Calibri"/>
          <w:sz w:val="22"/>
        </w:rPr>
        <w:t xml:space="preserve"> 67(3): 267-277.</w:t>
      </w:r>
    </w:p>
    <w:p w14:paraId="7A3B5E98"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McLaughlin AC, Walsh F and Bryant M (2013) Effects of knowledge and internal locus of control in groups of health care workers judging likelihood of pathogen transfer. </w:t>
      </w:r>
      <w:r w:rsidRPr="00F83A35">
        <w:rPr>
          <w:rFonts w:ascii="Calibri" w:hAnsi="Calibri" w:cs="Calibri"/>
          <w:i/>
          <w:iCs/>
          <w:sz w:val="22"/>
        </w:rPr>
        <w:t>Human Factors</w:t>
      </w:r>
      <w:r w:rsidRPr="00F83A35">
        <w:rPr>
          <w:rFonts w:ascii="Calibri" w:hAnsi="Calibri" w:cs="Calibri"/>
          <w:sz w:val="22"/>
        </w:rPr>
        <w:t xml:space="preserve"> 55(4): 803-814.</w:t>
      </w:r>
    </w:p>
    <w:p w14:paraId="52A8E195"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National Bureau of Statistics (2019) </w:t>
      </w:r>
      <w:r w:rsidRPr="00F83A35">
        <w:rPr>
          <w:rFonts w:ascii="Calibri" w:hAnsi="Calibri" w:cs="Calibri"/>
          <w:i/>
          <w:iCs/>
          <w:sz w:val="22"/>
        </w:rPr>
        <w:t xml:space="preserve">National Outcome Routine Mapping of Water, Sanitation and Hygiene Service Levels Nigeria: Summary of Survey Findings 2018. </w:t>
      </w:r>
      <w:r w:rsidRPr="00F83A35">
        <w:rPr>
          <w:rFonts w:ascii="Calibri" w:hAnsi="Calibri" w:cs="Calibri"/>
          <w:sz w:val="22"/>
        </w:rPr>
        <w:t>Nigeria: National Bureau of Statistics.</w:t>
      </w:r>
    </w:p>
    <w:p w14:paraId="33E2EE6A"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Olowo-Okere A, Ibrahim YKE, Olayinka BO and Ehinmidu JO (2019) Epidemiology of surgical site infections in Nigeria: A systematic review and meta-analysis. </w:t>
      </w:r>
      <w:r w:rsidRPr="00F83A35">
        <w:rPr>
          <w:rFonts w:ascii="Calibri" w:hAnsi="Calibri" w:cs="Calibri"/>
          <w:i/>
          <w:iCs/>
          <w:sz w:val="22"/>
        </w:rPr>
        <w:t>The Nigerian Postgraduate Medical Journal</w:t>
      </w:r>
      <w:r w:rsidRPr="00F83A35">
        <w:rPr>
          <w:rFonts w:ascii="Calibri" w:hAnsi="Calibri" w:cs="Calibri"/>
          <w:sz w:val="22"/>
        </w:rPr>
        <w:t xml:space="preserve"> 26(3): 143-151.</w:t>
      </w:r>
    </w:p>
    <w:p w14:paraId="23E137D2"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Randle J, Arthur A and Vaughan N (2010)  Twenty-four-hour observational study of hospital hand hygiene compliance. . </w:t>
      </w:r>
      <w:r w:rsidRPr="00F83A35">
        <w:rPr>
          <w:rFonts w:ascii="Calibri" w:hAnsi="Calibri" w:cs="Calibri"/>
          <w:i/>
          <w:iCs/>
          <w:sz w:val="22"/>
        </w:rPr>
        <w:t>Journal of Hospital Infection</w:t>
      </w:r>
      <w:r w:rsidRPr="00F83A35">
        <w:rPr>
          <w:rFonts w:ascii="Calibri" w:hAnsi="Calibri" w:cs="Calibri"/>
          <w:sz w:val="22"/>
        </w:rPr>
        <w:t xml:space="preserve"> 76(3): 252-255.</w:t>
      </w:r>
    </w:p>
    <w:p w14:paraId="12272891" w14:textId="77777777" w:rsidR="00B21E72" w:rsidRPr="00F83A35" w:rsidRDefault="00B21E72" w:rsidP="00B21E72">
      <w:pPr>
        <w:pStyle w:val="NormalWeb"/>
        <w:rPr>
          <w:rFonts w:ascii="Calibri" w:hAnsi="Calibri" w:cs="Calibri"/>
          <w:sz w:val="22"/>
        </w:rPr>
      </w:pPr>
      <w:r w:rsidRPr="00F83A35">
        <w:rPr>
          <w:rFonts w:ascii="Calibri" w:hAnsi="Calibri" w:cs="Calibri"/>
          <w:sz w:val="22"/>
        </w:rPr>
        <w:lastRenderedPageBreak/>
        <w:t xml:space="preserve">Randle J, Arthur A, Vaughan N, Wharrad H and Windle R (2014)  An observational study of hand hygiene adherence following the introduction of an education intervention. . </w:t>
      </w:r>
      <w:r w:rsidRPr="00F83A35">
        <w:rPr>
          <w:rFonts w:ascii="Calibri" w:hAnsi="Calibri" w:cs="Calibri"/>
          <w:i/>
          <w:iCs/>
          <w:sz w:val="22"/>
        </w:rPr>
        <w:t>Journal of Infection Prevention.</w:t>
      </w:r>
      <w:r w:rsidRPr="00F83A35">
        <w:rPr>
          <w:rFonts w:ascii="Calibri" w:hAnsi="Calibri" w:cs="Calibri"/>
          <w:sz w:val="22"/>
        </w:rPr>
        <w:t xml:space="preserve"> 15(4): 142-147.</w:t>
      </w:r>
    </w:p>
    <w:p w14:paraId="034BFBC6"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Rosenthal VD (2011) </w:t>
      </w:r>
      <w:r w:rsidRPr="00F83A35">
        <w:rPr>
          <w:rFonts w:ascii="Calibri" w:hAnsi="Calibri" w:cs="Calibri"/>
          <w:i/>
          <w:iCs/>
          <w:sz w:val="22"/>
        </w:rPr>
        <w:t xml:space="preserve">Health-Care-Associated Infections in Developing Countries. </w:t>
      </w:r>
    </w:p>
    <w:p w14:paraId="15069E25" w14:textId="77777777" w:rsidR="00B21E72" w:rsidRPr="00F83A35" w:rsidRDefault="00B21E72" w:rsidP="00B21E72">
      <w:pPr>
        <w:pStyle w:val="NormalWeb"/>
        <w:rPr>
          <w:rFonts w:ascii="Calibri" w:hAnsi="Calibri" w:cs="Calibri"/>
          <w:sz w:val="22"/>
        </w:rPr>
      </w:pPr>
      <w:r w:rsidRPr="00F83A35">
        <w:rPr>
          <w:rFonts w:ascii="Calibri" w:hAnsi="Calibri" w:cs="Calibri"/>
          <w:sz w:val="22"/>
        </w:rPr>
        <w:t xml:space="preserve">Sahay S, Panja S, Ray S and Rao B (2010) Diurnal variation in hand hygiene compliance in a tertiary level multidisciplinary intensive care unit. </w:t>
      </w:r>
      <w:r w:rsidRPr="00F83A35">
        <w:rPr>
          <w:rFonts w:ascii="Calibri" w:hAnsi="Calibri" w:cs="Calibri"/>
          <w:i/>
          <w:iCs/>
          <w:sz w:val="22"/>
        </w:rPr>
        <w:t>American Journal of Infection Control</w:t>
      </w:r>
      <w:r w:rsidRPr="00F83A35">
        <w:rPr>
          <w:rFonts w:ascii="Calibri" w:hAnsi="Calibri" w:cs="Calibri"/>
          <w:sz w:val="22"/>
        </w:rPr>
        <w:t xml:space="preserve"> 38(7): 535-539.</w:t>
      </w:r>
    </w:p>
    <w:p w14:paraId="39EDA24C" w14:textId="77777777" w:rsidR="00B21E72" w:rsidRPr="00F83A35" w:rsidRDefault="00B21E72" w:rsidP="00B21E72">
      <w:pPr>
        <w:pStyle w:val="NormalWeb"/>
        <w:rPr>
          <w:rFonts w:ascii="Calibri" w:hAnsi="Calibri" w:cs="Calibri"/>
          <w:sz w:val="22"/>
        </w:rPr>
      </w:pPr>
      <w:r w:rsidRPr="00F83A35">
        <w:rPr>
          <w:rFonts w:ascii="Calibri" w:hAnsi="Calibri" w:cs="Calibri"/>
          <w:sz w:val="22"/>
        </w:rPr>
        <w:t>W</w:t>
      </w:r>
      <w:r>
        <w:rPr>
          <w:rFonts w:ascii="Calibri" w:hAnsi="Calibri" w:cs="Calibri"/>
          <w:sz w:val="22"/>
        </w:rPr>
        <w:t xml:space="preserve">orld Health </w:t>
      </w:r>
      <w:r w:rsidRPr="00F83A35">
        <w:rPr>
          <w:rFonts w:ascii="Calibri" w:hAnsi="Calibri" w:cs="Calibri"/>
          <w:sz w:val="22"/>
        </w:rPr>
        <w:t>O</w:t>
      </w:r>
      <w:r>
        <w:rPr>
          <w:rFonts w:ascii="Calibri" w:hAnsi="Calibri" w:cs="Calibri"/>
          <w:sz w:val="22"/>
        </w:rPr>
        <w:t>rganisation</w:t>
      </w:r>
      <w:r w:rsidRPr="00F83A35">
        <w:rPr>
          <w:rFonts w:ascii="Calibri" w:hAnsi="Calibri" w:cs="Calibri"/>
          <w:sz w:val="22"/>
        </w:rPr>
        <w:t xml:space="preserve"> (2009a) </w:t>
      </w:r>
      <w:r w:rsidRPr="00F83A35">
        <w:rPr>
          <w:rFonts w:ascii="Calibri" w:hAnsi="Calibri" w:cs="Calibri"/>
          <w:i/>
          <w:iCs/>
          <w:sz w:val="22"/>
        </w:rPr>
        <w:t xml:space="preserve">WHO Guidelines on Hand Hygiene in Health Care: First Global Patient Safety Challenge Clean Care is Safer Care. </w:t>
      </w:r>
      <w:r w:rsidRPr="00F83A35">
        <w:rPr>
          <w:rFonts w:ascii="Calibri" w:hAnsi="Calibri" w:cs="Calibri"/>
          <w:sz w:val="22"/>
        </w:rPr>
        <w:t>Geneva: World Health Organisation.</w:t>
      </w:r>
    </w:p>
    <w:p w14:paraId="6C781892" w14:textId="6FF7CADA" w:rsidR="000E5AF5" w:rsidRDefault="00B21E72" w:rsidP="00B21E72">
      <w:pPr>
        <w:pStyle w:val="NormalWeb"/>
      </w:pPr>
      <w:r w:rsidRPr="00F83A35">
        <w:rPr>
          <w:rFonts w:ascii="Calibri" w:hAnsi="Calibri" w:cs="Calibri"/>
          <w:sz w:val="22"/>
        </w:rPr>
        <w:t>W</w:t>
      </w:r>
      <w:r>
        <w:rPr>
          <w:rFonts w:ascii="Calibri" w:hAnsi="Calibri" w:cs="Calibri"/>
          <w:sz w:val="22"/>
        </w:rPr>
        <w:t xml:space="preserve">orld </w:t>
      </w:r>
      <w:r w:rsidRPr="00F83A35">
        <w:rPr>
          <w:rFonts w:ascii="Calibri" w:hAnsi="Calibri" w:cs="Calibri"/>
          <w:sz w:val="22"/>
        </w:rPr>
        <w:t>H</w:t>
      </w:r>
      <w:r>
        <w:rPr>
          <w:rFonts w:ascii="Calibri" w:hAnsi="Calibri" w:cs="Calibri"/>
          <w:sz w:val="22"/>
        </w:rPr>
        <w:t xml:space="preserve">ealth </w:t>
      </w:r>
      <w:r w:rsidRPr="00F83A35">
        <w:rPr>
          <w:rFonts w:ascii="Calibri" w:hAnsi="Calibri" w:cs="Calibri"/>
          <w:sz w:val="22"/>
        </w:rPr>
        <w:t>O</w:t>
      </w:r>
      <w:r>
        <w:rPr>
          <w:rFonts w:ascii="Calibri" w:hAnsi="Calibri" w:cs="Calibri"/>
          <w:sz w:val="22"/>
        </w:rPr>
        <w:t>rganisation</w:t>
      </w:r>
      <w:r w:rsidRPr="00F83A35">
        <w:rPr>
          <w:rFonts w:ascii="Calibri" w:hAnsi="Calibri" w:cs="Calibri"/>
          <w:sz w:val="22"/>
        </w:rPr>
        <w:t xml:space="preserve"> (2009b) </w:t>
      </w:r>
      <w:r w:rsidRPr="00F83A35">
        <w:rPr>
          <w:rFonts w:ascii="Calibri" w:hAnsi="Calibri" w:cs="Calibri"/>
          <w:i/>
          <w:iCs/>
          <w:sz w:val="22"/>
        </w:rPr>
        <w:t xml:space="preserve">Tools for Evaluation and Feedback: Ward Infrastructure Survey. </w:t>
      </w:r>
      <w:r>
        <w:fldChar w:fldCharType="end"/>
      </w:r>
      <w:r>
        <w:rPr>
          <w:vanish/>
        </w:rPr>
        <w:t>stylefix</w:t>
      </w:r>
    </w:p>
    <w:p w14:paraId="102DFEF1" w14:textId="77777777" w:rsidR="000E5AF5" w:rsidRDefault="000E5AF5">
      <w:pPr>
        <w:rPr>
          <w:rFonts w:ascii="Times New Roman" w:eastAsiaTheme="minorEastAsia" w:hAnsi="Times New Roman" w:cs="Times New Roman"/>
          <w:sz w:val="24"/>
          <w:szCs w:val="24"/>
          <w:lang w:eastAsia="en-GB"/>
        </w:rPr>
      </w:pPr>
      <w:r>
        <w:br w:type="page"/>
      </w:r>
    </w:p>
    <w:p w14:paraId="5F671536" w14:textId="77777777" w:rsidR="000E5AF5" w:rsidRDefault="000E5AF5" w:rsidP="000E5AF5">
      <w:pPr>
        <w:keepNext/>
        <w:spacing w:line="360" w:lineRule="auto"/>
      </w:pPr>
      <w:r w:rsidRPr="00A43CC4">
        <w:rPr>
          <w:rFonts w:cstheme="minorHAnsi"/>
          <w:noProof/>
          <w:szCs w:val="24"/>
          <w:lang w:eastAsia="en-GB"/>
        </w:rPr>
        <w:lastRenderedPageBreak/>
        <w:drawing>
          <wp:inline distT="0" distB="0" distL="0" distR="0" wp14:anchorId="61E99C03" wp14:editId="5A12FFAC">
            <wp:extent cx="6077235" cy="7442071"/>
            <wp:effectExtent l="0" t="0" r="0" b="6985"/>
            <wp:docPr id="2" name="Picture 2" descr="A picture containing indoor,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flo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5378" cy="7954122"/>
                    </a:xfrm>
                    <a:prstGeom prst="rect">
                      <a:avLst/>
                    </a:prstGeom>
                    <a:noFill/>
                    <a:ln>
                      <a:noFill/>
                    </a:ln>
                  </pic:spPr>
                </pic:pic>
              </a:graphicData>
            </a:graphic>
          </wp:inline>
        </w:drawing>
      </w:r>
    </w:p>
    <w:p w14:paraId="10A5ABC9" w14:textId="77777777" w:rsidR="000E5AF5" w:rsidRDefault="000E5AF5" w:rsidP="000E5AF5">
      <w:pPr>
        <w:pStyle w:val="Caption"/>
      </w:pPr>
      <w:r>
        <w:t xml:space="preserve">Image </w:t>
      </w:r>
      <w:fldSimple w:instr=" SEQ Figure \* ARABIC ">
        <w:r>
          <w:rPr>
            <w:noProof/>
          </w:rPr>
          <w:t>1</w:t>
        </w:r>
      </w:fldSimple>
      <w:r>
        <w:t>: Handwashing sink area in female surgical ward (with a small hand hygiene poster above the sink and some buckets and bowls for water storage)</w:t>
      </w:r>
    </w:p>
    <w:p w14:paraId="3EBBF877" w14:textId="77777777" w:rsidR="000E5AF5" w:rsidRDefault="000E5AF5" w:rsidP="000E5AF5">
      <w:pPr>
        <w:rPr>
          <w:rFonts w:ascii="Tahoma" w:hAnsi="Tahoma"/>
        </w:rPr>
      </w:pPr>
    </w:p>
    <w:p w14:paraId="4C37BAC8" w14:textId="77777777" w:rsidR="000E5AF5" w:rsidRDefault="000E5AF5" w:rsidP="000E5AF5">
      <w:pPr>
        <w:keepNext/>
        <w:spacing w:line="360" w:lineRule="auto"/>
      </w:pPr>
      <w:r w:rsidRPr="00A43CC4">
        <w:rPr>
          <w:i/>
          <w:iCs/>
          <w:noProof/>
          <w:color w:val="44546A" w:themeColor="text2"/>
          <w:sz w:val="18"/>
          <w:szCs w:val="18"/>
          <w:lang w:eastAsia="en-GB"/>
        </w:rPr>
        <w:lastRenderedPageBreak/>
        <w:drawing>
          <wp:inline distT="0" distB="0" distL="0" distR="0" wp14:anchorId="25E7487F" wp14:editId="34D4EFE7">
            <wp:extent cx="5957887" cy="8418742"/>
            <wp:effectExtent l="0" t="0" r="5080" b="190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696" cy="8524450"/>
                    </a:xfrm>
                    <a:prstGeom prst="rect">
                      <a:avLst/>
                    </a:prstGeom>
                    <a:noFill/>
                    <a:ln>
                      <a:noFill/>
                    </a:ln>
                  </pic:spPr>
                </pic:pic>
              </a:graphicData>
            </a:graphic>
          </wp:inline>
        </w:drawing>
      </w:r>
    </w:p>
    <w:p w14:paraId="1105646C" w14:textId="77777777" w:rsidR="000E5AF5" w:rsidRDefault="000E5AF5" w:rsidP="000E5AF5">
      <w:pPr>
        <w:pStyle w:val="Caption"/>
      </w:pPr>
      <w:r>
        <w:t xml:space="preserve">Image </w:t>
      </w:r>
      <w:fldSimple w:instr=" SEQ Figure \* ARABIC ">
        <w:r>
          <w:rPr>
            <w:noProof/>
          </w:rPr>
          <w:t>2</w:t>
        </w:r>
      </w:fldSimple>
      <w:r>
        <w:rPr>
          <w:noProof/>
        </w:rPr>
        <w:t>:</w:t>
      </w:r>
      <w:r>
        <w:t xml:space="preserve"> Handwashing poster</w:t>
      </w:r>
      <w:r>
        <w:rPr>
          <w:noProof/>
        </w:rPr>
        <w:t xml:space="preserve"> in female surgical ward</w:t>
      </w:r>
    </w:p>
    <w:p w14:paraId="16EA4DF1" w14:textId="77777777" w:rsidR="000E5AF5" w:rsidRDefault="000E5AF5" w:rsidP="000E5AF5">
      <w:pPr>
        <w:keepNext/>
        <w:spacing w:line="360" w:lineRule="auto"/>
      </w:pPr>
      <w:r w:rsidRPr="00A43CC4">
        <w:rPr>
          <w:rFonts w:cstheme="minorHAnsi"/>
          <w:noProof/>
          <w:szCs w:val="24"/>
          <w:lang w:eastAsia="en-GB"/>
        </w:rPr>
        <w:lastRenderedPageBreak/>
        <w:drawing>
          <wp:inline distT="0" distB="0" distL="0" distR="0" wp14:anchorId="68043A7F" wp14:editId="05450237">
            <wp:extent cx="5741789" cy="6188451"/>
            <wp:effectExtent l="0" t="0" r="0" b="3175"/>
            <wp:docPr id="5" name="Picture 5" descr="A picture containing sitting, blue, small,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S 2-1.jpg"/>
                    <pic:cNvPicPr/>
                  </pic:nvPicPr>
                  <pic:blipFill>
                    <a:blip r:embed="rId13">
                      <a:extLst>
                        <a:ext uri="{28A0092B-C50C-407E-A947-70E740481C1C}">
                          <a14:useLocalDpi xmlns:a14="http://schemas.microsoft.com/office/drawing/2010/main" val="0"/>
                        </a:ext>
                      </a:extLst>
                    </a:blip>
                    <a:stretch>
                      <a:fillRect/>
                    </a:stretch>
                  </pic:blipFill>
                  <pic:spPr>
                    <a:xfrm>
                      <a:off x="0" y="0"/>
                      <a:ext cx="5741789" cy="6188451"/>
                    </a:xfrm>
                    <a:prstGeom prst="rect">
                      <a:avLst/>
                    </a:prstGeom>
                  </pic:spPr>
                </pic:pic>
              </a:graphicData>
            </a:graphic>
          </wp:inline>
        </w:drawing>
      </w:r>
    </w:p>
    <w:p w14:paraId="35BCCDB3" w14:textId="77777777" w:rsidR="000E5AF5" w:rsidRPr="00F3352F" w:rsidRDefault="000E5AF5" w:rsidP="000E5AF5">
      <w:pPr>
        <w:pStyle w:val="Caption"/>
        <w:rPr>
          <w:rFonts w:cstheme="minorHAnsi"/>
          <w:szCs w:val="24"/>
        </w:rPr>
      </w:pPr>
      <w:r>
        <w:t>Image 3: Handwashing sink area in male surgical ward (with some bucket and bowl for water storage)</w:t>
      </w:r>
    </w:p>
    <w:p w14:paraId="272C19E1" w14:textId="77777777" w:rsidR="000E5AF5" w:rsidRDefault="000E5AF5" w:rsidP="000E5AF5">
      <w:pPr>
        <w:rPr>
          <w:rFonts w:ascii="Tahoma" w:hAnsi="Tahoma"/>
        </w:rPr>
      </w:pPr>
    </w:p>
    <w:p w14:paraId="739B8BB6" w14:textId="77777777" w:rsidR="000E5AF5" w:rsidRDefault="000E5AF5">
      <w:pPr>
        <w:rPr>
          <w:iCs/>
          <w:sz w:val="20"/>
          <w:szCs w:val="18"/>
        </w:rPr>
      </w:pPr>
      <w:r>
        <w:br w:type="page"/>
      </w:r>
    </w:p>
    <w:p w14:paraId="63EB4ACD" w14:textId="07CD8CB4" w:rsidR="000E5AF5" w:rsidRDefault="000E5AF5" w:rsidP="000E5AF5">
      <w:pPr>
        <w:pStyle w:val="Caption"/>
        <w:keepNext/>
      </w:pPr>
      <w:r>
        <w:lastRenderedPageBreak/>
        <w:t xml:space="preserve">Table </w:t>
      </w:r>
      <w:fldSimple w:instr=" SEQ Table \* ARABIC ">
        <w:r>
          <w:rPr>
            <w:noProof/>
          </w:rPr>
          <w:t>1</w:t>
        </w:r>
      </w:fldSimple>
      <w:r>
        <w:t xml:space="preserve"> </w:t>
      </w:r>
      <w:r w:rsidRPr="00BF201C">
        <w:t>Hand Hygiene Compliance Rate according to Professional Group, based on the Five Moments of Hand Hygiene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80"/>
        <w:gridCol w:w="1805"/>
        <w:gridCol w:w="1805"/>
        <w:gridCol w:w="1821"/>
        <w:gridCol w:w="2005"/>
      </w:tblGrid>
      <w:tr w:rsidR="000E5AF5" w:rsidRPr="00F3352F" w14:paraId="54678B29" w14:textId="77777777" w:rsidTr="001D2177">
        <w:trPr>
          <w:trHeight w:val="281"/>
          <w:tblHeader/>
        </w:trPr>
        <w:tc>
          <w:tcPr>
            <w:tcW w:w="5000" w:type="pct"/>
            <w:gridSpan w:val="5"/>
            <w:shd w:val="clear" w:color="auto" w:fill="BFBFBF" w:themeFill="background1" w:themeFillShade="BF"/>
          </w:tcPr>
          <w:p w14:paraId="54A18B3D" w14:textId="77777777" w:rsidR="000E5AF5" w:rsidRPr="00F3352F" w:rsidRDefault="000E5AF5" w:rsidP="001D2177">
            <w:pPr>
              <w:pStyle w:val="Tabletext"/>
              <w:rPr>
                <w:b/>
                <w:bCs/>
              </w:rPr>
            </w:pPr>
            <w:r w:rsidRPr="00F3352F">
              <w:rPr>
                <w:b/>
                <w:bCs/>
              </w:rPr>
              <w:t>Hand Hygiene Compliance Rate according to Professional Group, based on the Five Moments of Hand Hygiene</w:t>
            </w:r>
          </w:p>
        </w:tc>
      </w:tr>
      <w:tr w:rsidR="000E5AF5" w:rsidRPr="00F3352F" w14:paraId="209318E0" w14:textId="77777777" w:rsidTr="001D2177">
        <w:trPr>
          <w:trHeight w:val="281"/>
          <w:tblHeader/>
        </w:trPr>
        <w:tc>
          <w:tcPr>
            <w:tcW w:w="876" w:type="pct"/>
            <w:shd w:val="clear" w:color="auto" w:fill="B4C6E7" w:themeFill="accent1" w:themeFillTint="66"/>
          </w:tcPr>
          <w:p w14:paraId="2352823B" w14:textId="77777777" w:rsidR="000E5AF5" w:rsidRPr="00F3352F" w:rsidRDefault="000E5AF5" w:rsidP="001D2177">
            <w:pPr>
              <w:pStyle w:val="Tabletext"/>
              <w:rPr>
                <w:b/>
                <w:bCs/>
              </w:rPr>
            </w:pPr>
            <w:r w:rsidRPr="00F3352F">
              <w:rPr>
                <w:b/>
                <w:bCs/>
              </w:rPr>
              <w:t>My 5 Moments of Hand Hygiene</w:t>
            </w:r>
          </w:p>
        </w:tc>
        <w:tc>
          <w:tcPr>
            <w:tcW w:w="1001" w:type="pct"/>
            <w:shd w:val="clear" w:color="auto" w:fill="B4C6E7" w:themeFill="accent1" w:themeFillTint="66"/>
          </w:tcPr>
          <w:p w14:paraId="2F5ADF36" w14:textId="77777777" w:rsidR="000E5AF5" w:rsidRPr="00F3352F" w:rsidRDefault="000E5AF5" w:rsidP="001D2177">
            <w:pPr>
              <w:pStyle w:val="Tabletext"/>
              <w:rPr>
                <w:b/>
                <w:bCs/>
              </w:rPr>
            </w:pPr>
            <w:r w:rsidRPr="00F3352F">
              <w:rPr>
                <w:b/>
                <w:bCs/>
              </w:rPr>
              <w:t>Overall</w:t>
            </w:r>
          </w:p>
          <w:p w14:paraId="4C31E2EC" w14:textId="77777777" w:rsidR="000E5AF5" w:rsidRPr="00F3352F" w:rsidRDefault="000E5AF5" w:rsidP="001D2177">
            <w:pPr>
              <w:pStyle w:val="Tabletext"/>
              <w:rPr>
                <w:b/>
                <w:bCs/>
              </w:rPr>
            </w:pPr>
            <w:r w:rsidRPr="00F3352F">
              <w:rPr>
                <w:b/>
                <w:bCs/>
              </w:rPr>
              <w:t>(Opportunities, Compliance (n, %)</w:t>
            </w:r>
          </w:p>
        </w:tc>
        <w:tc>
          <w:tcPr>
            <w:tcW w:w="1001" w:type="pct"/>
            <w:shd w:val="clear" w:color="auto" w:fill="B4C6E7" w:themeFill="accent1" w:themeFillTint="66"/>
          </w:tcPr>
          <w:p w14:paraId="30DB5C70" w14:textId="77777777" w:rsidR="000E5AF5" w:rsidRPr="00F3352F" w:rsidRDefault="000E5AF5" w:rsidP="001D2177">
            <w:pPr>
              <w:pStyle w:val="Tabletext"/>
              <w:rPr>
                <w:b/>
                <w:bCs/>
              </w:rPr>
            </w:pPr>
            <w:r w:rsidRPr="00F3352F">
              <w:rPr>
                <w:b/>
                <w:bCs/>
              </w:rPr>
              <w:t>Nurses (Opportunities, Compliance (n, %)</w:t>
            </w:r>
          </w:p>
        </w:tc>
        <w:tc>
          <w:tcPr>
            <w:tcW w:w="1010" w:type="pct"/>
            <w:shd w:val="clear" w:color="auto" w:fill="B4C6E7" w:themeFill="accent1" w:themeFillTint="66"/>
          </w:tcPr>
          <w:p w14:paraId="6A761352" w14:textId="77777777" w:rsidR="000E5AF5" w:rsidRPr="00F3352F" w:rsidRDefault="000E5AF5" w:rsidP="001D2177">
            <w:pPr>
              <w:pStyle w:val="Tabletext"/>
              <w:rPr>
                <w:b/>
                <w:bCs/>
              </w:rPr>
            </w:pPr>
            <w:r w:rsidRPr="00F3352F">
              <w:rPr>
                <w:b/>
                <w:bCs/>
              </w:rPr>
              <w:t>Doctors (Opportunities, Compliance (n, %)</w:t>
            </w:r>
          </w:p>
        </w:tc>
        <w:tc>
          <w:tcPr>
            <w:tcW w:w="1112" w:type="pct"/>
            <w:shd w:val="clear" w:color="auto" w:fill="B4C6E7" w:themeFill="accent1" w:themeFillTint="66"/>
          </w:tcPr>
          <w:p w14:paraId="4ED01A70" w14:textId="77777777" w:rsidR="000E5AF5" w:rsidRPr="00F3352F" w:rsidRDefault="000E5AF5" w:rsidP="001D2177">
            <w:pPr>
              <w:pStyle w:val="Tabletext"/>
              <w:rPr>
                <w:b/>
                <w:bCs/>
              </w:rPr>
            </w:pPr>
            <w:r>
              <w:rPr>
                <w:b/>
                <w:bCs/>
              </w:rPr>
              <w:t>Healthcare assistants</w:t>
            </w:r>
            <w:r w:rsidRPr="00F3352F">
              <w:rPr>
                <w:b/>
                <w:bCs/>
              </w:rPr>
              <w:t xml:space="preserve"> (Opportunities, Compliance (n, %)</w:t>
            </w:r>
          </w:p>
        </w:tc>
      </w:tr>
      <w:tr w:rsidR="000E5AF5" w:rsidRPr="00F3352F" w14:paraId="5841162B" w14:textId="77777777" w:rsidTr="001D2177">
        <w:trPr>
          <w:trHeight w:val="70"/>
        </w:trPr>
        <w:tc>
          <w:tcPr>
            <w:tcW w:w="876" w:type="pct"/>
            <w:shd w:val="clear" w:color="auto" w:fill="FFFFFF" w:themeFill="background1"/>
          </w:tcPr>
          <w:p w14:paraId="462E0937" w14:textId="77777777" w:rsidR="000E5AF5" w:rsidRPr="00F3352F" w:rsidRDefault="000E5AF5" w:rsidP="001D2177">
            <w:pPr>
              <w:pStyle w:val="Tabletext"/>
            </w:pPr>
            <w:r w:rsidRPr="00F3352F">
              <w:t>Before patient contact</w:t>
            </w:r>
          </w:p>
        </w:tc>
        <w:tc>
          <w:tcPr>
            <w:tcW w:w="1001" w:type="pct"/>
            <w:shd w:val="clear" w:color="auto" w:fill="FFFFFF" w:themeFill="background1"/>
          </w:tcPr>
          <w:p w14:paraId="6F245387" w14:textId="77777777" w:rsidR="000E5AF5" w:rsidRPr="00F3352F" w:rsidRDefault="000E5AF5" w:rsidP="001D2177">
            <w:pPr>
              <w:pStyle w:val="Tabletext"/>
            </w:pPr>
            <w:r w:rsidRPr="00F3352F">
              <w:t>224 (20.5)</w:t>
            </w:r>
          </w:p>
        </w:tc>
        <w:tc>
          <w:tcPr>
            <w:tcW w:w="1001" w:type="pct"/>
            <w:shd w:val="clear" w:color="auto" w:fill="FFFFFF" w:themeFill="background1"/>
          </w:tcPr>
          <w:p w14:paraId="5FA545FF" w14:textId="77777777" w:rsidR="000E5AF5" w:rsidRPr="00F3352F" w:rsidRDefault="000E5AF5" w:rsidP="001D2177">
            <w:pPr>
              <w:pStyle w:val="Tabletext"/>
            </w:pPr>
            <w:r w:rsidRPr="00F3352F">
              <w:t>107 (22.4)</w:t>
            </w:r>
          </w:p>
        </w:tc>
        <w:tc>
          <w:tcPr>
            <w:tcW w:w="1010" w:type="pct"/>
            <w:shd w:val="clear" w:color="auto" w:fill="FFFFFF" w:themeFill="background1"/>
          </w:tcPr>
          <w:p w14:paraId="627B2D76" w14:textId="77777777" w:rsidR="000E5AF5" w:rsidRPr="00F3352F" w:rsidRDefault="000E5AF5" w:rsidP="001D2177">
            <w:pPr>
              <w:pStyle w:val="Tabletext"/>
            </w:pPr>
            <w:r w:rsidRPr="00F3352F">
              <w:t>74 (25.7)</w:t>
            </w:r>
          </w:p>
        </w:tc>
        <w:tc>
          <w:tcPr>
            <w:tcW w:w="1112" w:type="pct"/>
            <w:shd w:val="clear" w:color="auto" w:fill="FFFFFF" w:themeFill="background1"/>
          </w:tcPr>
          <w:p w14:paraId="2A8C024D" w14:textId="77777777" w:rsidR="000E5AF5" w:rsidRPr="00F3352F" w:rsidRDefault="000E5AF5" w:rsidP="001D2177">
            <w:pPr>
              <w:pStyle w:val="Tabletext"/>
            </w:pPr>
            <w:r w:rsidRPr="00F3352F">
              <w:t>45 (6.7)</w:t>
            </w:r>
          </w:p>
        </w:tc>
      </w:tr>
      <w:tr w:rsidR="000E5AF5" w:rsidRPr="00F3352F" w14:paraId="653641AC" w14:textId="77777777" w:rsidTr="001D2177">
        <w:trPr>
          <w:trHeight w:val="70"/>
        </w:trPr>
        <w:tc>
          <w:tcPr>
            <w:tcW w:w="876" w:type="pct"/>
            <w:shd w:val="clear" w:color="auto" w:fill="FFFFFF" w:themeFill="background1"/>
          </w:tcPr>
          <w:p w14:paraId="53FC536D" w14:textId="77777777" w:rsidR="000E5AF5" w:rsidRPr="00F3352F" w:rsidRDefault="000E5AF5" w:rsidP="001D2177">
            <w:pPr>
              <w:pStyle w:val="Tabletext"/>
            </w:pPr>
            <w:r w:rsidRPr="00F3352F">
              <w:t>Before aseptic procedure</w:t>
            </w:r>
          </w:p>
        </w:tc>
        <w:tc>
          <w:tcPr>
            <w:tcW w:w="1001" w:type="pct"/>
            <w:shd w:val="clear" w:color="auto" w:fill="FFFFFF" w:themeFill="background1"/>
          </w:tcPr>
          <w:p w14:paraId="12195458" w14:textId="77777777" w:rsidR="000E5AF5" w:rsidRPr="00F3352F" w:rsidRDefault="000E5AF5" w:rsidP="001D2177">
            <w:pPr>
              <w:pStyle w:val="Tabletext"/>
            </w:pPr>
            <w:r w:rsidRPr="00F3352F">
              <w:t>36 (66.7)</w:t>
            </w:r>
          </w:p>
        </w:tc>
        <w:tc>
          <w:tcPr>
            <w:tcW w:w="1001" w:type="pct"/>
            <w:shd w:val="clear" w:color="auto" w:fill="FFFFFF" w:themeFill="background1"/>
          </w:tcPr>
          <w:p w14:paraId="70C55BFA" w14:textId="77777777" w:rsidR="000E5AF5" w:rsidRPr="00F3352F" w:rsidRDefault="000E5AF5" w:rsidP="001D2177">
            <w:pPr>
              <w:pStyle w:val="Tabletext"/>
            </w:pPr>
            <w:r w:rsidRPr="00F3352F">
              <w:t>22 (63.6)</w:t>
            </w:r>
          </w:p>
        </w:tc>
        <w:tc>
          <w:tcPr>
            <w:tcW w:w="1010" w:type="pct"/>
            <w:shd w:val="clear" w:color="auto" w:fill="FFFFFF" w:themeFill="background1"/>
          </w:tcPr>
          <w:p w14:paraId="5E6685DF" w14:textId="77777777" w:rsidR="000E5AF5" w:rsidRPr="00F3352F" w:rsidRDefault="000E5AF5" w:rsidP="001D2177">
            <w:pPr>
              <w:pStyle w:val="Tabletext"/>
            </w:pPr>
            <w:r w:rsidRPr="00F3352F">
              <w:t>14 (71.4)</w:t>
            </w:r>
          </w:p>
        </w:tc>
        <w:tc>
          <w:tcPr>
            <w:tcW w:w="1112" w:type="pct"/>
            <w:shd w:val="clear" w:color="auto" w:fill="FFFFFF" w:themeFill="background1"/>
          </w:tcPr>
          <w:p w14:paraId="1E2AA630" w14:textId="77777777" w:rsidR="000E5AF5" w:rsidRPr="00F3352F" w:rsidRDefault="000E5AF5" w:rsidP="001D2177">
            <w:pPr>
              <w:pStyle w:val="Tabletext"/>
            </w:pPr>
            <w:r w:rsidRPr="00F3352F">
              <w:t>N/A</w:t>
            </w:r>
            <w:r>
              <w:rPr>
                <w:rStyle w:val="FootnoteReference"/>
              </w:rPr>
              <w:footnoteReference w:id="1"/>
            </w:r>
          </w:p>
        </w:tc>
      </w:tr>
      <w:tr w:rsidR="000E5AF5" w:rsidRPr="00F3352F" w14:paraId="409EA002" w14:textId="77777777" w:rsidTr="001D2177">
        <w:trPr>
          <w:trHeight w:val="70"/>
        </w:trPr>
        <w:tc>
          <w:tcPr>
            <w:tcW w:w="876" w:type="pct"/>
            <w:shd w:val="clear" w:color="auto" w:fill="FFFFFF" w:themeFill="background1"/>
          </w:tcPr>
          <w:p w14:paraId="6D825333" w14:textId="77777777" w:rsidR="000E5AF5" w:rsidRPr="00F3352F" w:rsidRDefault="000E5AF5" w:rsidP="001D2177">
            <w:pPr>
              <w:pStyle w:val="Tabletext"/>
            </w:pPr>
            <w:r w:rsidRPr="00F3352F">
              <w:t>After exposure to body fluids</w:t>
            </w:r>
          </w:p>
        </w:tc>
        <w:tc>
          <w:tcPr>
            <w:tcW w:w="1001" w:type="pct"/>
            <w:shd w:val="clear" w:color="auto" w:fill="FFFFFF" w:themeFill="background1"/>
          </w:tcPr>
          <w:p w14:paraId="3BBEC510" w14:textId="77777777" w:rsidR="000E5AF5" w:rsidRPr="00F3352F" w:rsidRDefault="000E5AF5" w:rsidP="001D2177">
            <w:pPr>
              <w:pStyle w:val="Tabletext"/>
            </w:pPr>
            <w:r w:rsidRPr="00F3352F">
              <w:t>65 (78.5)</w:t>
            </w:r>
          </w:p>
        </w:tc>
        <w:tc>
          <w:tcPr>
            <w:tcW w:w="1001" w:type="pct"/>
            <w:shd w:val="clear" w:color="auto" w:fill="FFFFFF" w:themeFill="background1"/>
          </w:tcPr>
          <w:p w14:paraId="209AC244" w14:textId="77777777" w:rsidR="000E5AF5" w:rsidRPr="00F3352F" w:rsidRDefault="000E5AF5" w:rsidP="001D2177">
            <w:pPr>
              <w:pStyle w:val="Tabletext"/>
            </w:pPr>
            <w:r w:rsidRPr="00F3352F">
              <w:t>34 (73.5)</w:t>
            </w:r>
          </w:p>
        </w:tc>
        <w:tc>
          <w:tcPr>
            <w:tcW w:w="1010" w:type="pct"/>
            <w:shd w:val="clear" w:color="auto" w:fill="FFFFFF" w:themeFill="background1"/>
          </w:tcPr>
          <w:p w14:paraId="6C1B812B" w14:textId="77777777" w:rsidR="000E5AF5" w:rsidRPr="00F3352F" w:rsidRDefault="000E5AF5" w:rsidP="001D2177">
            <w:pPr>
              <w:pStyle w:val="Tabletext"/>
            </w:pPr>
            <w:r w:rsidRPr="00F3352F">
              <w:t>26 (88.5)</w:t>
            </w:r>
          </w:p>
        </w:tc>
        <w:tc>
          <w:tcPr>
            <w:tcW w:w="1112" w:type="pct"/>
            <w:shd w:val="clear" w:color="auto" w:fill="FFFFFF" w:themeFill="background1"/>
          </w:tcPr>
          <w:p w14:paraId="76373FFC" w14:textId="77777777" w:rsidR="000E5AF5" w:rsidRPr="00F3352F" w:rsidRDefault="000E5AF5" w:rsidP="001D2177">
            <w:pPr>
              <w:pStyle w:val="Tabletext"/>
            </w:pPr>
            <w:r w:rsidRPr="00F3352F">
              <w:t>5 (60%)</w:t>
            </w:r>
          </w:p>
        </w:tc>
      </w:tr>
      <w:tr w:rsidR="000E5AF5" w:rsidRPr="00F3352F" w14:paraId="07A80601" w14:textId="77777777" w:rsidTr="001D2177">
        <w:trPr>
          <w:trHeight w:val="70"/>
        </w:trPr>
        <w:tc>
          <w:tcPr>
            <w:tcW w:w="876" w:type="pct"/>
            <w:shd w:val="clear" w:color="auto" w:fill="FFFFFF" w:themeFill="background1"/>
          </w:tcPr>
          <w:p w14:paraId="206D3123" w14:textId="77777777" w:rsidR="000E5AF5" w:rsidRPr="00F3352F" w:rsidRDefault="000E5AF5" w:rsidP="001D2177">
            <w:pPr>
              <w:pStyle w:val="Tabletext"/>
            </w:pPr>
            <w:r w:rsidRPr="00F3352F">
              <w:t>After touching a patient</w:t>
            </w:r>
          </w:p>
        </w:tc>
        <w:tc>
          <w:tcPr>
            <w:tcW w:w="1001" w:type="pct"/>
            <w:shd w:val="clear" w:color="auto" w:fill="FFFFFF" w:themeFill="background1"/>
          </w:tcPr>
          <w:p w14:paraId="1802DF56" w14:textId="77777777" w:rsidR="000E5AF5" w:rsidRPr="00F3352F" w:rsidRDefault="000E5AF5" w:rsidP="001D2177">
            <w:pPr>
              <w:pStyle w:val="Tabletext"/>
            </w:pPr>
            <w:r w:rsidRPr="00F3352F">
              <w:t>211 (10.0)</w:t>
            </w:r>
          </w:p>
        </w:tc>
        <w:tc>
          <w:tcPr>
            <w:tcW w:w="1001" w:type="pct"/>
            <w:shd w:val="clear" w:color="auto" w:fill="FFFFFF" w:themeFill="background1"/>
          </w:tcPr>
          <w:p w14:paraId="413EB4FE" w14:textId="77777777" w:rsidR="000E5AF5" w:rsidRPr="00F3352F" w:rsidRDefault="000E5AF5" w:rsidP="001D2177">
            <w:pPr>
              <w:pStyle w:val="Tabletext"/>
            </w:pPr>
            <w:r w:rsidRPr="00F3352F">
              <w:t>100 (12.0)</w:t>
            </w:r>
          </w:p>
        </w:tc>
        <w:tc>
          <w:tcPr>
            <w:tcW w:w="1010" w:type="pct"/>
            <w:shd w:val="clear" w:color="auto" w:fill="FFFFFF" w:themeFill="background1"/>
          </w:tcPr>
          <w:p w14:paraId="1DB24A72" w14:textId="77777777" w:rsidR="000E5AF5" w:rsidRPr="00F3352F" w:rsidRDefault="000E5AF5" w:rsidP="001D2177">
            <w:pPr>
              <w:pStyle w:val="Tabletext"/>
            </w:pPr>
            <w:r w:rsidRPr="00F3352F">
              <w:t>69 (10.1)</w:t>
            </w:r>
          </w:p>
        </w:tc>
        <w:tc>
          <w:tcPr>
            <w:tcW w:w="1112" w:type="pct"/>
            <w:shd w:val="clear" w:color="auto" w:fill="FFFFFF" w:themeFill="background1"/>
          </w:tcPr>
          <w:p w14:paraId="5BDEA68B" w14:textId="77777777" w:rsidR="000E5AF5" w:rsidRPr="00F3352F" w:rsidRDefault="000E5AF5" w:rsidP="001D2177">
            <w:pPr>
              <w:pStyle w:val="Tabletext"/>
            </w:pPr>
            <w:r w:rsidRPr="00F3352F">
              <w:t>42 (4.8)</w:t>
            </w:r>
          </w:p>
        </w:tc>
      </w:tr>
      <w:tr w:rsidR="000E5AF5" w:rsidRPr="00F3352F" w14:paraId="0E636093" w14:textId="77777777" w:rsidTr="001D2177">
        <w:trPr>
          <w:trHeight w:val="70"/>
        </w:trPr>
        <w:tc>
          <w:tcPr>
            <w:tcW w:w="876" w:type="pct"/>
            <w:shd w:val="clear" w:color="auto" w:fill="FFFFFF" w:themeFill="background1"/>
          </w:tcPr>
          <w:p w14:paraId="53FB103B" w14:textId="77777777" w:rsidR="000E5AF5" w:rsidRPr="00F3352F" w:rsidRDefault="000E5AF5" w:rsidP="001D2177">
            <w:pPr>
              <w:pStyle w:val="Tabletext"/>
            </w:pPr>
            <w:r w:rsidRPr="00F3352F">
              <w:t>After touching patient’s surroundings</w:t>
            </w:r>
          </w:p>
        </w:tc>
        <w:tc>
          <w:tcPr>
            <w:tcW w:w="1001" w:type="pct"/>
            <w:shd w:val="clear" w:color="auto" w:fill="FFFFFF" w:themeFill="background1"/>
          </w:tcPr>
          <w:p w14:paraId="61AA864B" w14:textId="77777777" w:rsidR="000E5AF5" w:rsidRPr="00F3352F" w:rsidRDefault="000E5AF5" w:rsidP="001D2177">
            <w:pPr>
              <w:pStyle w:val="Tabletext"/>
            </w:pPr>
            <w:r w:rsidRPr="00F3352F">
              <w:t>164 (37.8)</w:t>
            </w:r>
          </w:p>
        </w:tc>
        <w:tc>
          <w:tcPr>
            <w:tcW w:w="1001" w:type="pct"/>
            <w:shd w:val="clear" w:color="auto" w:fill="FFFFFF" w:themeFill="background1"/>
          </w:tcPr>
          <w:p w14:paraId="65EEC36F" w14:textId="77777777" w:rsidR="000E5AF5" w:rsidRPr="00F3352F" w:rsidRDefault="000E5AF5" w:rsidP="001D2177">
            <w:pPr>
              <w:pStyle w:val="Tabletext"/>
            </w:pPr>
            <w:r w:rsidRPr="00F3352F">
              <w:t>78 (39.7)</w:t>
            </w:r>
          </w:p>
        </w:tc>
        <w:tc>
          <w:tcPr>
            <w:tcW w:w="1010" w:type="pct"/>
            <w:shd w:val="clear" w:color="auto" w:fill="FFFFFF" w:themeFill="background1"/>
          </w:tcPr>
          <w:p w14:paraId="13CC7183" w14:textId="77777777" w:rsidR="000E5AF5" w:rsidRPr="00F3352F" w:rsidRDefault="000E5AF5" w:rsidP="001D2177">
            <w:pPr>
              <w:pStyle w:val="Tabletext"/>
            </w:pPr>
            <w:r w:rsidRPr="00F3352F">
              <w:t>55 (47.3)</w:t>
            </w:r>
          </w:p>
        </w:tc>
        <w:tc>
          <w:tcPr>
            <w:tcW w:w="1112" w:type="pct"/>
            <w:shd w:val="clear" w:color="auto" w:fill="FFFFFF" w:themeFill="background1"/>
          </w:tcPr>
          <w:p w14:paraId="252B6F8E" w14:textId="77777777" w:rsidR="000E5AF5" w:rsidRPr="00F3352F" w:rsidRDefault="000E5AF5" w:rsidP="001D2177">
            <w:pPr>
              <w:pStyle w:val="Tabletext"/>
            </w:pPr>
            <w:r w:rsidRPr="00F3352F">
              <w:t>31 (16.1)</w:t>
            </w:r>
          </w:p>
        </w:tc>
      </w:tr>
      <w:tr w:rsidR="000E5AF5" w:rsidRPr="00F3352F" w14:paraId="524DCDB4" w14:textId="77777777" w:rsidTr="001D2177">
        <w:trPr>
          <w:trHeight w:val="70"/>
        </w:trPr>
        <w:tc>
          <w:tcPr>
            <w:tcW w:w="876" w:type="pct"/>
            <w:shd w:val="clear" w:color="auto" w:fill="FFFFFF" w:themeFill="background1"/>
          </w:tcPr>
          <w:p w14:paraId="157C8D8B" w14:textId="77777777" w:rsidR="000E5AF5" w:rsidRPr="00F3352F" w:rsidRDefault="000E5AF5" w:rsidP="001D2177">
            <w:pPr>
              <w:pStyle w:val="Tabletext"/>
              <w:rPr>
                <w:b/>
                <w:bCs/>
              </w:rPr>
            </w:pPr>
            <w:r w:rsidRPr="00F3352F">
              <w:rPr>
                <w:b/>
                <w:bCs/>
              </w:rPr>
              <w:t xml:space="preserve">Total </w:t>
            </w:r>
          </w:p>
        </w:tc>
        <w:tc>
          <w:tcPr>
            <w:tcW w:w="1001" w:type="pct"/>
            <w:shd w:val="clear" w:color="auto" w:fill="FFFFFF" w:themeFill="background1"/>
          </w:tcPr>
          <w:p w14:paraId="664ED26E" w14:textId="77777777" w:rsidR="000E5AF5" w:rsidRPr="00F3352F" w:rsidRDefault="000E5AF5" w:rsidP="001D2177">
            <w:pPr>
              <w:pStyle w:val="Tabletext"/>
              <w:rPr>
                <w:b/>
                <w:bCs/>
              </w:rPr>
            </w:pPr>
            <w:r w:rsidRPr="00F3352F">
              <w:rPr>
                <w:b/>
                <w:bCs/>
              </w:rPr>
              <w:t>700 (29.1)</w:t>
            </w:r>
          </w:p>
        </w:tc>
        <w:tc>
          <w:tcPr>
            <w:tcW w:w="1001" w:type="pct"/>
            <w:shd w:val="clear" w:color="auto" w:fill="FFFFFF" w:themeFill="background1"/>
          </w:tcPr>
          <w:p w14:paraId="78EBA3FE" w14:textId="77777777" w:rsidR="000E5AF5" w:rsidRPr="00F3352F" w:rsidRDefault="000E5AF5" w:rsidP="001D2177">
            <w:pPr>
              <w:pStyle w:val="Tabletext"/>
              <w:rPr>
                <w:b/>
                <w:bCs/>
              </w:rPr>
            </w:pPr>
            <w:r w:rsidRPr="00F3352F">
              <w:rPr>
                <w:b/>
                <w:bCs/>
              </w:rPr>
              <w:t>341 (31.1)</w:t>
            </w:r>
          </w:p>
        </w:tc>
        <w:tc>
          <w:tcPr>
            <w:tcW w:w="1010" w:type="pct"/>
            <w:shd w:val="clear" w:color="auto" w:fill="FFFFFF" w:themeFill="background1"/>
          </w:tcPr>
          <w:p w14:paraId="02FF45E8" w14:textId="77777777" w:rsidR="000E5AF5" w:rsidRPr="00F3352F" w:rsidRDefault="000E5AF5" w:rsidP="001D2177">
            <w:pPr>
              <w:pStyle w:val="Tabletext"/>
              <w:rPr>
                <w:b/>
                <w:bCs/>
              </w:rPr>
            </w:pPr>
            <w:r w:rsidRPr="00F3352F">
              <w:rPr>
                <w:b/>
                <w:bCs/>
              </w:rPr>
              <w:t>238 (35.7)</w:t>
            </w:r>
          </w:p>
        </w:tc>
        <w:tc>
          <w:tcPr>
            <w:tcW w:w="1112" w:type="pct"/>
            <w:shd w:val="clear" w:color="auto" w:fill="FFFFFF" w:themeFill="background1"/>
          </w:tcPr>
          <w:p w14:paraId="162987DC" w14:textId="77777777" w:rsidR="000E5AF5" w:rsidRPr="00F3352F" w:rsidRDefault="000E5AF5" w:rsidP="001D2177">
            <w:pPr>
              <w:pStyle w:val="Tabletext"/>
              <w:rPr>
                <w:b/>
                <w:bCs/>
              </w:rPr>
            </w:pPr>
            <w:r w:rsidRPr="00F3352F">
              <w:rPr>
                <w:b/>
                <w:bCs/>
              </w:rPr>
              <w:t>121 (10.7)</w:t>
            </w:r>
          </w:p>
        </w:tc>
      </w:tr>
    </w:tbl>
    <w:p w14:paraId="0DD94783" w14:textId="77777777" w:rsidR="000E5AF5" w:rsidRDefault="000E5AF5" w:rsidP="000E5AF5">
      <w:pPr>
        <w:rPr>
          <w:rFonts w:ascii="Tahoma" w:hAnsi="Tahoma"/>
        </w:rPr>
      </w:pPr>
    </w:p>
    <w:p w14:paraId="63992D40" w14:textId="77777777" w:rsidR="000E5AF5" w:rsidRDefault="000E5AF5" w:rsidP="000E5AF5">
      <w:pPr>
        <w:pStyle w:val="Caption"/>
        <w:keepNext/>
      </w:pPr>
      <w:r>
        <w:t xml:space="preserve">Table </w:t>
      </w:r>
      <w:fldSimple w:instr=" SEQ Table \* ARABIC ">
        <w:r>
          <w:rPr>
            <w:noProof/>
          </w:rPr>
          <w:t>2</w:t>
        </w:r>
      </w:fldSimple>
      <w:r>
        <w:t>: Hand Hygiene Compliance Rate according to Shift Patterns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123"/>
        <w:gridCol w:w="3184"/>
      </w:tblGrid>
      <w:tr w:rsidR="000E5AF5" w:rsidRPr="0001549D" w14:paraId="27D313FB" w14:textId="77777777" w:rsidTr="001D2177">
        <w:trPr>
          <w:trHeight w:val="404"/>
        </w:trPr>
        <w:tc>
          <w:tcPr>
            <w:tcW w:w="5000" w:type="pct"/>
            <w:gridSpan w:val="3"/>
            <w:shd w:val="clear" w:color="auto" w:fill="BFBFBF" w:themeFill="background1" w:themeFillShade="BF"/>
          </w:tcPr>
          <w:p w14:paraId="0669E717" w14:textId="77777777" w:rsidR="000E5AF5" w:rsidRDefault="000E5AF5" w:rsidP="001D2177">
            <w:pPr>
              <w:pStyle w:val="Tabletext"/>
              <w:rPr>
                <w:b/>
                <w:bCs/>
              </w:rPr>
            </w:pPr>
            <w:r>
              <w:rPr>
                <w:b/>
                <w:bCs/>
              </w:rPr>
              <w:t>Hand Hygiene Compliance Rate according to Shift Patterns</w:t>
            </w:r>
          </w:p>
        </w:tc>
      </w:tr>
      <w:tr w:rsidR="000E5AF5" w:rsidRPr="0001549D" w14:paraId="22EE1518" w14:textId="77777777" w:rsidTr="001D2177">
        <w:trPr>
          <w:trHeight w:val="404"/>
        </w:trPr>
        <w:tc>
          <w:tcPr>
            <w:tcW w:w="1502" w:type="pct"/>
            <w:shd w:val="clear" w:color="auto" w:fill="B4C6E7" w:themeFill="accent1" w:themeFillTint="66"/>
          </w:tcPr>
          <w:p w14:paraId="67B2479E" w14:textId="77777777" w:rsidR="000E5AF5" w:rsidRPr="00921146" w:rsidRDefault="000E5AF5" w:rsidP="001D2177">
            <w:pPr>
              <w:pStyle w:val="Tabletext"/>
              <w:rPr>
                <w:b/>
                <w:bCs/>
              </w:rPr>
            </w:pPr>
            <w:r w:rsidRPr="00921146">
              <w:rPr>
                <w:b/>
                <w:bCs/>
              </w:rPr>
              <w:t>Shift Pattern</w:t>
            </w:r>
          </w:p>
        </w:tc>
        <w:tc>
          <w:tcPr>
            <w:tcW w:w="1732" w:type="pct"/>
            <w:shd w:val="clear" w:color="auto" w:fill="B4C6E7" w:themeFill="accent1" w:themeFillTint="66"/>
          </w:tcPr>
          <w:p w14:paraId="3D726485" w14:textId="77777777" w:rsidR="000E5AF5" w:rsidRPr="00921146" w:rsidRDefault="000E5AF5" w:rsidP="001D2177">
            <w:pPr>
              <w:pStyle w:val="Tabletext"/>
              <w:rPr>
                <w:b/>
                <w:bCs/>
              </w:rPr>
            </w:pPr>
            <w:r>
              <w:rPr>
                <w:b/>
                <w:bCs/>
              </w:rPr>
              <w:t>HH Opportunities</w:t>
            </w:r>
          </w:p>
        </w:tc>
        <w:tc>
          <w:tcPr>
            <w:tcW w:w="1766" w:type="pct"/>
            <w:shd w:val="clear" w:color="auto" w:fill="B4C6E7" w:themeFill="accent1" w:themeFillTint="66"/>
          </w:tcPr>
          <w:p w14:paraId="68872046" w14:textId="77777777" w:rsidR="000E5AF5" w:rsidRPr="00921146" w:rsidRDefault="000E5AF5" w:rsidP="001D2177">
            <w:pPr>
              <w:pStyle w:val="Tabletext"/>
              <w:rPr>
                <w:b/>
                <w:bCs/>
              </w:rPr>
            </w:pPr>
            <w:r>
              <w:rPr>
                <w:b/>
                <w:bCs/>
              </w:rPr>
              <w:t>Compliance (n, %)</w:t>
            </w:r>
          </w:p>
        </w:tc>
      </w:tr>
      <w:tr w:rsidR="000E5AF5" w:rsidRPr="0001549D" w14:paraId="3446C5E4" w14:textId="77777777" w:rsidTr="001D2177">
        <w:trPr>
          <w:trHeight w:val="404"/>
        </w:trPr>
        <w:tc>
          <w:tcPr>
            <w:tcW w:w="1502" w:type="pct"/>
          </w:tcPr>
          <w:p w14:paraId="22ABF045" w14:textId="77777777" w:rsidR="000E5AF5" w:rsidRPr="0001549D" w:rsidRDefault="000E5AF5" w:rsidP="001D2177">
            <w:pPr>
              <w:pStyle w:val="Tabletext"/>
            </w:pPr>
            <w:r w:rsidRPr="0001549D">
              <w:t>Morning shift</w:t>
            </w:r>
          </w:p>
        </w:tc>
        <w:tc>
          <w:tcPr>
            <w:tcW w:w="1732" w:type="pct"/>
          </w:tcPr>
          <w:p w14:paraId="392D4389" w14:textId="77777777" w:rsidR="000E5AF5" w:rsidRPr="0001549D" w:rsidRDefault="000E5AF5" w:rsidP="001D2177">
            <w:pPr>
              <w:pStyle w:val="Tabletext"/>
            </w:pPr>
            <w:r w:rsidRPr="0001549D">
              <w:t>282</w:t>
            </w:r>
          </w:p>
        </w:tc>
        <w:tc>
          <w:tcPr>
            <w:tcW w:w="1766" w:type="pct"/>
          </w:tcPr>
          <w:p w14:paraId="1884A8A7" w14:textId="77777777" w:rsidR="000E5AF5" w:rsidRPr="0001549D" w:rsidRDefault="000E5AF5" w:rsidP="001D2177">
            <w:pPr>
              <w:pStyle w:val="Tabletext"/>
            </w:pPr>
            <w:r w:rsidRPr="0001549D">
              <w:t>85 (30.1)</w:t>
            </w:r>
          </w:p>
        </w:tc>
      </w:tr>
      <w:tr w:rsidR="000E5AF5" w:rsidRPr="0001549D" w14:paraId="60BFC25A" w14:textId="77777777" w:rsidTr="001D2177">
        <w:trPr>
          <w:trHeight w:val="404"/>
        </w:trPr>
        <w:tc>
          <w:tcPr>
            <w:tcW w:w="1502" w:type="pct"/>
          </w:tcPr>
          <w:p w14:paraId="1A2290A6" w14:textId="77777777" w:rsidR="000E5AF5" w:rsidRPr="0001549D" w:rsidRDefault="000E5AF5" w:rsidP="001D2177">
            <w:pPr>
              <w:pStyle w:val="Tabletext"/>
            </w:pPr>
            <w:r w:rsidRPr="0001549D">
              <w:t>Afternoon shift</w:t>
            </w:r>
          </w:p>
        </w:tc>
        <w:tc>
          <w:tcPr>
            <w:tcW w:w="1732" w:type="pct"/>
          </w:tcPr>
          <w:p w14:paraId="3B13FB75" w14:textId="77777777" w:rsidR="000E5AF5" w:rsidRPr="0001549D" w:rsidRDefault="000E5AF5" w:rsidP="001D2177">
            <w:pPr>
              <w:pStyle w:val="Tabletext"/>
            </w:pPr>
            <w:r w:rsidRPr="0001549D">
              <w:t>418</w:t>
            </w:r>
          </w:p>
        </w:tc>
        <w:tc>
          <w:tcPr>
            <w:tcW w:w="1766" w:type="pct"/>
          </w:tcPr>
          <w:p w14:paraId="08A29877" w14:textId="77777777" w:rsidR="000E5AF5" w:rsidRPr="0001549D" w:rsidRDefault="000E5AF5" w:rsidP="001D2177">
            <w:pPr>
              <w:pStyle w:val="Tabletext"/>
            </w:pPr>
            <w:r w:rsidRPr="0001549D">
              <w:t>119 (28.5)</w:t>
            </w:r>
          </w:p>
        </w:tc>
      </w:tr>
    </w:tbl>
    <w:p w14:paraId="378FEE95" w14:textId="77777777" w:rsidR="000E5AF5" w:rsidRDefault="000E5AF5" w:rsidP="000E5AF5">
      <w:pPr>
        <w:rPr>
          <w:rFonts w:ascii="Tahoma" w:hAnsi="Tahoma"/>
        </w:rPr>
      </w:pPr>
    </w:p>
    <w:p w14:paraId="27C09595" w14:textId="77777777" w:rsidR="000E5AF5" w:rsidRPr="00F2659F" w:rsidRDefault="000E5AF5" w:rsidP="000E5AF5">
      <w:pPr>
        <w:rPr>
          <w:rFonts w:ascii="Tahoma" w:hAnsi="Tahoma"/>
        </w:rPr>
      </w:pPr>
    </w:p>
    <w:p w14:paraId="2DAA0E6A" w14:textId="545B611B" w:rsidR="000E5AF5" w:rsidRDefault="000E5AF5">
      <w:pPr>
        <w:rPr>
          <w:rFonts w:ascii="Times New Roman" w:eastAsiaTheme="minorEastAsia" w:hAnsi="Times New Roman" w:cs="Times New Roman"/>
          <w:sz w:val="24"/>
          <w:szCs w:val="24"/>
          <w:lang w:eastAsia="en-GB"/>
        </w:rPr>
      </w:pPr>
      <w:r>
        <w:br w:type="page"/>
      </w:r>
    </w:p>
    <w:p w14:paraId="25F514CF" w14:textId="77777777" w:rsidR="000E5AF5" w:rsidRDefault="000E5AF5" w:rsidP="000E5AF5">
      <w:pPr>
        <w:keepNext/>
        <w:spacing w:before="240" w:after="0"/>
      </w:pPr>
      <w:r>
        <w:rPr>
          <w:rFonts w:cstheme="minorHAnsi"/>
          <w:noProof/>
          <w:lang w:eastAsia="en-GB"/>
        </w:rPr>
        <w:lastRenderedPageBreak/>
        <mc:AlternateContent>
          <mc:Choice Requires="wpi">
            <w:drawing>
              <wp:anchor distT="0" distB="0" distL="114300" distR="114300" simplePos="0" relativeHeight="251659264" behindDoc="0" locked="0" layoutInCell="1" allowOverlap="1" wp14:anchorId="45D14510" wp14:editId="085348CA">
                <wp:simplePos x="0" y="0"/>
                <wp:positionH relativeFrom="column">
                  <wp:posOffset>6904515</wp:posOffset>
                </wp:positionH>
                <wp:positionV relativeFrom="paragraph">
                  <wp:posOffset>905512</wp:posOffset>
                </wp:positionV>
                <wp:extent cx="3240" cy="6840"/>
                <wp:effectExtent l="38100" t="38100" r="53975" b="5080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240" cy="6840"/>
                      </w14:xfrm>
                    </w14:contentPart>
                  </a:graphicData>
                </a:graphic>
              </wp:anchor>
            </w:drawing>
          </mc:Choice>
          <mc:Fallback>
            <w:pict>
              <v:shapetype w14:anchorId="4A34E6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43pt;margin-top:70.6pt;width:1.5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">
                <v:imagedata r:id="rId15" o:title=""/>
              </v:shape>
            </w:pict>
          </mc:Fallback>
        </mc:AlternateContent>
      </w:r>
      <w:r w:rsidRPr="00A43CC4">
        <w:rPr>
          <w:rFonts w:cstheme="minorHAnsi"/>
          <w:noProof/>
          <w:lang w:eastAsia="en-GB"/>
        </w:rPr>
        <w:drawing>
          <wp:inline distT="0" distB="0" distL="0" distR="0" wp14:anchorId="7E1C15EA" wp14:editId="1681BC7A">
            <wp:extent cx="5743575" cy="3067050"/>
            <wp:effectExtent l="0" t="0" r="9525" b="0"/>
            <wp:docPr id="425" name="Chart 4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2C04FE" w14:textId="77777777" w:rsidR="000E5AF5" w:rsidRPr="00A43CC4" w:rsidRDefault="000E5AF5" w:rsidP="000E5AF5">
      <w:pPr>
        <w:pStyle w:val="Caption"/>
      </w:pPr>
      <w:r>
        <w:t>Figure 1</w:t>
      </w:r>
      <w:r w:rsidRPr="007E5C21">
        <w:t xml:space="preserve"> Hand Hygiene Compliance Rate according to Five Moments of Hand Hygiene</w:t>
      </w:r>
    </w:p>
    <w:p w14:paraId="21C85C2B" w14:textId="77777777" w:rsidR="000E5AF5" w:rsidRDefault="000E5AF5" w:rsidP="000E5AF5">
      <w:pPr>
        <w:rPr>
          <w:rFonts w:ascii="Tahoma" w:hAnsi="Tahoma"/>
        </w:rPr>
      </w:pPr>
    </w:p>
    <w:p w14:paraId="1E849392" w14:textId="77777777" w:rsidR="000E5AF5" w:rsidRDefault="000E5AF5" w:rsidP="000E5AF5">
      <w:pPr>
        <w:keepNext/>
        <w:spacing w:before="240" w:after="0"/>
      </w:pPr>
      <w:r w:rsidRPr="00A43CC4">
        <w:rPr>
          <w:rFonts w:cstheme="minorHAnsi"/>
          <w:noProof/>
          <w:lang w:eastAsia="en-GB"/>
        </w:rPr>
        <w:drawing>
          <wp:inline distT="0" distB="0" distL="0" distR="0" wp14:anchorId="0A286193" wp14:editId="4A34024B">
            <wp:extent cx="6198781" cy="3284855"/>
            <wp:effectExtent l="0" t="0" r="12065" b="10795"/>
            <wp:docPr id="426" name="Chart 4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1E197C" w14:textId="77777777" w:rsidR="000E5AF5" w:rsidRDefault="000E5AF5" w:rsidP="000E5AF5">
      <w:pPr>
        <w:pStyle w:val="Caption"/>
      </w:pPr>
      <w:r>
        <w:t xml:space="preserve">Figure 2 </w:t>
      </w:r>
      <w:r w:rsidRPr="00F35541">
        <w:t xml:space="preserve">Hand Hygiene Compliance Rate according to </w:t>
      </w:r>
      <w:r>
        <w:t xml:space="preserve">Seniority </w:t>
      </w:r>
      <w:r w:rsidRPr="00F35541">
        <w:t>level (Medical), Based on the Five Moments of Hand Hygiene</w:t>
      </w:r>
    </w:p>
    <w:p w14:paraId="20C494E6" w14:textId="77777777" w:rsidR="000E5AF5" w:rsidRDefault="000E5AF5" w:rsidP="000E5AF5">
      <w:pPr>
        <w:pStyle w:val="figurescaption"/>
        <w:keepNext/>
      </w:pPr>
      <w:r w:rsidRPr="00F3352F">
        <w:rPr>
          <w:rFonts w:cstheme="minorHAnsi"/>
          <w:lang w:val="en-GB" w:eastAsia="en-GB"/>
        </w:rPr>
        <w:lastRenderedPageBreak/>
        <w:drawing>
          <wp:inline distT="0" distB="0" distL="0" distR="0" wp14:anchorId="4848D26F" wp14:editId="2CBDC856">
            <wp:extent cx="6145530" cy="3593465"/>
            <wp:effectExtent l="0" t="0" r="7620" b="6985"/>
            <wp:docPr id="427" name="Chart 4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A92711" w14:textId="47D16C9B" w:rsidR="00B21E72" w:rsidRPr="00A43CC4" w:rsidRDefault="000E5AF5" w:rsidP="000E5AF5">
      <w:pPr>
        <w:pStyle w:val="Caption"/>
      </w:pPr>
      <w:r>
        <w:t>Figure 3</w:t>
      </w:r>
      <w:r w:rsidRPr="00211423">
        <w:t xml:space="preserve"> Hand Hygiene Compliance Rate according to </w:t>
      </w:r>
      <w:r>
        <w:t xml:space="preserve">Seniority </w:t>
      </w:r>
      <w:r w:rsidRPr="00211423">
        <w:t>Level (Nursing), Based on the Five Moments of hand Hygiene</w:t>
      </w:r>
    </w:p>
    <w:sectPr w:rsidR="00B21E72" w:rsidRPr="00A43CC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5C43" w14:textId="77777777" w:rsidR="00FA2684" w:rsidRDefault="00FA2684" w:rsidP="00F2659F">
      <w:pPr>
        <w:spacing w:after="0" w:line="240" w:lineRule="auto"/>
      </w:pPr>
      <w:r>
        <w:separator/>
      </w:r>
    </w:p>
  </w:endnote>
  <w:endnote w:type="continuationSeparator" w:id="0">
    <w:p w14:paraId="03A529D2" w14:textId="77777777" w:rsidR="00FA2684" w:rsidRDefault="00FA2684"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503C"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1302"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2C01C936" wp14:editId="5B90D81C">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BF8C8D"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01C936"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5EBF8C8D"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688D"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14F2" w14:textId="77777777" w:rsidR="00FA2684" w:rsidRDefault="00FA2684" w:rsidP="00F2659F">
      <w:pPr>
        <w:spacing w:after="0" w:line="240" w:lineRule="auto"/>
      </w:pPr>
      <w:r>
        <w:separator/>
      </w:r>
    </w:p>
  </w:footnote>
  <w:footnote w:type="continuationSeparator" w:id="0">
    <w:p w14:paraId="3C7387D5" w14:textId="77777777" w:rsidR="00FA2684" w:rsidRDefault="00FA2684" w:rsidP="00F2659F">
      <w:pPr>
        <w:spacing w:after="0" w:line="240" w:lineRule="auto"/>
      </w:pPr>
      <w:r>
        <w:continuationSeparator/>
      </w:r>
    </w:p>
  </w:footnote>
  <w:footnote w:id="1">
    <w:p w14:paraId="22374B99" w14:textId="77777777" w:rsidR="000E5AF5" w:rsidRDefault="000E5AF5" w:rsidP="000E5AF5">
      <w:pPr>
        <w:pStyle w:val="FootnoteText"/>
      </w:pPr>
      <w:r>
        <w:rPr>
          <w:rStyle w:val="FootnoteReference"/>
        </w:rPr>
        <w:footnoteRef/>
      </w:r>
      <w:r>
        <w:t xml:space="preserve"> Healthcare assistants do not partake in aseptic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17A0"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95CD"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7961"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9EE"/>
    <w:multiLevelType w:val="hybridMultilevel"/>
    <w:tmpl w:val="BB4E0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355F9"/>
    <w:multiLevelType w:val="hybridMultilevel"/>
    <w:tmpl w:val="E5A2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82EB9"/>
    <w:multiLevelType w:val="multilevel"/>
    <w:tmpl w:val="981257C6"/>
    <w:lvl w:ilvl="0">
      <w:start w:val="1"/>
      <w:numFmt w:val="decimal"/>
      <w:pStyle w:val="Heading1"/>
      <w:suff w:val="space"/>
      <w:lvlText w:val="Chapter %1"/>
      <w:lvlJc w:val="left"/>
      <w:pPr>
        <w:ind w:left="43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72"/>
    <w:rsid w:val="000E5AF5"/>
    <w:rsid w:val="001902AF"/>
    <w:rsid w:val="00366D33"/>
    <w:rsid w:val="00797932"/>
    <w:rsid w:val="00B21E72"/>
    <w:rsid w:val="00F2659F"/>
    <w:rsid w:val="00FA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F1215"/>
  <w15:chartTrackingRefBased/>
  <w15:docId w15:val="{D15A4183-A13A-4312-9B45-69BE2E6B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72"/>
    <w:rPr>
      <w:rFonts w:cstheme="minorBidi"/>
    </w:rPr>
  </w:style>
  <w:style w:type="paragraph" w:styleId="Heading1">
    <w:name w:val="heading 1"/>
    <w:basedOn w:val="Normal"/>
    <w:next w:val="Normal"/>
    <w:link w:val="Heading1Char"/>
    <w:uiPriority w:val="9"/>
    <w:qFormat/>
    <w:rsid w:val="00B21E72"/>
    <w:pPr>
      <w:keepNext/>
      <w:keepLines/>
      <w:pageBreakBefore/>
      <w:numPr>
        <w:numId w:val="1"/>
      </w:numPr>
      <w:spacing w:line="240" w:lineRule="auto"/>
      <w:ind w:left="431" w:hanging="431"/>
      <w:outlineLvl w:val="0"/>
    </w:pPr>
    <w:rPr>
      <w:rFonts w:asciiTheme="majorHAnsi" w:eastAsiaTheme="majorEastAsia" w:hAnsiTheme="majorHAnsi" w:cstheme="majorBidi"/>
      <w:b/>
      <w:noProof/>
      <w:sz w:val="32"/>
      <w:szCs w:val="32"/>
    </w:rPr>
  </w:style>
  <w:style w:type="paragraph" w:styleId="Heading2">
    <w:name w:val="heading 2"/>
    <w:basedOn w:val="Normal"/>
    <w:next w:val="Normal"/>
    <w:link w:val="Heading2Char"/>
    <w:uiPriority w:val="9"/>
    <w:unhideWhenUsed/>
    <w:qFormat/>
    <w:rsid w:val="00B21E72"/>
    <w:pPr>
      <w:keepNext/>
      <w:keepLines/>
      <w:numPr>
        <w:ilvl w:val="1"/>
        <w:numId w:val="1"/>
      </w:numPr>
      <w:spacing w:before="120" w:after="120" w:line="240"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B21E72"/>
    <w:pPr>
      <w:keepNext/>
      <w:keepLines/>
      <w:numPr>
        <w:ilvl w:val="2"/>
        <w:numId w:val="1"/>
      </w:numPr>
      <w:spacing w:before="40" w:after="120" w:line="240" w:lineRule="auto"/>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B21E72"/>
    <w:pPr>
      <w:numPr>
        <w:ilvl w:val="3"/>
        <w:numId w:val="1"/>
      </w:numPr>
      <w:spacing w:after="40" w:line="240" w:lineRule="auto"/>
      <w:outlineLvl w:val="3"/>
    </w:pPr>
    <w:rPr>
      <w:noProof/>
      <w:lang w:val="fr-FR"/>
    </w:rPr>
  </w:style>
  <w:style w:type="paragraph" w:styleId="Heading5">
    <w:name w:val="heading 5"/>
    <w:basedOn w:val="Normal"/>
    <w:next w:val="Normal"/>
    <w:link w:val="Heading5Char"/>
    <w:uiPriority w:val="9"/>
    <w:semiHidden/>
    <w:unhideWhenUsed/>
    <w:rsid w:val="00B21E72"/>
    <w:pPr>
      <w:keepNext/>
      <w:keepLines/>
      <w:numPr>
        <w:ilvl w:val="4"/>
        <w:numId w:val="1"/>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B21E7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21E7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1E7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1E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B21E72"/>
    <w:rPr>
      <w:rFonts w:asciiTheme="majorHAnsi" w:eastAsiaTheme="majorEastAsia" w:hAnsiTheme="majorHAnsi" w:cstheme="majorBidi"/>
      <w:b/>
      <w:noProof/>
      <w:sz w:val="32"/>
      <w:szCs w:val="32"/>
    </w:rPr>
  </w:style>
  <w:style w:type="character" w:customStyle="1" w:styleId="Heading2Char">
    <w:name w:val="Heading 2 Char"/>
    <w:basedOn w:val="DefaultParagraphFont"/>
    <w:link w:val="Heading2"/>
    <w:uiPriority w:val="9"/>
    <w:rsid w:val="00B21E72"/>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B21E72"/>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B21E72"/>
    <w:rPr>
      <w:rFonts w:cstheme="minorBidi"/>
      <w:noProof/>
      <w:lang w:val="fr-FR"/>
    </w:rPr>
  </w:style>
  <w:style w:type="character" w:customStyle="1" w:styleId="Heading5Char">
    <w:name w:val="Heading 5 Char"/>
    <w:basedOn w:val="DefaultParagraphFont"/>
    <w:link w:val="Heading5"/>
    <w:uiPriority w:val="9"/>
    <w:semiHidden/>
    <w:rsid w:val="00B21E72"/>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21E7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21E7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21E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1E7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21E72"/>
    <w:pPr>
      <w:ind w:left="720"/>
      <w:contextualSpacing/>
    </w:pPr>
  </w:style>
  <w:style w:type="paragraph" w:customStyle="1" w:styleId="Headingfrontmatter">
    <w:name w:val="Heading front matter"/>
    <w:basedOn w:val="Heading2"/>
    <w:next w:val="Normal"/>
    <w:qFormat/>
    <w:rsid w:val="00B21E72"/>
    <w:pPr>
      <w:pageBreakBefore/>
      <w:numPr>
        <w:ilvl w:val="0"/>
        <w:numId w:val="0"/>
      </w:numPr>
    </w:pPr>
    <w:rPr>
      <w:sz w:val="32"/>
      <w:lang w:val="fr-FR"/>
    </w:rPr>
  </w:style>
  <w:style w:type="character" w:styleId="Hyperlink">
    <w:name w:val="Hyperlink"/>
    <w:basedOn w:val="DefaultParagraphFont"/>
    <w:uiPriority w:val="99"/>
    <w:unhideWhenUsed/>
    <w:rsid w:val="00B21E72"/>
    <w:rPr>
      <w:color w:val="0563C1" w:themeColor="hyperlink"/>
      <w:u w:val="single"/>
    </w:rPr>
  </w:style>
  <w:style w:type="character" w:styleId="CommentReference">
    <w:name w:val="annotation reference"/>
    <w:basedOn w:val="DefaultParagraphFont"/>
    <w:uiPriority w:val="99"/>
    <w:semiHidden/>
    <w:unhideWhenUsed/>
    <w:rsid w:val="00B21E72"/>
    <w:rPr>
      <w:sz w:val="16"/>
      <w:szCs w:val="16"/>
    </w:rPr>
  </w:style>
  <w:style w:type="paragraph" w:styleId="NormalWeb">
    <w:name w:val="Normal (Web)"/>
    <w:basedOn w:val="Normal"/>
    <w:uiPriority w:val="99"/>
    <w:unhideWhenUsed/>
    <w:rsid w:val="00B21E7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Text">
    <w:name w:val="annotation text"/>
    <w:basedOn w:val="Normal"/>
    <w:link w:val="CommentTextChar"/>
    <w:uiPriority w:val="99"/>
    <w:unhideWhenUsed/>
    <w:rsid w:val="00B21E72"/>
    <w:pPr>
      <w:spacing w:line="240" w:lineRule="auto"/>
    </w:pPr>
    <w:rPr>
      <w:sz w:val="20"/>
      <w:szCs w:val="20"/>
    </w:rPr>
  </w:style>
  <w:style w:type="character" w:customStyle="1" w:styleId="CommentTextChar">
    <w:name w:val="Comment Text Char"/>
    <w:basedOn w:val="DefaultParagraphFont"/>
    <w:link w:val="CommentText"/>
    <w:uiPriority w:val="99"/>
    <w:rsid w:val="00B21E72"/>
    <w:rPr>
      <w:rFonts w:cstheme="minorBidi"/>
      <w:sz w:val="20"/>
      <w:szCs w:val="20"/>
    </w:rPr>
  </w:style>
  <w:style w:type="paragraph" w:styleId="Caption">
    <w:name w:val="caption"/>
    <w:aliases w:val="Tables Caption"/>
    <w:basedOn w:val="Normal"/>
    <w:next w:val="Normal"/>
    <w:uiPriority w:val="35"/>
    <w:unhideWhenUsed/>
    <w:qFormat/>
    <w:rsid w:val="000E5AF5"/>
    <w:pPr>
      <w:spacing w:line="240" w:lineRule="auto"/>
    </w:pPr>
    <w:rPr>
      <w:iCs/>
      <w:sz w:val="20"/>
      <w:szCs w:val="18"/>
    </w:rPr>
  </w:style>
  <w:style w:type="paragraph" w:customStyle="1" w:styleId="Tabletext">
    <w:name w:val="Table text"/>
    <w:basedOn w:val="Normal"/>
    <w:qFormat/>
    <w:rsid w:val="000E5AF5"/>
    <w:pPr>
      <w:spacing w:before="80" w:after="80" w:line="240" w:lineRule="auto"/>
    </w:pPr>
    <w:rPr>
      <w:sz w:val="20"/>
    </w:rPr>
  </w:style>
  <w:style w:type="paragraph" w:styleId="FootnoteText">
    <w:name w:val="footnote text"/>
    <w:basedOn w:val="Normal"/>
    <w:link w:val="FootnoteTextChar"/>
    <w:uiPriority w:val="99"/>
    <w:semiHidden/>
    <w:unhideWhenUsed/>
    <w:rsid w:val="000E5A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AF5"/>
    <w:rPr>
      <w:rFonts w:cstheme="minorBidi"/>
      <w:sz w:val="20"/>
      <w:szCs w:val="20"/>
    </w:rPr>
  </w:style>
  <w:style w:type="character" w:styleId="FootnoteReference">
    <w:name w:val="footnote reference"/>
    <w:basedOn w:val="DefaultParagraphFont"/>
    <w:uiPriority w:val="99"/>
    <w:semiHidden/>
    <w:unhideWhenUsed/>
    <w:rsid w:val="000E5AF5"/>
    <w:rPr>
      <w:vertAlign w:val="superscript"/>
    </w:rPr>
  </w:style>
  <w:style w:type="paragraph" w:customStyle="1" w:styleId="figurescaption">
    <w:name w:val="figures caption"/>
    <w:basedOn w:val="Caption"/>
    <w:next w:val="Normal"/>
    <w:qFormat/>
    <w:rsid w:val="000E5AF5"/>
    <w:pPr>
      <w:spacing w:before="120" w:after="120" w:line="360" w:lineRule="auto"/>
    </w:pPr>
    <w:rPr>
      <w:rFonts w:eastAsiaTheme="minorEastAsia"/>
      <w:b/>
      <w:noProof/>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tunde.Ataiyero@staffs.ac.uk" TargetMode="External"/><Relationship Id="rId13" Type="http://schemas.openxmlformats.org/officeDocument/2006/relationships/image" Target="media/image3.jpg"/><Relationship Id="rId18" Type="http://schemas.openxmlformats.org/officeDocument/2006/relationships/chart" Target="charts/chart3.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mailto:M.Graham2@hull.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dith.Dyson@bcu.ac.uk" TargetMode="External"/><Relationship Id="rId14" Type="http://schemas.openxmlformats.org/officeDocument/2006/relationships/customXml" Target="ink/ink1.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Nurses</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Before Patient Contact</c:v>
                </c:pt>
                <c:pt idx="1">
                  <c:v>Before Aseptic Procedure</c:v>
                </c:pt>
                <c:pt idx="2">
                  <c:v>After Exposure to Body Fluids</c:v>
                </c:pt>
                <c:pt idx="3">
                  <c:v>After Touching a Patient</c:v>
                </c:pt>
                <c:pt idx="4">
                  <c:v>After Touching Patient's Surroundings</c:v>
                </c:pt>
              </c:strCache>
            </c:strRef>
          </c:cat>
          <c:val>
            <c:numRef>
              <c:f>Sheet1!$B$2:$B$6</c:f>
              <c:numCache>
                <c:formatCode>General</c:formatCode>
                <c:ptCount val="5"/>
                <c:pt idx="0">
                  <c:v>22.4</c:v>
                </c:pt>
                <c:pt idx="1">
                  <c:v>63.6</c:v>
                </c:pt>
                <c:pt idx="2">
                  <c:v>73.5</c:v>
                </c:pt>
                <c:pt idx="3">
                  <c:v>12</c:v>
                </c:pt>
                <c:pt idx="4">
                  <c:v>39.700000000000003</c:v>
                </c:pt>
              </c:numCache>
            </c:numRef>
          </c:val>
          <c:extLst>
            <c:ext xmlns:c16="http://schemas.microsoft.com/office/drawing/2014/chart" uri="{C3380CC4-5D6E-409C-BE32-E72D297353CC}">
              <c16:uniqueId val="{00000000-8472-4BC0-9653-E0BED442112C}"/>
            </c:ext>
          </c:extLst>
        </c:ser>
        <c:ser>
          <c:idx val="1"/>
          <c:order val="1"/>
          <c:tx>
            <c:strRef>
              <c:f>Sheet1!$C$1</c:f>
              <c:strCache>
                <c:ptCount val="1"/>
                <c:pt idx="0">
                  <c:v>Doctors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Before Patient Contact</c:v>
                </c:pt>
                <c:pt idx="1">
                  <c:v>Before Aseptic Procedure</c:v>
                </c:pt>
                <c:pt idx="2">
                  <c:v>After Exposure to Body Fluids</c:v>
                </c:pt>
                <c:pt idx="3">
                  <c:v>After Touching a Patient</c:v>
                </c:pt>
                <c:pt idx="4">
                  <c:v>After Touching Patient's Surroundings</c:v>
                </c:pt>
              </c:strCache>
            </c:strRef>
          </c:cat>
          <c:val>
            <c:numRef>
              <c:f>Sheet1!$C$2:$C$6</c:f>
              <c:numCache>
                <c:formatCode>General</c:formatCode>
                <c:ptCount val="5"/>
                <c:pt idx="0">
                  <c:v>25.7</c:v>
                </c:pt>
                <c:pt idx="1">
                  <c:v>71.400000000000006</c:v>
                </c:pt>
                <c:pt idx="2">
                  <c:v>88.5</c:v>
                </c:pt>
                <c:pt idx="3">
                  <c:v>10.1</c:v>
                </c:pt>
                <c:pt idx="4">
                  <c:v>47.3</c:v>
                </c:pt>
              </c:numCache>
            </c:numRef>
          </c:val>
          <c:extLst>
            <c:ext xmlns:c16="http://schemas.microsoft.com/office/drawing/2014/chart" uri="{C3380CC4-5D6E-409C-BE32-E72D297353CC}">
              <c16:uniqueId val="{00000001-8472-4BC0-9653-E0BED442112C}"/>
            </c:ext>
          </c:extLst>
        </c:ser>
        <c:ser>
          <c:idx val="2"/>
          <c:order val="2"/>
          <c:tx>
            <c:strRef>
              <c:f>Sheet1!$D$1</c:f>
              <c:strCache>
                <c:ptCount val="1"/>
                <c:pt idx="0">
                  <c:v>Health Assistants</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Before Patient Contact</c:v>
                </c:pt>
                <c:pt idx="1">
                  <c:v>Before Aseptic Procedure</c:v>
                </c:pt>
                <c:pt idx="2">
                  <c:v>After Exposure to Body Fluids</c:v>
                </c:pt>
                <c:pt idx="3">
                  <c:v>After Touching a Patient</c:v>
                </c:pt>
                <c:pt idx="4">
                  <c:v>After Touching Patient's Surroundings</c:v>
                </c:pt>
              </c:strCache>
            </c:strRef>
          </c:cat>
          <c:val>
            <c:numRef>
              <c:f>Sheet1!$D$2:$D$6</c:f>
              <c:numCache>
                <c:formatCode>General</c:formatCode>
                <c:ptCount val="5"/>
                <c:pt idx="0">
                  <c:v>7</c:v>
                </c:pt>
                <c:pt idx="1">
                  <c:v>0</c:v>
                </c:pt>
                <c:pt idx="2">
                  <c:v>60</c:v>
                </c:pt>
                <c:pt idx="3">
                  <c:v>4.8</c:v>
                </c:pt>
                <c:pt idx="4">
                  <c:v>16.100000000000001</c:v>
                </c:pt>
              </c:numCache>
            </c:numRef>
          </c:val>
          <c:extLst>
            <c:ext xmlns:c16="http://schemas.microsoft.com/office/drawing/2014/chart" uri="{C3380CC4-5D6E-409C-BE32-E72D297353CC}">
              <c16:uniqueId val="{00000002-8472-4BC0-9653-E0BED442112C}"/>
            </c:ext>
          </c:extLst>
        </c:ser>
        <c:dLbls>
          <c:dLblPos val="outEnd"/>
          <c:showLegendKey val="0"/>
          <c:showVal val="1"/>
          <c:showCatName val="0"/>
          <c:showSerName val="0"/>
          <c:showPercent val="0"/>
          <c:showBubbleSize val="0"/>
        </c:dLbls>
        <c:gapWidth val="219"/>
        <c:overlap val="-27"/>
        <c:axId val="988751360"/>
        <c:axId val="988753000"/>
      </c:barChart>
      <c:catAx>
        <c:axId val="98875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8753000"/>
        <c:crosses val="autoZero"/>
        <c:auto val="1"/>
        <c:lblAlgn val="ctr"/>
        <c:lblOffset val="100"/>
        <c:noMultiLvlLbl val="0"/>
      </c:catAx>
      <c:valAx>
        <c:axId val="988753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875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House Officers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Before Patient Contact </c:v>
                </c:pt>
                <c:pt idx="1">
                  <c:v>Before Aseptic Procedure</c:v>
                </c:pt>
                <c:pt idx="2">
                  <c:v>After Exposure to Body Fluids </c:v>
                </c:pt>
                <c:pt idx="3">
                  <c:v>After Touching a Patient </c:v>
                </c:pt>
                <c:pt idx="4">
                  <c:v>After Touching Patient's Surroundings </c:v>
                </c:pt>
              </c:strCache>
            </c:strRef>
          </c:cat>
          <c:val>
            <c:numRef>
              <c:f>Sheet1!$B$2:$B$6</c:f>
              <c:numCache>
                <c:formatCode>General</c:formatCode>
                <c:ptCount val="5"/>
                <c:pt idx="0">
                  <c:v>22.4</c:v>
                </c:pt>
                <c:pt idx="1">
                  <c:v>75</c:v>
                </c:pt>
                <c:pt idx="2">
                  <c:v>100</c:v>
                </c:pt>
                <c:pt idx="3">
                  <c:v>0</c:v>
                </c:pt>
                <c:pt idx="4">
                  <c:v>54.5</c:v>
                </c:pt>
              </c:numCache>
            </c:numRef>
          </c:val>
          <c:extLst>
            <c:ext xmlns:c16="http://schemas.microsoft.com/office/drawing/2014/chart" uri="{C3380CC4-5D6E-409C-BE32-E72D297353CC}">
              <c16:uniqueId val="{00000000-B7A4-4DD4-A8FE-52869999DFF0}"/>
            </c:ext>
          </c:extLst>
        </c:ser>
        <c:ser>
          <c:idx val="1"/>
          <c:order val="1"/>
          <c:tx>
            <c:strRef>
              <c:f>Sheet1!$C$1</c:f>
              <c:strCache>
                <c:ptCount val="1"/>
                <c:pt idx="0">
                  <c:v>Medical Officers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Before Patient Contact </c:v>
                </c:pt>
                <c:pt idx="1">
                  <c:v>Before Aseptic Procedure</c:v>
                </c:pt>
                <c:pt idx="2">
                  <c:v>After Exposure to Body Fluids </c:v>
                </c:pt>
                <c:pt idx="3">
                  <c:v>After Touching a Patient </c:v>
                </c:pt>
                <c:pt idx="4">
                  <c:v>After Touching Patient's Surroundings </c:v>
                </c:pt>
              </c:strCache>
            </c:strRef>
          </c:cat>
          <c:val>
            <c:numRef>
              <c:f>Sheet1!$C$2:$C$6</c:f>
              <c:numCache>
                <c:formatCode>General</c:formatCode>
                <c:ptCount val="5"/>
                <c:pt idx="0">
                  <c:v>15.4</c:v>
                </c:pt>
                <c:pt idx="1">
                  <c:v>0</c:v>
                </c:pt>
                <c:pt idx="2">
                  <c:v>100</c:v>
                </c:pt>
                <c:pt idx="3">
                  <c:v>11.5</c:v>
                </c:pt>
                <c:pt idx="4">
                  <c:v>33.299999999999997</c:v>
                </c:pt>
              </c:numCache>
            </c:numRef>
          </c:val>
          <c:extLst>
            <c:ext xmlns:c16="http://schemas.microsoft.com/office/drawing/2014/chart" uri="{C3380CC4-5D6E-409C-BE32-E72D297353CC}">
              <c16:uniqueId val="{00000001-B7A4-4DD4-A8FE-52869999DFF0}"/>
            </c:ext>
          </c:extLst>
        </c:ser>
        <c:ser>
          <c:idx val="2"/>
          <c:order val="2"/>
          <c:tx>
            <c:strRef>
              <c:f>Sheet1!$D$1</c:f>
              <c:strCache>
                <c:ptCount val="1"/>
                <c:pt idx="0">
                  <c:v>Residents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Before Patient Contact </c:v>
                </c:pt>
                <c:pt idx="1">
                  <c:v>Before Aseptic Procedure</c:v>
                </c:pt>
                <c:pt idx="2">
                  <c:v>After Exposure to Body Fluids </c:v>
                </c:pt>
                <c:pt idx="3">
                  <c:v>After Touching a Patient </c:v>
                </c:pt>
                <c:pt idx="4">
                  <c:v>After Touching Patient's Surroundings </c:v>
                </c:pt>
              </c:strCache>
            </c:strRef>
          </c:cat>
          <c:val>
            <c:numRef>
              <c:f>Sheet1!$D$2:$D$6</c:f>
              <c:numCache>
                <c:formatCode>General</c:formatCode>
                <c:ptCount val="5"/>
                <c:pt idx="0">
                  <c:v>45.5</c:v>
                </c:pt>
                <c:pt idx="1">
                  <c:v>100</c:v>
                </c:pt>
                <c:pt idx="2">
                  <c:v>75</c:v>
                </c:pt>
                <c:pt idx="3">
                  <c:v>20</c:v>
                </c:pt>
                <c:pt idx="4">
                  <c:v>37.5</c:v>
                </c:pt>
              </c:numCache>
            </c:numRef>
          </c:val>
          <c:extLst>
            <c:ext xmlns:c16="http://schemas.microsoft.com/office/drawing/2014/chart" uri="{C3380CC4-5D6E-409C-BE32-E72D297353CC}">
              <c16:uniqueId val="{00000002-B7A4-4DD4-A8FE-52869999DFF0}"/>
            </c:ext>
          </c:extLst>
        </c:ser>
        <c:ser>
          <c:idx val="3"/>
          <c:order val="3"/>
          <c:tx>
            <c:strRef>
              <c:f>Sheet1!$E$1</c:f>
              <c:strCache>
                <c:ptCount val="1"/>
                <c:pt idx="0">
                  <c:v>Consultants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Before Patient Contact </c:v>
                </c:pt>
                <c:pt idx="1">
                  <c:v>Before Aseptic Procedure</c:v>
                </c:pt>
                <c:pt idx="2">
                  <c:v>After Exposure to Body Fluids </c:v>
                </c:pt>
                <c:pt idx="3">
                  <c:v>After Touching a Patient </c:v>
                </c:pt>
                <c:pt idx="4">
                  <c:v>After Touching Patient's Surroundings </c:v>
                </c:pt>
              </c:strCache>
            </c:strRef>
          </c:cat>
          <c:val>
            <c:numRef>
              <c:f>Sheet1!$E$2:$E$6</c:f>
              <c:numCache>
                <c:formatCode>General</c:formatCode>
                <c:ptCount val="5"/>
                <c:pt idx="0">
                  <c:v>31.6</c:v>
                </c:pt>
                <c:pt idx="1">
                  <c:v>100</c:v>
                </c:pt>
                <c:pt idx="2">
                  <c:v>77.8</c:v>
                </c:pt>
                <c:pt idx="3">
                  <c:v>11.1</c:v>
                </c:pt>
                <c:pt idx="4">
                  <c:v>66.7</c:v>
                </c:pt>
              </c:numCache>
            </c:numRef>
          </c:val>
          <c:extLst>
            <c:ext xmlns:c16="http://schemas.microsoft.com/office/drawing/2014/chart" uri="{C3380CC4-5D6E-409C-BE32-E72D297353CC}">
              <c16:uniqueId val="{00000003-B7A4-4DD4-A8FE-52869999DFF0}"/>
            </c:ext>
          </c:extLst>
        </c:ser>
        <c:dLbls>
          <c:dLblPos val="outEnd"/>
          <c:showLegendKey val="0"/>
          <c:showVal val="1"/>
          <c:showCatName val="0"/>
          <c:showSerName val="0"/>
          <c:showPercent val="0"/>
          <c:showBubbleSize val="0"/>
        </c:dLbls>
        <c:gapWidth val="219"/>
        <c:overlap val="-27"/>
        <c:axId val="383794104"/>
        <c:axId val="383787872"/>
      </c:barChart>
      <c:catAx>
        <c:axId val="3837941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787872"/>
        <c:crosses val="autoZero"/>
        <c:auto val="1"/>
        <c:lblAlgn val="ctr"/>
        <c:lblOffset val="100"/>
        <c:noMultiLvlLbl val="0"/>
      </c:catAx>
      <c:valAx>
        <c:axId val="3837878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794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Staff Nurses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Before Patient Contact </c:v>
                </c:pt>
                <c:pt idx="1">
                  <c:v>Before Aseptic Procedure</c:v>
                </c:pt>
                <c:pt idx="2">
                  <c:v>After Exposure to Body Fluids </c:v>
                </c:pt>
                <c:pt idx="3">
                  <c:v>After Touching a Patient </c:v>
                </c:pt>
                <c:pt idx="4">
                  <c:v>After Touching Patient's Surroundings </c:v>
                </c:pt>
              </c:strCache>
            </c:strRef>
          </c:cat>
          <c:val>
            <c:numRef>
              <c:f>Sheet1!$B$2:$B$7</c:f>
              <c:numCache>
                <c:formatCode>General</c:formatCode>
                <c:ptCount val="5"/>
                <c:pt idx="0">
                  <c:v>20.5</c:v>
                </c:pt>
                <c:pt idx="1">
                  <c:v>63.6</c:v>
                </c:pt>
                <c:pt idx="2">
                  <c:v>73.3</c:v>
                </c:pt>
                <c:pt idx="3">
                  <c:v>8.6</c:v>
                </c:pt>
                <c:pt idx="4">
                  <c:v>55.2</c:v>
                </c:pt>
              </c:numCache>
            </c:numRef>
          </c:val>
          <c:extLst>
            <c:ext xmlns:c16="http://schemas.microsoft.com/office/drawing/2014/chart" uri="{C3380CC4-5D6E-409C-BE32-E72D297353CC}">
              <c16:uniqueId val="{00000000-8A93-4CC8-BCFD-7C25E109A58D}"/>
            </c:ext>
          </c:extLst>
        </c:ser>
        <c:ser>
          <c:idx val="1"/>
          <c:order val="1"/>
          <c:tx>
            <c:strRef>
              <c:f>Sheet1!$C$1</c:f>
              <c:strCache>
                <c:ptCount val="1"/>
                <c:pt idx="0">
                  <c:v>Senior Nursing Officers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Before Patient Contact </c:v>
                </c:pt>
                <c:pt idx="1">
                  <c:v>Before Aseptic Procedure</c:v>
                </c:pt>
                <c:pt idx="2">
                  <c:v>After Exposure to Body Fluids </c:v>
                </c:pt>
                <c:pt idx="3">
                  <c:v>After Touching a Patient </c:v>
                </c:pt>
                <c:pt idx="4">
                  <c:v>After Touching Patient's Surroundings </c:v>
                </c:pt>
              </c:strCache>
            </c:strRef>
          </c:cat>
          <c:val>
            <c:numRef>
              <c:f>Sheet1!$C$2:$C$7</c:f>
              <c:numCache>
                <c:formatCode>General</c:formatCode>
                <c:ptCount val="5"/>
                <c:pt idx="0">
                  <c:v>26.7</c:v>
                </c:pt>
                <c:pt idx="1">
                  <c:v>0</c:v>
                </c:pt>
                <c:pt idx="2">
                  <c:v>100</c:v>
                </c:pt>
                <c:pt idx="3">
                  <c:v>18.8</c:v>
                </c:pt>
                <c:pt idx="4">
                  <c:v>26.7</c:v>
                </c:pt>
              </c:numCache>
            </c:numRef>
          </c:val>
          <c:extLst>
            <c:ext xmlns:c16="http://schemas.microsoft.com/office/drawing/2014/chart" uri="{C3380CC4-5D6E-409C-BE32-E72D297353CC}">
              <c16:uniqueId val="{00000001-8A93-4CC8-BCFD-7C25E109A58D}"/>
            </c:ext>
          </c:extLst>
        </c:ser>
        <c:ser>
          <c:idx val="2"/>
          <c:order val="2"/>
          <c:tx>
            <c:strRef>
              <c:f>Sheet1!$D$1</c:f>
              <c:strCache>
                <c:ptCount val="1"/>
                <c:pt idx="0">
                  <c:v>Assistant Chief Nursing Officers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Before Patient Contact </c:v>
                </c:pt>
                <c:pt idx="1">
                  <c:v>Before Aseptic Procedure</c:v>
                </c:pt>
                <c:pt idx="2">
                  <c:v>After Exposure to Body Fluids </c:v>
                </c:pt>
                <c:pt idx="3">
                  <c:v>After Touching a Patient </c:v>
                </c:pt>
                <c:pt idx="4">
                  <c:v>After Touching Patient's Surroundings </c:v>
                </c:pt>
              </c:strCache>
            </c:strRef>
          </c:cat>
          <c:val>
            <c:numRef>
              <c:f>Sheet1!$D$2:$D$7</c:f>
              <c:numCache>
                <c:formatCode>General</c:formatCode>
                <c:ptCount val="5"/>
                <c:pt idx="0">
                  <c:v>5.9</c:v>
                </c:pt>
                <c:pt idx="1">
                  <c:v>50</c:v>
                </c:pt>
                <c:pt idx="2">
                  <c:v>71.400000000000006</c:v>
                </c:pt>
                <c:pt idx="3">
                  <c:v>13.3</c:v>
                </c:pt>
                <c:pt idx="4">
                  <c:v>33.299999999999997</c:v>
                </c:pt>
              </c:numCache>
            </c:numRef>
          </c:val>
          <c:extLst>
            <c:ext xmlns:c16="http://schemas.microsoft.com/office/drawing/2014/chart" uri="{C3380CC4-5D6E-409C-BE32-E72D297353CC}">
              <c16:uniqueId val="{00000002-8A93-4CC8-BCFD-7C25E109A58D}"/>
            </c:ext>
          </c:extLst>
        </c:ser>
        <c:ser>
          <c:idx val="3"/>
          <c:order val="3"/>
          <c:tx>
            <c:strRef>
              <c:f>Sheet1!$E$1</c:f>
              <c:strCache>
                <c:ptCount val="1"/>
                <c:pt idx="0">
                  <c:v>Chief Nursing Officers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Before Patient Contact </c:v>
                </c:pt>
                <c:pt idx="1">
                  <c:v>Before Aseptic Procedure</c:v>
                </c:pt>
                <c:pt idx="2">
                  <c:v>After Exposure to Body Fluids </c:v>
                </c:pt>
                <c:pt idx="3">
                  <c:v>After Touching a Patient </c:v>
                </c:pt>
                <c:pt idx="4">
                  <c:v>After Touching Patient's Surroundings </c:v>
                </c:pt>
              </c:strCache>
            </c:strRef>
          </c:cat>
          <c:val>
            <c:numRef>
              <c:f>Sheet1!$E$2:$E$7</c:f>
              <c:numCache>
                <c:formatCode>General</c:formatCode>
                <c:ptCount val="5"/>
                <c:pt idx="0">
                  <c:v>46.2</c:v>
                </c:pt>
                <c:pt idx="1">
                  <c:v>80</c:v>
                </c:pt>
                <c:pt idx="2">
                  <c:v>62.5</c:v>
                </c:pt>
                <c:pt idx="3">
                  <c:v>11.8</c:v>
                </c:pt>
                <c:pt idx="4">
                  <c:v>31.8</c:v>
                </c:pt>
              </c:numCache>
            </c:numRef>
          </c:val>
          <c:extLst>
            <c:ext xmlns:c16="http://schemas.microsoft.com/office/drawing/2014/chart" uri="{C3380CC4-5D6E-409C-BE32-E72D297353CC}">
              <c16:uniqueId val="{00000003-8A93-4CC8-BCFD-7C25E109A58D}"/>
            </c:ext>
          </c:extLst>
        </c:ser>
        <c:dLbls>
          <c:dLblPos val="outEnd"/>
          <c:showLegendKey val="0"/>
          <c:showVal val="1"/>
          <c:showCatName val="0"/>
          <c:showSerName val="0"/>
          <c:showPercent val="0"/>
          <c:showBubbleSize val="0"/>
        </c:dLbls>
        <c:gapWidth val="219"/>
        <c:overlap val="-27"/>
        <c:axId val="383794104"/>
        <c:axId val="383787872"/>
      </c:barChart>
      <c:catAx>
        <c:axId val="38379410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787872"/>
        <c:crosses val="autoZero"/>
        <c:auto val="1"/>
        <c:lblAlgn val="ctr"/>
        <c:lblOffset val="100"/>
        <c:noMultiLvlLbl val="0"/>
      </c:catAx>
      <c:valAx>
        <c:axId val="3837878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794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7E22600A441AFB9EC3423FB1F3FBA"/>
        <w:category>
          <w:name w:val="General"/>
          <w:gallery w:val="placeholder"/>
        </w:category>
        <w:types>
          <w:type w:val="bbPlcHdr"/>
        </w:types>
        <w:behaviors>
          <w:behavior w:val="content"/>
        </w:behaviors>
        <w:guid w:val="{BB34C946-4287-4299-A17A-8C91023B4C37}"/>
      </w:docPartPr>
      <w:docPartBody>
        <w:p w:rsidR="00935795" w:rsidRDefault="003121D7" w:rsidP="003121D7">
          <w:pPr>
            <w:pStyle w:val="23B7E22600A441AFB9EC3423FB1F3FBA"/>
          </w:pPr>
          <w:r w:rsidRPr="0080439D">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D7"/>
    <w:rsid w:val="001D4A89"/>
    <w:rsid w:val="003121D7"/>
    <w:rsid w:val="00935795"/>
    <w:rsid w:val="00B97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1D7"/>
    <w:rPr>
      <w:color w:val="808080"/>
    </w:rPr>
  </w:style>
  <w:style w:type="paragraph" w:customStyle="1" w:styleId="23B7E22600A441AFB9EC3423FB1F3FBA">
    <w:name w:val="23B7E22600A441AFB9EC3423FB1F3FBA"/>
    <w:rsid w:val="00312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04T15:31:47.748"/>
    </inkml:context>
    <inkml:brush xml:id="br0">
      <inkml:brushProperty name="width" value="0.05" units="cm"/>
      <inkml:brushProperty name="height" value="0.05" units="cm"/>
      <inkml:brushProperty name="color" value="#5B2D90"/>
    </inkml:brush>
  </inkml:definitions>
  <inkml:trace contextRef="#ctx0" brushRef="#br0">9 19 919 0 0,'0'0'80'0'0,"-5"-8"-80"0"0,1-2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Image1</b:Tag>
    <b:RefOrder>1</b:RefOrder>
  </b:Source>
  <b:Source xmlns:b="http://schemas.openxmlformats.org/officeDocument/2006/bibliography" xmlns="http://schemas.openxmlformats.org/officeDocument/2006/bibliography">
    <b:Tag>Image2</b:Tag>
    <b:RefOrder>2</b:RefOrder>
  </b:Source>
  <b:Source xmlns:b="http://schemas.openxmlformats.org/officeDocument/2006/bibliography" xmlns="http://schemas.openxmlformats.org/officeDocument/2006/bibliography">
    <b:Tag>Image3</b:Tag>
    <b:RefOrder>3</b:RefOrder>
  </b:Source>
  <b:Source xmlns:b="http://schemas.openxmlformats.org/officeDocument/2006/bibliography" xmlns="http://schemas.openxmlformats.org/officeDocument/2006/bibliography">
    <b:Tag>Table1</b:Tag>
    <b:RefOrder>4</b:RefOrder>
  </b:Source>
  <b:Source xmlns:b="http://schemas.openxmlformats.org/officeDocument/2006/bibliography" xmlns="http://schemas.openxmlformats.org/officeDocument/2006/bibliography">
    <b:Tag>figure1</b:Tag>
    <b:RefOrder>5</b:RefOrder>
  </b:Source>
  <b:Source xmlns:b="http://schemas.openxmlformats.org/officeDocument/2006/bibliography" xmlns="http://schemas.openxmlformats.org/officeDocument/2006/bibliography">
    <b:Tag>table2</b:Tag>
    <b:RefOrder>6</b:RefOrder>
  </b:Source>
  <b:Source xmlns:b="http://schemas.openxmlformats.org/officeDocument/2006/bibliography" xmlns="http://schemas.openxmlformats.org/officeDocument/2006/bibliography">
    <b:Tag>figure2</b:Tag>
    <b:RefOrder>7</b:RefOrder>
  </b:Source>
  <b:Source xmlns:b="http://schemas.openxmlformats.org/officeDocument/2006/bibliography" xmlns="http://schemas.openxmlformats.org/officeDocument/2006/bibliography">
    <b:Tag>figure3</b:Tag>
    <b:RefOrder>8</b:RefOrder>
  </b:Source>
</b:Sources>
</file>

<file path=customXml/itemProps1.xml><?xml version="1.0" encoding="utf-8"?>
<ds:datastoreItem xmlns:ds="http://schemas.openxmlformats.org/officeDocument/2006/customXml" ds:itemID="{274C716F-52A4-471B-918F-BBC82CB7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4506</Words>
  <Characters>25689</Characters>
  <Application>Microsoft Office Word</Application>
  <DocSecurity>0</DocSecurity>
  <Lines>214</Lines>
  <Paragraphs>60</Paragraphs>
  <ScaleCrop>false</ScaleCrop>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ATAIYERO Yetunde O</dc:creator>
  <cp:keywords/>
  <dc:description/>
  <cp:lastModifiedBy>LITTLE Andrew J</cp:lastModifiedBy>
  <cp:revision>2</cp:revision>
  <dcterms:created xsi:type="dcterms:W3CDTF">2021-12-02T12:23:00Z</dcterms:created>
  <dcterms:modified xsi:type="dcterms:W3CDTF">2021-12-02T12:23:00Z</dcterms:modified>
</cp:coreProperties>
</file>