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3F2AB" w14:textId="77777777" w:rsidR="00200F31" w:rsidRPr="00200F31" w:rsidRDefault="00200F31" w:rsidP="00200F31">
      <w:pPr>
        <w:pStyle w:val="CommentText"/>
        <w:jc w:val="center"/>
        <w:rPr>
          <w:b/>
          <w:bCs/>
        </w:rPr>
      </w:pPr>
      <w:r w:rsidRPr="00200F31">
        <w:rPr>
          <w:b/>
          <w:bCs/>
        </w:rPr>
        <w:t xml:space="preserve">FDI spillover effects on </w:t>
      </w:r>
      <w:r w:rsidR="006937F4">
        <w:rPr>
          <w:b/>
          <w:bCs/>
        </w:rPr>
        <w:t xml:space="preserve">innovation activities of </w:t>
      </w:r>
      <w:r w:rsidRPr="00200F31">
        <w:rPr>
          <w:b/>
          <w:bCs/>
        </w:rPr>
        <w:t>knowledge using and knowledge creating firms</w:t>
      </w:r>
      <w:r w:rsidR="006937F4">
        <w:rPr>
          <w:b/>
          <w:bCs/>
        </w:rPr>
        <w:t>: Evidence from an emerging economy</w:t>
      </w:r>
    </w:p>
    <w:p w14:paraId="51814A69" w14:textId="77777777" w:rsidR="00027A3B" w:rsidRDefault="00027A3B" w:rsidP="00027A3B">
      <w:pPr>
        <w:rPr>
          <w:b/>
        </w:rPr>
      </w:pPr>
    </w:p>
    <w:p w14:paraId="68107223" w14:textId="77777777" w:rsidR="00C56672" w:rsidRPr="00DB4713" w:rsidRDefault="00C56672" w:rsidP="00DB4713">
      <w:pPr>
        <w:rPr>
          <w:bCs/>
        </w:rPr>
      </w:pPr>
      <w:r w:rsidRPr="00DB4713">
        <w:rPr>
          <w:bCs/>
        </w:rPr>
        <w:t>Dr Nina Vujanović</w:t>
      </w:r>
    </w:p>
    <w:p w14:paraId="59F79A4E" w14:textId="77777777" w:rsidR="00C56672" w:rsidRPr="00DB4713" w:rsidRDefault="00C56672" w:rsidP="00DB4713">
      <w:pPr>
        <w:rPr>
          <w:bCs/>
        </w:rPr>
      </w:pPr>
      <w:r w:rsidRPr="00DB4713">
        <w:rPr>
          <w:bCs/>
        </w:rPr>
        <w:t>Centre for Macroeconomic and Financial Research and Prognosis</w:t>
      </w:r>
    </w:p>
    <w:p w14:paraId="0AE78A44" w14:textId="77777777" w:rsidR="00C56672" w:rsidRPr="00DB4713" w:rsidRDefault="00C56672" w:rsidP="00DB4713">
      <w:pPr>
        <w:rPr>
          <w:bCs/>
        </w:rPr>
      </w:pPr>
      <w:r w:rsidRPr="00DB4713">
        <w:rPr>
          <w:bCs/>
        </w:rPr>
        <w:t>Central Bank of Montenegro, Montenegro</w:t>
      </w:r>
    </w:p>
    <w:p w14:paraId="6FB003B4" w14:textId="77777777" w:rsidR="00C56672" w:rsidRPr="00DB4713" w:rsidRDefault="00C56672" w:rsidP="00DB4713">
      <w:pPr>
        <w:rPr>
          <w:bCs/>
        </w:rPr>
      </w:pPr>
    </w:p>
    <w:p w14:paraId="4E8B08A6" w14:textId="77777777" w:rsidR="00C56672" w:rsidRPr="00DB4713" w:rsidRDefault="00C56672" w:rsidP="00DB4713">
      <w:pPr>
        <w:rPr>
          <w:bCs/>
        </w:rPr>
      </w:pPr>
      <w:r w:rsidRPr="00DB4713">
        <w:rPr>
          <w:bCs/>
        </w:rPr>
        <w:t>Prof. Slavo Radošević</w:t>
      </w:r>
    </w:p>
    <w:p w14:paraId="46D7B6AD" w14:textId="77777777" w:rsidR="00C56672" w:rsidRPr="00DB4713" w:rsidRDefault="00C56672" w:rsidP="00DB4713">
      <w:pPr>
        <w:rPr>
          <w:bCs/>
        </w:rPr>
      </w:pPr>
      <w:r w:rsidRPr="00DB4713">
        <w:rPr>
          <w:bCs/>
        </w:rPr>
        <w:t>University College London, School of Slavonic and East European Studies</w:t>
      </w:r>
    </w:p>
    <w:p w14:paraId="5C87D3AD" w14:textId="77777777" w:rsidR="00C56672" w:rsidRPr="00DB4713" w:rsidRDefault="00C56672" w:rsidP="00DB4713">
      <w:pPr>
        <w:rPr>
          <w:bCs/>
        </w:rPr>
      </w:pPr>
      <w:r w:rsidRPr="00DB4713">
        <w:rPr>
          <w:bCs/>
        </w:rPr>
        <w:t>London, United Kingdom</w:t>
      </w:r>
    </w:p>
    <w:p w14:paraId="61D082F7" w14:textId="77777777" w:rsidR="00C56672" w:rsidRPr="00DB4713" w:rsidRDefault="00C56672" w:rsidP="00DB4713">
      <w:pPr>
        <w:rPr>
          <w:bCs/>
        </w:rPr>
      </w:pPr>
    </w:p>
    <w:p w14:paraId="173D25E2" w14:textId="77777777" w:rsidR="00C56672" w:rsidRPr="00DB4713" w:rsidRDefault="00C56672" w:rsidP="00DB4713">
      <w:pPr>
        <w:rPr>
          <w:bCs/>
        </w:rPr>
      </w:pPr>
      <w:r w:rsidRPr="00DB4713">
        <w:rPr>
          <w:bCs/>
        </w:rPr>
        <w:t xml:space="preserve">Assoc. </w:t>
      </w:r>
      <w:r w:rsidR="00DB4713" w:rsidRPr="00DB4713">
        <w:rPr>
          <w:bCs/>
        </w:rPr>
        <w:t>P</w:t>
      </w:r>
      <w:r w:rsidRPr="00DB4713">
        <w:rPr>
          <w:bCs/>
        </w:rPr>
        <w:t>rof. Nebojša Stojčić</w:t>
      </w:r>
    </w:p>
    <w:p w14:paraId="1FE31503" w14:textId="77777777" w:rsidR="00C56672" w:rsidRPr="00DB4713" w:rsidRDefault="00C56672" w:rsidP="00DB4713">
      <w:pPr>
        <w:rPr>
          <w:bCs/>
        </w:rPr>
      </w:pPr>
      <w:r w:rsidRPr="00DB4713">
        <w:rPr>
          <w:bCs/>
        </w:rPr>
        <w:t>University of Dubrovnik, Department of Economics and Business</w:t>
      </w:r>
    </w:p>
    <w:p w14:paraId="65A9D99F" w14:textId="77777777" w:rsidR="00C56672" w:rsidRPr="00DB4713" w:rsidRDefault="00C56672" w:rsidP="00DB4713">
      <w:pPr>
        <w:rPr>
          <w:bCs/>
        </w:rPr>
      </w:pPr>
      <w:r w:rsidRPr="00DB4713">
        <w:rPr>
          <w:bCs/>
        </w:rPr>
        <w:t>Dubrovnik, Croatia and</w:t>
      </w:r>
    </w:p>
    <w:p w14:paraId="400E982E" w14:textId="77777777" w:rsidR="00C56672" w:rsidRPr="00DB4713" w:rsidRDefault="00C56672" w:rsidP="00DB4713">
      <w:pPr>
        <w:rPr>
          <w:bCs/>
        </w:rPr>
      </w:pPr>
      <w:r w:rsidRPr="00DB4713">
        <w:rPr>
          <w:bCs/>
        </w:rPr>
        <w:t>Staffordshire University Business School</w:t>
      </w:r>
    </w:p>
    <w:p w14:paraId="0AF0FA60" w14:textId="77777777" w:rsidR="00C56672" w:rsidRPr="00DB4713" w:rsidRDefault="00C56672" w:rsidP="00DB4713">
      <w:pPr>
        <w:rPr>
          <w:bCs/>
        </w:rPr>
      </w:pPr>
      <w:r w:rsidRPr="00DB4713">
        <w:rPr>
          <w:bCs/>
        </w:rPr>
        <w:t>Stoke-on-Trent, United Kingdom</w:t>
      </w:r>
    </w:p>
    <w:p w14:paraId="59C1EA4C" w14:textId="77777777" w:rsidR="00C56672" w:rsidRPr="00DB4713" w:rsidRDefault="00C56672" w:rsidP="00DB4713">
      <w:pPr>
        <w:rPr>
          <w:bCs/>
        </w:rPr>
      </w:pPr>
    </w:p>
    <w:p w14:paraId="7F465300" w14:textId="77777777" w:rsidR="00C56672" w:rsidRPr="00DB4713" w:rsidRDefault="00C56672" w:rsidP="00DB4713">
      <w:pPr>
        <w:rPr>
          <w:bCs/>
        </w:rPr>
      </w:pPr>
      <w:r w:rsidRPr="00DB4713">
        <w:rPr>
          <w:bCs/>
        </w:rPr>
        <w:t>Prof. Iraj Hashi</w:t>
      </w:r>
    </w:p>
    <w:p w14:paraId="47EB2EB2" w14:textId="77777777" w:rsidR="00C56672" w:rsidRPr="00DB4713" w:rsidRDefault="00C56672" w:rsidP="00DB4713">
      <w:pPr>
        <w:rPr>
          <w:bCs/>
        </w:rPr>
      </w:pPr>
      <w:r w:rsidRPr="00DB4713">
        <w:rPr>
          <w:bCs/>
        </w:rPr>
        <w:t>Staffordshire University Business School</w:t>
      </w:r>
    </w:p>
    <w:p w14:paraId="246B3AB5" w14:textId="77777777" w:rsidR="00C56672" w:rsidRPr="00DB4713" w:rsidRDefault="00C56672" w:rsidP="00DB4713">
      <w:pPr>
        <w:rPr>
          <w:bCs/>
        </w:rPr>
      </w:pPr>
      <w:r w:rsidRPr="00DB4713">
        <w:rPr>
          <w:bCs/>
        </w:rPr>
        <w:t>Stoke-on-Trent, United Kingdom</w:t>
      </w:r>
    </w:p>
    <w:p w14:paraId="40B7F5A4" w14:textId="77777777" w:rsidR="0091167D" w:rsidRDefault="0091167D" w:rsidP="00027A3B">
      <w:pPr>
        <w:rPr>
          <w:bCs/>
        </w:rPr>
      </w:pPr>
    </w:p>
    <w:p w14:paraId="6C575DC8" w14:textId="4EAE6F3D" w:rsidR="00C56672" w:rsidRDefault="00E14EC2" w:rsidP="00DB4713">
      <w:pPr>
        <w:rPr>
          <w:bCs/>
        </w:rPr>
      </w:pPr>
      <w:r>
        <w:rPr>
          <w:bCs/>
        </w:rPr>
        <w:t>Assistant</w:t>
      </w:r>
      <w:r w:rsidR="00DB4713">
        <w:rPr>
          <w:bCs/>
        </w:rPr>
        <w:t xml:space="preserve"> P</w:t>
      </w:r>
      <w:r w:rsidR="00C56672">
        <w:rPr>
          <w:bCs/>
        </w:rPr>
        <w:t>rof. Mehtap Hisarciklilar</w:t>
      </w:r>
    </w:p>
    <w:p w14:paraId="6EB5AD40" w14:textId="77777777" w:rsidR="00C56672" w:rsidRDefault="006937F4" w:rsidP="00027A3B">
      <w:pPr>
        <w:rPr>
          <w:bCs/>
        </w:rPr>
      </w:pPr>
      <w:r>
        <w:rPr>
          <w:bCs/>
        </w:rPr>
        <w:t>Coventry University, School of Economics, Finance and Accounting</w:t>
      </w:r>
    </w:p>
    <w:p w14:paraId="4AC46A28" w14:textId="77777777" w:rsidR="006937F4" w:rsidRDefault="006937F4" w:rsidP="00027A3B">
      <w:pPr>
        <w:rPr>
          <w:bCs/>
        </w:rPr>
      </w:pPr>
      <w:r>
        <w:rPr>
          <w:bCs/>
        </w:rPr>
        <w:t>Coventry, United Kingdom</w:t>
      </w:r>
    </w:p>
    <w:p w14:paraId="6C296EC0" w14:textId="77777777" w:rsidR="00C56672" w:rsidRDefault="00C56672" w:rsidP="00027A3B">
      <w:pPr>
        <w:rPr>
          <w:b/>
        </w:rPr>
      </w:pPr>
    </w:p>
    <w:p w14:paraId="0C8A9D03" w14:textId="77777777" w:rsidR="00027A3B" w:rsidRDefault="00027A3B" w:rsidP="00027A3B">
      <w:pPr>
        <w:rPr>
          <w:b/>
        </w:rPr>
      </w:pPr>
      <w:r w:rsidRPr="00A91EE2">
        <w:rPr>
          <w:b/>
        </w:rPr>
        <w:t>Abstract</w:t>
      </w:r>
    </w:p>
    <w:p w14:paraId="3CB626E0" w14:textId="77777777" w:rsidR="000B4B7F" w:rsidRPr="003444D5" w:rsidRDefault="000B4B7F" w:rsidP="00027A3B">
      <w:pPr>
        <w:rPr>
          <w:b/>
        </w:rPr>
      </w:pPr>
    </w:p>
    <w:p w14:paraId="32FE2E5A" w14:textId="39EC60E0" w:rsidR="00027A3B" w:rsidRDefault="0091167D" w:rsidP="00DB4713">
      <w:pPr>
        <w:jc w:val="both"/>
        <w:rPr>
          <w:i/>
        </w:rPr>
      </w:pPr>
      <w:r>
        <w:rPr>
          <w:i/>
        </w:rPr>
        <w:t xml:space="preserve">The beneficial effects of innovation for firm performance and competitiveness are </w:t>
      </w:r>
      <w:r w:rsidR="00DB4713">
        <w:rPr>
          <w:i/>
        </w:rPr>
        <w:t>well established</w:t>
      </w:r>
      <w:r>
        <w:rPr>
          <w:i/>
        </w:rPr>
        <w:t xml:space="preserve"> but it has been suggested in recent years that innovation regimes differ between a</w:t>
      </w:r>
      <w:r w:rsidR="006C42D8">
        <w:rPr>
          <w:i/>
        </w:rPr>
        <w:t xml:space="preserve">dvanced and emerging economies. </w:t>
      </w:r>
      <w:r>
        <w:rPr>
          <w:i/>
        </w:rPr>
        <w:t xml:space="preserve">While advanced economies rely on knowledge generation, their emerging counterparts follow </w:t>
      </w:r>
      <w:r w:rsidR="00DE316D">
        <w:rPr>
          <w:i/>
        </w:rPr>
        <w:t xml:space="preserve">mainly </w:t>
      </w:r>
      <w:r>
        <w:rPr>
          <w:i/>
        </w:rPr>
        <w:t xml:space="preserve">knowledge use regime through </w:t>
      </w:r>
      <w:r w:rsidR="00DB4713">
        <w:rPr>
          <w:i/>
        </w:rPr>
        <w:t xml:space="preserve">the </w:t>
      </w:r>
      <w:r>
        <w:rPr>
          <w:i/>
        </w:rPr>
        <w:t xml:space="preserve">application of existing knowledge and technology. </w:t>
      </w:r>
      <w:r w:rsidR="00DB4713">
        <w:rPr>
          <w:i/>
        </w:rPr>
        <w:t>C</w:t>
      </w:r>
      <w:r>
        <w:rPr>
          <w:i/>
        </w:rPr>
        <w:t xml:space="preserve">limbing </w:t>
      </w:r>
      <w:r w:rsidR="00DB4713">
        <w:rPr>
          <w:i/>
        </w:rPr>
        <w:t xml:space="preserve">up the </w:t>
      </w:r>
      <w:r>
        <w:rPr>
          <w:i/>
        </w:rPr>
        <w:t xml:space="preserve">technological ladder can be helped through spillovers from foreign </w:t>
      </w:r>
      <w:r w:rsidR="00DB4713">
        <w:rPr>
          <w:i/>
        </w:rPr>
        <w:t xml:space="preserve">investors </w:t>
      </w:r>
      <w:r>
        <w:rPr>
          <w:i/>
        </w:rPr>
        <w:t>to local firms. We investigate whether FDI spillovers influence different phases of innovation process (from decision to innovate to productivity) among knowledge using and knowledge creating firms in</w:t>
      </w:r>
      <w:r w:rsidR="00DB4713">
        <w:rPr>
          <w:i/>
        </w:rPr>
        <w:t xml:space="preserve"> an</w:t>
      </w:r>
      <w:r>
        <w:rPr>
          <w:i/>
        </w:rPr>
        <w:t xml:space="preserve"> emerging European economy. The results show that innovation process in emerging economies is closer to imitation than creation of novel products. Local firms benefit from foreign </w:t>
      </w:r>
      <w:r w:rsidR="00DB4713">
        <w:rPr>
          <w:i/>
        </w:rPr>
        <w:t xml:space="preserve">counterparts </w:t>
      </w:r>
      <w:r>
        <w:rPr>
          <w:i/>
        </w:rPr>
        <w:t xml:space="preserve">in the early phase of innovation process. Stronger FDI effects are found on </w:t>
      </w:r>
      <w:r w:rsidR="000E53E4" w:rsidRPr="000E53E4">
        <w:rPr>
          <w:i/>
        </w:rPr>
        <w:t xml:space="preserve">firms that undertake innovation through </w:t>
      </w:r>
      <w:r w:rsidR="000E53E4">
        <w:rPr>
          <w:i/>
        </w:rPr>
        <w:t>knowledge use</w:t>
      </w:r>
      <w:r w:rsidR="000E53E4" w:rsidRPr="000E53E4">
        <w:rPr>
          <w:i/>
        </w:rPr>
        <w:t xml:space="preserve"> than through </w:t>
      </w:r>
      <w:r w:rsidR="000E53E4">
        <w:rPr>
          <w:i/>
        </w:rPr>
        <w:t>knowledge generation.</w:t>
      </w:r>
      <w:r w:rsidR="000E53E4" w:rsidRPr="000E53E4">
        <w:rPr>
          <w:i/>
        </w:rPr>
        <w:t xml:space="preserve"> </w:t>
      </w:r>
    </w:p>
    <w:p w14:paraId="5C44F767" w14:textId="77777777" w:rsidR="0091167D" w:rsidRDefault="0091167D" w:rsidP="0091167D">
      <w:pPr>
        <w:jc w:val="both"/>
        <w:rPr>
          <w:i/>
        </w:rPr>
      </w:pPr>
    </w:p>
    <w:p w14:paraId="5CD419E9" w14:textId="77777777" w:rsidR="0091167D" w:rsidRDefault="0091167D" w:rsidP="0091167D">
      <w:pPr>
        <w:jc w:val="both"/>
      </w:pPr>
      <w:r>
        <w:rPr>
          <w:i/>
        </w:rPr>
        <w:t xml:space="preserve">Keywords: </w:t>
      </w:r>
      <w:r w:rsidR="00C56672">
        <w:rPr>
          <w:i/>
        </w:rPr>
        <w:t>knowledge use; knowledge generation; FDI; innovation; emerging economy</w:t>
      </w:r>
    </w:p>
    <w:p w14:paraId="4FF2E446" w14:textId="77777777" w:rsidR="00C75A2A" w:rsidRDefault="00C75A2A" w:rsidP="00027A3B"/>
    <w:p w14:paraId="342C2919" w14:textId="77777777" w:rsidR="00C75A2A" w:rsidRDefault="00C75A2A" w:rsidP="00027A3B"/>
    <w:p w14:paraId="1D316B7E" w14:textId="77777777" w:rsidR="00C75A2A" w:rsidRDefault="00C75A2A" w:rsidP="00027A3B"/>
    <w:p w14:paraId="0BF57839" w14:textId="77777777" w:rsidR="00C75A2A" w:rsidRDefault="00C75A2A" w:rsidP="00027A3B"/>
    <w:p w14:paraId="6311E611" w14:textId="77777777" w:rsidR="00C75A2A" w:rsidRDefault="00C75A2A" w:rsidP="00027A3B"/>
    <w:p w14:paraId="40B3FF54" w14:textId="77777777" w:rsidR="00C75A2A" w:rsidRDefault="00C75A2A" w:rsidP="00027A3B"/>
    <w:p w14:paraId="54571B99" w14:textId="77777777" w:rsidR="006937F4" w:rsidRDefault="006937F4" w:rsidP="00027A3B"/>
    <w:p w14:paraId="2CCA8D82" w14:textId="77777777" w:rsidR="00027A3B" w:rsidRPr="00A91EE2" w:rsidRDefault="00680F20" w:rsidP="00204235">
      <w:pPr>
        <w:spacing w:line="360" w:lineRule="auto"/>
        <w:jc w:val="both"/>
        <w:rPr>
          <w:b/>
        </w:rPr>
      </w:pPr>
      <w:r>
        <w:rPr>
          <w:b/>
        </w:rPr>
        <w:t xml:space="preserve">1. </w:t>
      </w:r>
      <w:r w:rsidR="00027A3B" w:rsidRPr="00A91EE2">
        <w:rPr>
          <w:b/>
        </w:rPr>
        <w:t xml:space="preserve">Introduction </w:t>
      </w:r>
    </w:p>
    <w:p w14:paraId="71A36E4B" w14:textId="7D7FA481" w:rsidR="00A809A9" w:rsidRDefault="00027A3B" w:rsidP="00467C36">
      <w:pPr>
        <w:autoSpaceDE w:val="0"/>
        <w:autoSpaceDN w:val="0"/>
        <w:adjustRightInd w:val="0"/>
        <w:spacing w:line="360" w:lineRule="auto"/>
        <w:jc w:val="both"/>
      </w:pPr>
      <w:r w:rsidRPr="007F390E">
        <w:t xml:space="preserve">The </w:t>
      </w:r>
      <w:r w:rsidR="007560F9">
        <w:t>contribution</w:t>
      </w:r>
      <w:r w:rsidRPr="007F390E">
        <w:t xml:space="preserve"> of innovation activities in raising firm productivity and competitive</w:t>
      </w:r>
      <w:r>
        <w:t>ness ha</w:t>
      </w:r>
      <w:r w:rsidR="00C75A2A">
        <w:t>s</w:t>
      </w:r>
      <w:r>
        <w:t xml:space="preserve"> been well established in the literature</w:t>
      </w:r>
      <w:r w:rsidR="005C0085">
        <w:t xml:space="preserve"> (</w:t>
      </w:r>
      <w:r w:rsidR="00A809A9">
        <w:t xml:space="preserve">Polder et al., 2009; </w:t>
      </w:r>
      <w:r w:rsidR="005C0085">
        <w:t>Hashi and Stojcic, 2013</w:t>
      </w:r>
      <w:r w:rsidR="00A809A9">
        <w:t>; Roud, 2018</w:t>
      </w:r>
      <w:r w:rsidR="005C0085">
        <w:t>)</w:t>
      </w:r>
      <w:r>
        <w:t xml:space="preserve">. </w:t>
      </w:r>
      <w:r w:rsidR="007560F9">
        <w:t>However, a</w:t>
      </w:r>
      <w:r w:rsidR="007560F9" w:rsidRPr="005C0085">
        <w:t xml:space="preserve"> number of recent studies have highlighted the difference</w:t>
      </w:r>
      <w:r w:rsidR="007560F9">
        <w:t xml:space="preserve"> between the innovation regimes of firms in advanced economies, which are driven by R&amp;D investment or knowledge creation, and those of firms in emerging economies (EEs), which are </w:t>
      </w:r>
      <w:r w:rsidR="007850B7">
        <w:t xml:space="preserve">mainly </w:t>
      </w:r>
      <w:r w:rsidR="007560F9">
        <w:t xml:space="preserve">driven by investment in machinery and equipment (i.e., non-R&amp;D investment) or knowledge use (Cirera and Maloney, 2017). </w:t>
      </w:r>
      <w:r w:rsidR="0077058B">
        <w:t>A r</w:t>
      </w:r>
      <w:r w:rsidR="00540404">
        <w:t>ecent</w:t>
      </w:r>
      <w:r w:rsidR="00540404" w:rsidRPr="007F390E">
        <w:t xml:space="preserve"> European Commission </w:t>
      </w:r>
      <w:r w:rsidR="00540404">
        <w:t>r</w:t>
      </w:r>
      <w:r w:rsidR="00540404" w:rsidRPr="007F390E">
        <w:t>eport (</w:t>
      </w:r>
      <w:r w:rsidR="00540404" w:rsidRPr="006273F6">
        <w:t>Radosevic, 2016</w:t>
      </w:r>
      <w:r w:rsidR="00467C36">
        <w:t>, p. 130</w:t>
      </w:r>
      <w:r w:rsidR="00540404" w:rsidRPr="006273F6">
        <w:t>)</w:t>
      </w:r>
      <w:r w:rsidR="00540404" w:rsidRPr="007F390E">
        <w:t xml:space="preserve"> confirms this trend</w:t>
      </w:r>
      <w:r w:rsidR="00540404">
        <w:t xml:space="preserve"> </w:t>
      </w:r>
      <w:r w:rsidR="00540404" w:rsidRPr="007F390E">
        <w:t xml:space="preserve">in the </w:t>
      </w:r>
      <w:r w:rsidR="00540404">
        <w:t xml:space="preserve">context of </w:t>
      </w:r>
      <w:r w:rsidR="00540404" w:rsidRPr="007F390E">
        <w:t xml:space="preserve">developed </w:t>
      </w:r>
      <w:r w:rsidR="00AF547F">
        <w:t xml:space="preserve">Northern </w:t>
      </w:r>
      <w:r w:rsidR="00540404" w:rsidRPr="007F390E">
        <w:t>EU countries and the</w:t>
      </w:r>
      <w:r w:rsidR="00540404">
        <w:t xml:space="preserve"> </w:t>
      </w:r>
      <w:r w:rsidR="00AF547F">
        <w:t xml:space="preserve">EU’s </w:t>
      </w:r>
      <w:r w:rsidR="00540404">
        <w:t>emerging economies</w:t>
      </w:r>
      <w:r w:rsidR="00540404" w:rsidRPr="007F390E">
        <w:t xml:space="preserve"> </w:t>
      </w:r>
      <w:r w:rsidR="00540404">
        <w:t>of</w:t>
      </w:r>
      <w:r w:rsidR="00540404" w:rsidRPr="007F390E">
        <w:t xml:space="preserve"> Central and Eastern Europe</w:t>
      </w:r>
      <w:r w:rsidR="00540404">
        <w:t xml:space="preserve"> (CEE)</w:t>
      </w:r>
      <w:r w:rsidR="00540404" w:rsidRPr="007F390E">
        <w:t xml:space="preserve">. The </w:t>
      </w:r>
      <w:r w:rsidR="00540404">
        <w:t>r</w:t>
      </w:r>
      <w:r w:rsidR="00540404" w:rsidRPr="007F390E">
        <w:t xml:space="preserve">eport shows that </w:t>
      </w:r>
      <w:r w:rsidR="00540404">
        <w:t xml:space="preserve">almost </w:t>
      </w:r>
      <w:r w:rsidR="00467C36">
        <w:t>72</w:t>
      </w:r>
      <w:r w:rsidR="00540404">
        <w:t xml:space="preserve">% of innovation spending in developed part of </w:t>
      </w:r>
      <w:r w:rsidR="0077058B">
        <w:t>the</w:t>
      </w:r>
      <w:r w:rsidR="00AF547F">
        <w:t xml:space="preserve"> Northern</w:t>
      </w:r>
      <w:r w:rsidR="0077058B">
        <w:t xml:space="preserve"> </w:t>
      </w:r>
      <w:r w:rsidR="00540404">
        <w:t>EU</w:t>
      </w:r>
      <w:r w:rsidR="00AF547F">
        <w:t xml:space="preserve"> members</w:t>
      </w:r>
      <w:r w:rsidR="00540404">
        <w:t xml:space="preserve"> goes to R&amp;D expenditure compared to 39% in CEE </w:t>
      </w:r>
      <w:r w:rsidR="00467C36">
        <w:t>members of the EU</w:t>
      </w:r>
      <w:r w:rsidR="00540404">
        <w:t xml:space="preserve">. </w:t>
      </w:r>
      <w:r w:rsidR="00A809A9">
        <w:t>The opposite holds for spending on machinery and equipment which accounts for 19% and 5</w:t>
      </w:r>
      <w:r w:rsidR="00467C36">
        <w:t>4</w:t>
      </w:r>
      <w:r w:rsidR="00A809A9">
        <w:t xml:space="preserve">% of innovation spending in two groups of countries respectively. </w:t>
      </w:r>
    </w:p>
    <w:p w14:paraId="25CB2AAF" w14:textId="77777777" w:rsidR="00EF3269" w:rsidRDefault="00540404" w:rsidP="00204235">
      <w:pPr>
        <w:spacing w:line="360" w:lineRule="auto"/>
        <w:jc w:val="both"/>
      </w:pPr>
      <w:r>
        <w:t xml:space="preserve">Understanding </w:t>
      </w:r>
      <w:r w:rsidR="009C3854">
        <w:t>which factors facilitate or inhibit</w:t>
      </w:r>
      <w:r w:rsidR="0077058B">
        <w:t xml:space="preserve"> the</w:t>
      </w:r>
      <w:r w:rsidR="009C3854">
        <w:t xml:space="preserve"> innovation process across different innovation regimes </w:t>
      </w:r>
      <w:r>
        <w:t xml:space="preserve">is </w:t>
      </w:r>
      <w:r w:rsidR="0077058B">
        <w:t xml:space="preserve">a </w:t>
      </w:r>
      <w:r w:rsidR="00A809A9">
        <w:t xml:space="preserve">topic of </w:t>
      </w:r>
      <w:r>
        <w:t>particular relevan</w:t>
      </w:r>
      <w:r w:rsidR="00A809A9">
        <w:t>ce</w:t>
      </w:r>
      <w:r>
        <w:t xml:space="preserve"> for firms from EEs</w:t>
      </w:r>
      <w:r w:rsidR="009C3854">
        <w:t>.</w:t>
      </w:r>
      <w:r w:rsidR="003654AB">
        <w:t xml:space="preserve"> </w:t>
      </w:r>
      <w:r w:rsidR="009C3854">
        <w:t>T</w:t>
      </w:r>
      <w:r w:rsidR="003654AB" w:rsidRPr="007F390E">
        <w:t xml:space="preserve">he nature of innovation </w:t>
      </w:r>
      <w:r w:rsidR="003654AB">
        <w:t>activities</w:t>
      </w:r>
      <w:r w:rsidR="003654AB" w:rsidRPr="007F390E">
        <w:t xml:space="preserve"> in </w:t>
      </w:r>
      <w:r w:rsidR="003654AB">
        <w:t>these</w:t>
      </w:r>
      <w:r w:rsidR="003654AB" w:rsidRPr="007F390E">
        <w:t xml:space="preserve"> economi</w:t>
      </w:r>
      <w:r w:rsidR="003654AB">
        <w:t>e</w:t>
      </w:r>
      <w:r w:rsidR="003654AB" w:rsidRPr="007F390E">
        <w:t>s changes from the ‘use of existing knowledge’ to the ‘creation of new knowledge’</w:t>
      </w:r>
      <w:r w:rsidR="003654AB">
        <w:t xml:space="preserve"> only over longer periods of time </w:t>
      </w:r>
      <w:r w:rsidR="00EF3269">
        <w:t>(</w:t>
      </w:r>
      <w:r w:rsidR="00EF3269" w:rsidRPr="00263E1D">
        <w:t>Radošević 2015, 2017; Stojcic</w:t>
      </w:r>
      <w:r w:rsidR="00EF3269">
        <w:t xml:space="preserve"> </w:t>
      </w:r>
      <w:r w:rsidR="00EF3269" w:rsidRPr="00263E1D">
        <w:t>and Orlic 20</w:t>
      </w:r>
      <w:r w:rsidR="00EF3269">
        <w:t>20</w:t>
      </w:r>
      <w:r w:rsidR="00EF3269" w:rsidRPr="00263E1D">
        <w:t>)</w:t>
      </w:r>
      <w:r w:rsidR="00EF3269" w:rsidRPr="007F390E">
        <w:t>.</w:t>
      </w:r>
      <w:r w:rsidR="00EF3269">
        <w:t xml:space="preserve"> Several studies suggest that knowledge creation is not a dominant innovation regime in EEs (Cirera and Maloney, 2017) and innovation models </w:t>
      </w:r>
      <w:r w:rsidR="00EF3269" w:rsidRPr="003444D5">
        <w:t xml:space="preserve">focusing on R&amp;D spending are not particularly useful in </w:t>
      </w:r>
      <w:r w:rsidR="00EF3269">
        <w:t>such contexts</w:t>
      </w:r>
      <w:r w:rsidR="00EF3269" w:rsidRPr="003444D5">
        <w:t xml:space="preserve"> (</w:t>
      </w:r>
      <w:r w:rsidR="00EF3269">
        <w:t xml:space="preserve">Stojcic et al., 2020; </w:t>
      </w:r>
      <w:r w:rsidR="00EF3269" w:rsidRPr="003444D5">
        <w:t>Radosevic and Yoruk, 2018).</w:t>
      </w:r>
      <w:r w:rsidR="00EF3269">
        <w:t xml:space="preserve"> </w:t>
      </w:r>
      <w:r>
        <w:t>F</w:t>
      </w:r>
      <w:r w:rsidR="007560F9">
        <w:t xml:space="preserve">irms in EEs </w:t>
      </w:r>
      <w:r w:rsidR="007560F9" w:rsidRPr="007F390E">
        <w:t xml:space="preserve">do not </w:t>
      </w:r>
      <w:r w:rsidR="007560F9">
        <w:t>possess</w:t>
      </w:r>
      <w:r w:rsidR="007560F9" w:rsidRPr="007F390E">
        <w:t xml:space="preserve"> the technical and scientific knowledge</w:t>
      </w:r>
      <w:r w:rsidR="007560F9">
        <w:t>, financial resources and supportive innovation systems</w:t>
      </w:r>
      <w:r w:rsidR="007560F9" w:rsidRPr="007F390E">
        <w:t xml:space="preserve"> to </w:t>
      </w:r>
      <w:r w:rsidR="007560F9">
        <w:t>compete</w:t>
      </w:r>
      <w:r w:rsidR="007560F9" w:rsidRPr="007F390E">
        <w:t xml:space="preserve"> at the technolog</w:t>
      </w:r>
      <w:r w:rsidR="007560F9">
        <w:t>ical and innovation frontier</w:t>
      </w:r>
      <w:r w:rsidR="0077058B">
        <w:t>s</w:t>
      </w:r>
      <w:r w:rsidR="007560F9" w:rsidRPr="007F390E">
        <w:t xml:space="preserve">. </w:t>
      </w:r>
      <w:r w:rsidR="00EF3269">
        <w:t xml:space="preserve">Their </w:t>
      </w:r>
      <w:r>
        <w:t>growth</w:t>
      </w:r>
      <w:r w:rsidRPr="007F390E">
        <w:t xml:space="preserve"> </w:t>
      </w:r>
      <w:r>
        <w:t>has been driven</w:t>
      </w:r>
      <w:r w:rsidRPr="007F390E">
        <w:t xml:space="preserve"> by </w:t>
      </w:r>
      <w:r w:rsidR="00EF3269">
        <w:t>adoption and assimilation of existing knowledge embodied in the imported machinery and equipment r</w:t>
      </w:r>
      <w:r w:rsidRPr="007F390E">
        <w:t xml:space="preserve">ather than </w:t>
      </w:r>
      <w:r>
        <w:t xml:space="preserve">by </w:t>
      </w:r>
      <w:r w:rsidRPr="007F390E">
        <w:t>new knowledge generated through investment in R&amp;D</w:t>
      </w:r>
      <w:r>
        <w:t xml:space="preserve"> (</w:t>
      </w:r>
      <w:r w:rsidRPr="007F390E">
        <w:t>Kravtsova and Radosevic</w:t>
      </w:r>
      <w:r>
        <w:t>,</w:t>
      </w:r>
      <w:r w:rsidRPr="007F390E">
        <w:t xml:space="preserve"> 201</w:t>
      </w:r>
      <w:r>
        <w:t>2</w:t>
      </w:r>
      <w:r w:rsidR="00EF3269">
        <w:t>)</w:t>
      </w:r>
      <w:r w:rsidRPr="007F390E">
        <w:t>.</w:t>
      </w:r>
      <w:r w:rsidR="00A809A9">
        <w:t xml:space="preserve"> </w:t>
      </w:r>
    </w:p>
    <w:p w14:paraId="7E3143BA" w14:textId="56661E59" w:rsidR="003654AB" w:rsidRDefault="007B48D7" w:rsidP="0077058B">
      <w:pPr>
        <w:spacing w:line="360" w:lineRule="auto"/>
        <w:jc w:val="both"/>
      </w:pPr>
      <w:r>
        <w:t xml:space="preserve">Among sources of foreign knowledge and technology, the literature on EEs recognised as particularly important knowledge and technology spillovers from foreign investment </w:t>
      </w:r>
      <w:r w:rsidR="00EF3269">
        <w:t xml:space="preserve">(Mowery and Oxley, 1995; Radosevic, 1999; </w:t>
      </w:r>
      <w:r w:rsidR="003654AB">
        <w:t xml:space="preserve">Fujita and Thisse, 2002; </w:t>
      </w:r>
      <w:r w:rsidR="00EF3269" w:rsidRPr="000B4B7F">
        <w:t>Aghion et al, 2009</w:t>
      </w:r>
      <w:r w:rsidR="00EF3269">
        <w:t xml:space="preserve">; </w:t>
      </w:r>
      <w:r w:rsidR="00EF3269" w:rsidRPr="000B4B7F">
        <w:t xml:space="preserve">Vahter, 2011; </w:t>
      </w:r>
      <w:r w:rsidR="00EF3269">
        <w:t>Garcia et al, 2013</w:t>
      </w:r>
      <w:r w:rsidR="00EF3269" w:rsidRPr="000B4B7F">
        <w:t xml:space="preserve">; </w:t>
      </w:r>
      <w:r w:rsidR="00EF3269">
        <w:t>Chang and Lee, 2014</w:t>
      </w:r>
      <w:r w:rsidR="00EF3269" w:rsidRPr="000B4B7F">
        <w:t>).</w:t>
      </w:r>
      <w:r w:rsidR="003654AB">
        <w:t xml:space="preserve"> </w:t>
      </w:r>
      <w:r>
        <w:t>The</w:t>
      </w:r>
      <w:r w:rsidR="003654AB" w:rsidRPr="007F390E">
        <w:t xml:space="preserve"> presence of foreig</w:t>
      </w:r>
      <w:r w:rsidR="003654AB">
        <w:t>n competitors facilitates imitation,</w:t>
      </w:r>
      <w:r w:rsidR="003654AB" w:rsidRPr="007F390E">
        <w:t xml:space="preserve"> </w:t>
      </w:r>
      <w:r w:rsidR="003654AB">
        <w:t xml:space="preserve">knowledge flows through </w:t>
      </w:r>
      <w:r w:rsidR="0077058B" w:rsidRPr="007F390E">
        <w:t>labour</w:t>
      </w:r>
      <w:r w:rsidR="0077058B">
        <w:t xml:space="preserve"> </w:t>
      </w:r>
      <w:r w:rsidR="003654AB" w:rsidRPr="007F390E">
        <w:t xml:space="preserve">mobility </w:t>
      </w:r>
      <w:r w:rsidR="003654AB">
        <w:t>and exerts competitive pressure to use resources efficiently (</w:t>
      </w:r>
      <w:r w:rsidR="003654AB" w:rsidRPr="00F93648">
        <w:t>Saggi, 2006</w:t>
      </w:r>
      <w:r w:rsidR="003654AB">
        <w:t xml:space="preserve">; </w:t>
      </w:r>
      <w:r w:rsidR="003654AB" w:rsidRPr="009F203A">
        <w:t>Greenaway et al., 2004; Dasgupta, 2012</w:t>
      </w:r>
      <w:r w:rsidR="003654AB">
        <w:t xml:space="preserve">; </w:t>
      </w:r>
      <w:r w:rsidR="003654AB" w:rsidRPr="00A66249">
        <w:rPr>
          <w:lang w:val="en-US"/>
        </w:rPr>
        <w:t>Haskel et al.</w:t>
      </w:r>
      <w:r w:rsidR="003654AB">
        <w:rPr>
          <w:lang w:val="en-US"/>
        </w:rPr>
        <w:t>, 2007; Sinani and Meyer, 2004</w:t>
      </w:r>
      <w:r w:rsidR="003654AB">
        <w:t xml:space="preserve">). </w:t>
      </w:r>
      <w:r w:rsidR="003654AB" w:rsidRPr="007F390E">
        <w:t xml:space="preserve">Domestic firms in upstream and downstream industries </w:t>
      </w:r>
      <w:r w:rsidR="0077058B">
        <w:t>ma</w:t>
      </w:r>
      <w:r w:rsidR="00E3195D">
        <w:t>y</w:t>
      </w:r>
      <w:r w:rsidR="0077058B" w:rsidRPr="007F390E">
        <w:t xml:space="preserve"> </w:t>
      </w:r>
      <w:r w:rsidR="003654AB" w:rsidRPr="007F390E">
        <w:t>benefit from technology and knowledge spillovers of foreign firms</w:t>
      </w:r>
      <w:r w:rsidR="003654AB">
        <w:t xml:space="preserve"> by having to improve the quality of their products to meet the standards of their foreign customers or by being able to use better quality inputs produced by foreign suppliers</w:t>
      </w:r>
      <w:r w:rsidR="0077058B">
        <w:t>.</w:t>
      </w:r>
      <w:r w:rsidR="00520EEB">
        <w:rPr>
          <w:rStyle w:val="FootnoteReference"/>
        </w:rPr>
        <w:footnoteReference w:id="1"/>
      </w:r>
      <w:r w:rsidR="003654AB">
        <w:t xml:space="preserve"> </w:t>
      </w:r>
      <w:r w:rsidR="003654AB" w:rsidRPr="007F390E">
        <w:t xml:space="preserve">The importance of FDI as </w:t>
      </w:r>
      <w:r w:rsidR="003654AB">
        <w:t>a</w:t>
      </w:r>
      <w:r w:rsidR="003654AB" w:rsidRPr="007F390E">
        <w:t xml:space="preserve"> vehicle for the introduction of foreign knowledge and technology in host countries and its potential beneficial spillovers to domestic firms, is already well established in the literature</w:t>
      </w:r>
      <w:r w:rsidR="003654AB">
        <w:t xml:space="preserve"> but to our knowledge how the spillover effects affect the innovation process in host countries</w:t>
      </w:r>
      <w:r w:rsidR="009C3854">
        <w:t xml:space="preserve"> regardless of innovation regime</w:t>
      </w:r>
      <w:r w:rsidR="003654AB">
        <w:t xml:space="preserve"> has not been investigated at all</w:t>
      </w:r>
      <w:r w:rsidR="003654AB" w:rsidRPr="007F390E">
        <w:t xml:space="preserve">. </w:t>
      </w:r>
    </w:p>
    <w:p w14:paraId="430033B3" w14:textId="77777777" w:rsidR="0009607D" w:rsidRDefault="007B48D7" w:rsidP="00204235">
      <w:pPr>
        <w:spacing w:line="360" w:lineRule="auto"/>
        <w:jc w:val="both"/>
      </w:pPr>
      <w:r>
        <w:t>Our paper aims to address</w:t>
      </w:r>
      <w:r w:rsidR="009C3854">
        <w:t xml:space="preserve"> these</w:t>
      </w:r>
      <w:r>
        <w:t xml:space="preserve"> gaps. Using the well-established CDM model of the innovation process we extend it by exploring the impact of knowledge creating and knowledge using innovation regimes</w:t>
      </w:r>
      <w:r w:rsidR="0009607D">
        <w:rPr>
          <w:rStyle w:val="FootnoteReference"/>
        </w:rPr>
        <w:footnoteReference w:id="2"/>
      </w:r>
      <w:r>
        <w:t xml:space="preserve"> on the different stage of the innovation process. We enrich</w:t>
      </w:r>
      <w:r w:rsidR="00EA5718">
        <w:t xml:space="preserve"> the</w:t>
      </w:r>
      <w:r>
        <w:t xml:space="preserve"> literature on innovation activities of firms in EEs by introducing the FDI spillover effects in the CDM model and thus identifying for the first time the impact of these spillovers on different stages of </w:t>
      </w:r>
      <w:r w:rsidR="00EA5718">
        <w:t xml:space="preserve">the </w:t>
      </w:r>
      <w:r>
        <w:t xml:space="preserve">innovation process across analysed innovation regimes. </w:t>
      </w:r>
      <w:r w:rsidRPr="007F390E">
        <w:t xml:space="preserve">This enables us to identify </w:t>
      </w:r>
      <w:r>
        <w:t>which innovation regime</w:t>
      </w:r>
      <w:r w:rsidRPr="007F390E">
        <w:t xml:space="preserve"> </w:t>
      </w:r>
      <w:r>
        <w:t>(knowledge use and knowledge creation</w:t>
      </w:r>
      <w:r w:rsidR="008360A8">
        <w:t>)</w:t>
      </w:r>
      <w:r>
        <w:t xml:space="preserve"> </w:t>
      </w:r>
      <w:r w:rsidRPr="007F390E">
        <w:t>can benefit more from FDI spillover</w:t>
      </w:r>
      <w:r>
        <w:t>s</w:t>
      </w:r>
      <w:r w:rsidRPr="007F390E">
        <w:t xml:space="preserve"> and contribute more effectively to the innovation and productivity of host country firms.</w:t>
      </w:r>
      <w:r>
        <w:t xml:space="preserve"> </w:t>
      </w:r>
      <w:r w:rsidR="00520EEB">
        <w:t xml:space="preserve">To this end, our paper aims to answer two questions. First, what is the impact of knowledge using and knowledge creating innovation regimes on different stages of </w:t>
      </w:r>
      <w:r w:rsidR="00EA5718">
        <w:t xml:space="preserve">the </w:t>
      </w:r>
      <w:r w:rsidR="00520EEB">
        <w:t>innovation process in firms from EEs? Second, what is the effect of FDI spillovers on different stages of innovation process in knowledge using and knowledge creating firms from EEs?</w:t>
      </w:r>
    </w:p>
    <w:p w14:paraId="79CC410D" w14:textId="617C5D87" w:rsidR="007B48D7" w:rsidRDefault="007B48D7" w:rsidP="00EA5718">
      <w:pPr>
        <w:spacing w:line="360" w:lineRule="auto"/>
        <w:jc w:val="both"/>
      </w:pPr>
      <w:r>
        <w:t xml:space="preserve">Our analysis uses the example of Serbia, a European emerging economy heavily reliant on knowledge use and </w:t>
      </w:r>
      <w:r w:rsidR="0009607D">
        <w:t>foreign investment</w:t>
      </w:r>
      <w:r>
        <w:t xml:space="preserve"> as vehicles of growth and technological catching up. FDI share of GDP in Serbia </w:t>
      </w:r>
      <w:r w:rsidR="00EA5718">
        <w:t xml:space="preserve">is more than twice the </w:t>
      </w:r>
      <w:r w:rsidR="0009607D">
        <w:t xml:space="preserve">world average and is similar to that of many other European EEs (e.g. Bulgaria and Hungary) (World Bank, 2018). Serbia makes </w:t>
      </w:r>
      <w:r w:rsidR="00EA5718">
        <w:t xml:space="preserve">a </w:t>
      </w:r>
      <w:r w:rsidR="0009607D">
        <w:t>particularly interesting case as its integration in regional, European and global production networks has been slower than in other European EEs due to sanctions</w:t>
      </w:r>
      <w:r w:rsidR="00EA5718">
        <w:t xml:space="preserve"> imposed</w:t>
      </w:r>
      <w:r w:rsidR="0009607D">
        <w:t xml:space="preserve"> by UN and EU in 1990s. </w:t>
      </w:r>
    </w:p>
    <w:p w14:paraId="2BE8868F" w14:textId="4BE42A15" w:rsidR="0009607D" w:rsidRDefault="0009607D" w:rsidP="00EA5718">
      <w:pPr>
        <w:spacing w:line="360" w:lineRule="auto"/>
        <w:jc w:val="both"/>
      </w:pPr>
      <w:r w:rsidRPr="007F390E">
        <w:t xml:space="preserve">The </w:t>
      </w:r>
      <w:r>
        <w:t>analysis for the first time</w:t>
      </w:r>
      <w:r w:rsidRPr="007F390E">
        <w:t xml:space="preserve"> combines </w:t>
      </w:r>
      <w:r>
        <w:t>several high</w:t>
      </w:r>
      <w:r w:rsidR="00397AE8">
        <w:t>-</w:t>
      </w:r>
      <w:r>
        <w:t xml:space="preserve">quality datasets such as </w:t>
      </w:r>
      <w:r w:rsidRPr="007F390E">
        <w:t>the Community Innovation Survey</w:t>
      </w:r>
      <w:r w:rsidR="00EA5718">
        <w:t>,</w:t>
      </w:r>
      <w:r>
        <w:t xml:space="preserve"> providing information on</w:t>
      </w:r>
      <w:r w:rsidRPr="007F390E">
        <w:t xml:space="preserve"> </w:t>
      </w:r>
      <w:r>
        <w:t>different types of</w:t>
      </w:r>
      <w:r w:rsidRPr="007F390E">
        <w:t xml:space="preserve"> innovation activities of firms</w:t>
      </w:r>
      <w:r>
        <w:t>,</w:t>
      </w:r>
      <w:r w:rsidRPr="007F390E">
        <w:t xml:space="preserve"> the Amadeus database</w:t>
      </w:r>
      <w:r w:rsidR="00EA5718">
        <w:t>, providing detailed financial information at firm level,</w:t>
      </w:r>
      <w:r>
        <w:t xml:space="preserve"> and Input-Output tables, which are used</w:t>
      </w:r>
      <w:r w:rsidRPr="007F390E">
        <w:t xml:space="preserve"> to compute the spillover effects of foreign firms. </w:t>
      </w:r>
      <w:r>
        <w:t>T</w:t>
      </w:r>
      <w:r w:rsidRPr="007F390E">
        <w:t>he results are broadly applicable to other Central, South and East European economies</w:t>
      </w:r>
      <w:r>
        <w:t xml:space="preserve"> </w:t>
      </w:r>
      <w:r w:rsidRPr="007F390E">
        <w:t>with similar institutional and socio-economic characteristics inherited from their previous socialist period</w:t>
      </w:r>
      <w:r>
        <w:t>.</w:t>
      </w:r>
    </w:p>
    <w:p w14:paraId="127EF917" w14:textId="77777777" w:rsidR="007B48D7" w:rsidRDefault="00520EEB" w:rsidP="00204235">
      <w:pPr>
        <w:spacing w:line="360" w:lineRule="auto"/>
        <w:jc w:val="both"/>
      </w:pPr>
      <w:r>
        <w:t xml:space="preserve">The structure of the paper is as follows. Section 2 provides a conceptual framework. Empirical strategy is laid down in third section. Results of investigation are presented in section 4. Section 5 </w:t>
      </w:r>
      <w:r w:rsidR="00922A89">
        <w:t>discusses our findings</w:t>
      </w:r>
      <w:r>
        <w:t>.</w:t>
      </w:r>
      <w:r w:rsidR="00922A89">
        <w:t xml:space="preserve"> Section six concludes. </w:t>
      </w:r>
      <w:r>
        <w:t xml:space="preserve"> </w:t>
      </w:r>
    </w:p>
    <w:p w14:paraId="2C26925E" w14:textId="77777777" w:rsidR="00F60341" w:rsidRDefault="00F60341"/>
    <w:p w14:paraId="5EC9DDAA" w14:textId="77777777" w:rsidR="0067466C" w:rsidRDefault="00363902" w:rsidP="00204235">
      <w:pPr>
        <w:spacing w:line="360" w:lineRule="auto"/>
        <w:jc w:val="both"/>
        <w:rPr>
          <w:b/>
        </w:rPr>
      </w:pPr>
      <w:r w:rsidRPr="002640B4">
        <w:rPr>
          <w:b/>
        </w:rPr>
        <w:t>2</w:t>
      </w:r>
      <w:r w:rsidR="00680F20">
        <w:rPr>
          <w:b/>
        </w:rPr>
        <w:t>.</w:t>
      </w:r>
      <w:r w:rsidRPr="002640B4">
        <w:rPr>
          <w:b/>
        </w:rPr>
        <w:t xml:space="preserve"> </w:t>
      </w:r>
      <w:r w:rsidR="00D00E89">
        <w:rPr>
          <w:b/>
        </w:rPr>
        <w:t>Innovation process</w:t>
      </w:r>
      <w:r w:rsidR="006273F6">
        <w:rPr>
          <w:b/>
        </w:rPr>
        <w:t xml:space="preserve"> and</w:t>
      </w:r>
      <w:r w:rsidR="00D00E89">
        <w:rPr>
          <w:b/>
        </w:rPr>
        <w:t xml:space="preserve"> FDI spillovers </w:t>
      </w:r>
      <w:r w:rsidR="006273F6">
        <w:rPr>
          <w:b/>
        </w:rPr>
        <w:t>– a conceptual framework</w:t>
      </w:r>
    </w:p>
    <w:p w14:paraId="0149A179" w14:textId="77777777" w:rsidR="00A9620C" w:rsidRDefault="00A9620C" w:rsidP="00204235">
      <w:pPr>
        <w:spacing w:line="360" w:lineRule="auto"/>
        <w:rPr>
          <w:bCs/>
          <w:i/>
          <w:iCs/>
        </w:rPr>
      </w:pPr>
    </w:p>
    <w:p w14:paraId="00C442DA" w14:textId="77777777" w:rsidR="00520EEB" w:rsidRPr="00520EEB" w:rsidRDefault="00520EEB" w:rsidP="00204235">
      <w:pPr>
        <w:spacing w:line="360" w:lineRule="auto"/>
        <w:rPr>
          <w:bCs/>
          <w:i/>
          <w:iCs/>
        </w:rPr>
      </w:pPr>
      <w:r w:rsidRPr="00520EEB">
        <w:rPr>
          <w:bCs/>
          <w:i/>
          <w:iCs/>
        </w:rPr>
        <w:t>2.1. FDI spillovers in emerging economies</w:t>
      </w:r>
    </w:p>
    <w:p w14:paraId="044558E7" w14:textId="729009C1" w:rsidR="0037338D" w:rsidRDefault="00B73066" w:rsidP="00B04762">
      <w:pPr>
        <w:spacing w:line="360" w:lineRule="auto"/>
        <w:jc w:val="both"/>
        <w:rPr>
          <w:lang w:val="en-US"/>
        </w:rPr>
      </w:pPr>
      <w:r>
        <w:rPr>
          <w:lang w:val="en-US"/>
        </w:rPr>
        <w:t>It has been argued</w:t>
      </w:r>
      <w:r w:rsidR="0037338D">
        <w:rPr>
          <w:lang w:val="en-US"/>
        </w:rPr>
        <w:t xml:space="preserve"> that </w:t>
      </w:r>
      <w:r w:rsidR="009C3854">
        <w:rPr>
          <w:lang w:val="en-US"/>
        </w:rPr>
        <w:t xml:space="preserve">the </w:t>
      </w:r>
      <w:r w:rsidR="0037338D">
        <w:rPr>
          <w:lang w:val="en-US"/>
        </w:rPr>
        <w:t>lack of in</w:t>
      </w:r>
      <w:r w:rsidR="00520EEB">
        <w:rPr>
          <w:lang w:val="en-US"/>
        </w:rPr>
        <w:t>digenous</w:t>
      </w:r>
      <w:r w:rsidR="0037338D">
        <w:rPr>
          <w:lang w:val="en-US"/>
        </w:rPr>
        <w:t xml:space="preserve"> competences and capabilities in </w:t>
      </w:r>
      <w:r w:rsidR="0007423D">
        <w:rPr>
          <w:lang w:val="en-US"/>
        </w:rPr>
        <w:t>emerging</w:t>
      </w:r>
      <w:r w:rsidR="0037338D">
        <w:rPr>
          <w:lang w:val="en-US"/>
        </w:rPr>
        <w:t xml:space="preserve"> economies motivates their search for external knowledge (</w:t>
      </w:r>
      <w:r w:rsidR="0037338D" w:rsidRPr="009F203A">
        <w:t>Agarwal et al., 2014; Eapen et al., 20</w:t>
      </w:r>
      <w:r w:rsidR="0096686E">
        <w:t>1</w:t>
      </w:r>
      <w:r w:rsidR="0037338D" w:rsidRPr="009F203A">
        <w:t>9</w:t>
      </w:r>
      <w:r w:rsidR="0037338D">
        <w:rPr>
          <w:lang w:val="en-US"/>
        </w:rPr>
        <w:t xml:space="preserve">). </w:t>
      </w:r>
      <w:r w:rsidR="00B04762">
        <w:rPr>
          <w:lang w:val="en-US"/>
        </w:rPr>
        <w:t xml:space="preserve">The knowledge spillovers generated by foreign companies are among the most prominent beneficial channels for domestic firms </w:t>
      </w:r>
      <w:r w:rsidR="007D77DA">
        <w:rPr>
          <w:lang w:val="en-US"/>
        </w:rPr>
        <w:t>(Radosevic and Yoruk, 2015)</w:t>
      </w:r>
      <w:r w:rsidR="0037338D">
        <w:rPr>
          <w:lang w:val="en-US"/>
        </w:rPr>
        <w:t xml:space="preserve">. The multinational corporations operating in </w:t>
      </w:r>
      <w:r w:rsidR="0007423D">
        <w:rPr>
          <w:lang w:val="en-US"/>
        </w:rPr>
        <w:t>emerging</w:t>
      </w:r>
      <w:r w:rsidR="0037338D">
        <w:rPr>
          <w:lang w:val="en-US"/>
        </w:rPr>
        <w:t xml:space="preserve"> economies often possess superior technolog</w:t>
      </w:r>
      <w:r w:rsidR="009C3854">
        <w:rPr>
          <w:lang w:val="en-US"/>
        </w:rPr>
        <w:t>y and knowledge</w:t>
      </w:r>
      <w:r w:rsidR="0037338D">
        <w:rPr>
          <w:lang w:val="en-US"/>
        </w:rPr>
        <w:t xml:space="preserve">. Although such knowledge is tacit in its nature (Fujita and Thisse, 2002), its internationalization is often challenging and </w:t>
      </w:r>
      <w:r w:rsidR="00723B2F">
        <w:rPr>
          <w:lang w:val="en-US"/>
        </w:rPr>
        <w:t xml:space="preserve">can </w:t>
      </w:r>
      <w:r w:rsidR="0037338D">
        <w:rPr>
          <w:lang w:val="en-US"/>
        </w:rPr>
        <w:t xml:space="preserve">lead to two main types of spillovers to local firms, horizontal ones to rival firms and vertical spillovers to upstream and downstream firms in </w:t>
      </w:r>
      <w:r w:rsidR="006E7198">
        <w:rPr>
          <w:lang w:val="en-US"/>
        </w:rPr>
        <w:t xml:space="preserve">the </w:t>
      </w:r>
      <w:r w:rsidR="0037338D">
        <w:rPr>
          <w:lang w:val="en-US"/>
        </w:rPr>
        <w:t xml:space="preserve">supply chain. </w:t>
      </w:r>
    </w:p>
    <w:p w14:paraId="73703B44" w14:textId="790A1C37" w:rsidR="00A66249" w:rsidRPr="00720F77" w:rsidRDefault="0037338D" w:rsidP="00B04762">
      <w:pPr>
        <w:spacing w:line="360" w:lineRule="auto"/>
        <w:jc w:val="both"/>
        <w:rPr>
          <w:lang w:val="en-US"/>
        </w:rPr>
      </w:pPr>
      <w:r>
        <w:rPr>
          <w:lang w:val="en-US"/>
        </w:rPr>
        <w:t xml:space="preserve">Both types of channels have been recognized and </w:t>
      </w:r>
      <w:r w:rsidR="009863B2">
        <w:rPr>
          <w:lang w:val="en-US"/>
        </w:rPr>
        <w:t>discussed in the theoretical and empirical literature. Labor mobility (</w:t>
      </w:r>
      <w:r w:rsidR="009863B2" w:rsidRPr="009F203A">
        <w:t>Greenaway et al., 2004; Dasgupta, 2012</w:t>
      </w:r>
      <w:r w:rsidR="009863B2">
        <w:t>)</w:t>
      </w:r>
      <w:r w:rsidR="00B73066">
        <w:rPr>
          <w:lang w:val="en-US"/>
        </w:rPr>
        <w:t xml:space="preserve"> and</w:t>
      </w:r>
      <w:r w:rsidR="009863B2">
        <w:rPr>
          <w:lang w:val="en-US"/>
        </w:rPr>
        <w:t xml:space="preserve"> imitation</w:t>
      </w:r>
      <w:r w:rsidR="00B73066">
        <w:rPr>
          <w:lang w:val="en-US"/>
        </w:rPr>
        <w:t xml:space="preserve"> (or reverse engineering)</w:t>
      </w:r>
      <w:r w:rsidR="009863B2">
        <w:rPr>
          <w:lang w:val="en-US"/>
        </w:rPr>
        <w:t xml:space="preserve"> of</w:t>
      </w:r>
      <w:r w:rsidR="00B73066">
        <w:rPr>
          <w:lang w:val="en-US"/>
        </w:rPr>
        <w:t xml:space="preserve"> the</w:t>
      </w:r>
      <w:r w:rsidR="009863B2">
        <w:rPr>
          <w:lang w:val="en-US"/>
        </w:rPr>
        <w:t xml:space="preserve"> production process (</w:t>
      </w:r>
      <w:r w:rsidR="009863B2" w:rsidRPr="00F93648">
        <w:t>Saggi, 2006</w:t>
      </w:r>
      <w:r w:rsidR="009863B2">
        <w:t xml:space="preserve">) </w:t>
      </w:r>
      <w:r w:rsidR="009863B2">
        <w:rPr>
          <w:lang w:val="en-US"/>
        </w:rPr>
        <w:t xml:space="preserve">are </w:t>
      </w:r>
      <w:r w:rsidR="00B04762">
        <w:rPr>
          <w:lang w:val="en-US"/>
        </w:rPr>
        <w:t xml:space="preserve">the </w:t>
      </w:r>
      <w:r w:rsidR="009863B2">
        <w:rPr>
          <w:lang w:val="en-US"/>
        </w:rPr>
        <w:t xml:space="preserve">most commonly identified beneficial horizontal spillover channels. FDI is also found to induce market-access externalities (Crescenzi et al., 2015) or competitive disciplinary effects (Hamida, 2013) by forcing indigenous firms to better </w:t>
      </w:r>
      <w:r w:rsidR="00A66249" w:rsidRPr="00A66249">
        <w:rPr>
          <w:lang w:val="en-US"/>
        </w:rPr>
        <w:t>utili</w:t>
      </w:r>
      <w:r w:rsidR="00B04762">
        <w:rPr>
          <w:lang w:val="en-US"/>
        </w:rPr>
        <w:t>z</w:t>
      </w:r>
      <w:r w:rsidR="00A66249" w:rsidRPr="00A66249">
        <w:rPr>
          <w:lang w:val="en-US"/>
        </w:rPr>
        <w:t>e existing technology in order to maintain their market shares (Nicolini and Resmini, 2010).</w:t>
      </w:r>
      <w:r w:rsidR="009863B2">
        <w:rPr>
          <w:lang w:val="en-US"/>
        </w:rPr>
        <w:t xml:space="preserve"> The literature, however, lacks consensus on the beneficial effects of FDI spillovers as foreign firms </w:t>
      </w:r>
      <w:r w:rsidR="00817360">
        <w:rPr>
          <w:lang w:val="en-US"/>
        </w:rPr>
        <w:t xml:space="preserve">are </w:t>
      </w:r>
      <w:r w:rsidR="009863B2">
        <w:rPr>
          <w:lang w:val="en-US"/>
        </w:rPr>
        <w:t xml:space="preserve">found to </w:t>
      </w:r>
      <w:r w:rsidR="00E715DE">
        <w:rPr>
          <w:lang w:val="en-US"/>
        </w:rPr>
        <w:t xml:space="preserve">take over market shares of domestic firms in </w:t>
      </w:r>
      <w:r w:rsidR="0067466C">
        <w:rPr>
          <w:lang w:val="en-US"/>
        </w:rPr>
        <w:t>EE</w:t>
      </w:r>
      <w:r w:rsidR="00B73066">
        <w:rPr>
          <w:lang w:val="en-US"/>
        </w:rPr>
        <w:t>s</w:t>
      </w:r>
      <w:r w:rsidR="00E715DE">
        <w:rPr>
          <w:lang w:val="en-US"/>
        </w:rPr>
        <w:t xml:space="preserve">, </w:t>
      </w:r>
      <w:r w:rsidR="009863B2">
        <w:rPr>
          <w:lang w:val="en-US"/>
        </w:rPr>
        <w:t xml:space="preserve">increase production costs, </w:t>
      </w:r>
      <w:r w:rsidR="00E715DE">
        <w:rPr>
          <w:lang w:val="en-US"/>
        </w:rPr>
        <w:t xml:space="preserve">reduce local firms’ productivity and eventually </w:t>
      </w:r>
      <w:r w:rsidR="009863B2">
        <w:rPr>
          <w:lang w:val="en-US"/>
        </w:rPr>
        <w:t xml:space="preserve">crowd out </w:t>
      </w:r>
      <w:r w:rsidR="00FD60C0">
        <w:rPr>
          <w:lang w:val="en-US"/>
        </w:rPr>
        <w:t>domestic firms</w:t>
      </w:r>
      <w:r w:rsidR="009863B2">
        <w:rPr>
          <w:lang w:val="en-US"/>
        </w:rPr>
        <w:t xml:space="preserve"> </w:t>
      </w:r>
      <w:r w:rsidR="00A93231">
        <w:rPr>
          <w:lang w:val="en-US"/>
        </w:rPr>
        <w:t>(</w:t>
      </w:r>
      <w:r w:rsidR="00A93231" w:rsidRPr="003819F3">
        <w:rPr>
          <w:lang w:val="en-US"/>
        </w:rPr>
        <w:t>Kosová, 2010</w:t>
      </w:r>
      <w:r w:rsidR="00A93231">
        <w:rPr>
          <w:lang w:val="en-US"/>
        </w:rPr>
        <w:t xml:space="preserve">; </w:t>
      </w:r>
      <w:r w:rsidR="00A93231" w:rsidRPr="003819F3">
        <w:rPr>
          <w:lang w:val="en-US"/>
        </w:rPr>
        <w:t xml:space="preserve">Kokko and Kravstova, 2012; </w:t>
      </w:r>
      <w:r w:rsidR="00A93231">
        <w:rPr>
          <w:lang w:val="en-US"/>
        </w:rPr>
        <w:t>Damijan et al</w:t>
      </w:r>
      <w:r w:rsidR="00523D6D">
        <w:rPr>
          <w:lang w:val="en-US"/>
        </w:rPr>
        <w:t>.</w:t>
      </w:r>
      <w:r w:rsidR="00A93231">
        <w:rPr>
          <w:lang w:val="en-US"/>
        </w:rPr>
        <w:t xml:space="preserve">, 2013). </w:t>
      </w:r>
    </w:p>
    <w:p w14:paraId="339E8AC0" w14:textId="587B2E05" w:rsidR="00F43AD5" w:rsidRDefault="009863B2" w:rsidP="00B04762">
      <w:pPr>
        <w:spacing w:line="360" w:lineRule="auto"/>
        <w:jc w:val="both"/>
      </w:pPr>
      <w:r>
        <w:t xml:space="preserve">Another </w:t>
      </w:r>
      <w:r w:rsidR="00B04762">
        <w:t xml:space="preserve">channel </w:t>
      </w:r>
      <w:r>
        <w:t xml:space="preserve">of knowledge transmission </w:t>
      </w:r>
      <w:r w:rsidR="00B04762">
        <w:rPr>
          <w:lang w:val="en-US"/>
        </w:rPr>
        <w:t>runs through</w:t>
      </w:r>
      <w:r w:rsidR="00B04762" w:rsidRPr="00D37DBB">
        <w:rPr>
          <w:lang w:val="en-US"/>
        </w:rPr>
        <w:t xml:space="preserve"> </w:t>
      </w:r>
      <w:r w:rsidR="00B04762">
        <w:rPr>
          <w:lang w:val="en-US"/>
        </w:rPr>
        <w:t xml:space="preserve">the </w:t>
      </w:r>
      <w:r w:rsidR="00D37DBB" w:rsidRPr="00D37DBB">
        <w:rPr>
          <w:lang w:val="en-US"/>
        </w:rPr>
        <w:t xml:space="preserve">vertically connected enterprises </w:t>
      </w:r>
      <w:r>
        <w:rPr>
          <w:lang w:val="en-US"/>
        </w:rPr>
        <w:t>in</w:t>
      </w:r>
      <w:r w:rsidR="00577D4E">
        <w:rPr>
          <w:lang w:val="en-US"/>
        </w:rPr>
        <w:t xml:space="preserve"> the</w:t>
      </w:r>
      <w:r>
        <w:rPr>
          <w:lang w:val="en-US"/>
        </w:rPr>
        <w:t xml:space="preserve"> supply chain. Evidence suggests that this channel </w:t>
      </w:r>
      <w:r w:rsidR="00D37DBB" w:rsidRPr="00D37DBB">
        <w:rPr>
          <w:lang w:val="en-US"/>
        </w:rPr>
        <w:t>facilitates exchange of information on product development and adjustment, leading to innovation output (Fu et al., 2013)</w:t>
      </w:r>
      <w:r w:rsidR="00D37DBB">
        <w:rPr>
          <w:lang w:val="en-US"/>
        </w:rPr>
        <w:t xml:space="preserve"> and increased productivity</w:t>
      </w:r>
      <w:r>
        <w:rPr>
          <w:lang w:val="en-US"/>
        </w:rPr>
        <w:t xml:space="preserve"> (</w:t>
      </w:r>
      <w:r w:rsidR="00B25379">
        <w:rPr>
          <w:lang w:val="en-US"/>
        </w:rPr>
        <w:t>Javorcik 2004;</w:t>
      </w:r>
      <w:r w:rsidR="00EB3F9F">
        <w:rPr>
          <w:lang w:val="en-US"/>
        </w:rPr>
        <w:t xml:space="preserve"> Lu et al., 2017;</w:t>
      </w:r>
      <w:r w:rsidR="00B25379">
        <w:rPr>
          <w:lang w:val="en-US"/>
        </w:rPr>
        <w:t xml:space="preserve"> </w:t>
      </w:r>
      <w:r>
        <w:rPr>
          <w:lang w:val="en-US"/>
        </w:rPr>
        <w:t>Stojcic and Orlic, 20</w:t>
      </w:r>
      <w:r w:rsidR="00974349">
        <w:rPr>
          <w:lang w:val="en-US"/>
        </w:rPr>
        <w:t>20</w:t>
      </w:r>
      <w:r>
        <w:rPr>
          <w:lang w:val="en-US"/>
        </w:rPr>
        <w:t>)</w:t>
      </w:r>
      <w:r w:rsidR="00D37DBB" w:rsidRPr="00D37DBB">
        <w:rPr>
          <w:lang w:val="en-US"/>
        </w:rPr>
        <w:t xml:space="preserve">. </w:t>
      </w:r>
      <w:r w:rsidR="00C14B43" w:rsidRPr="00C14B43">
        <w:rPr>
          <w:lang w:val="en-US"/>
        </w:rPr>
        <w:t>Foreign firms manufacture goods that are more technologically demanding</w:t>
      </w:r>
      <w:r w:rsidR="00C14B43">
        <w:rPr>
          <w:lang w:val="en-US"/>
        </w:rPr>
        <w:t xml:space="preserve"> and require </w:t>
      </w:r>
      <w:r w:rsidR="00F43AD5">
        <w:rPr>
          <w:lang w:val="en-US"/>
        </w:rPr>
        <w:t>more sophisticated</w:t>
      </w:r>
      <w:r w:rsidR="00C14B43">
        <w:rPr>
          <w:lang w:val="en-US"/>
        </w:rPr>
        <w:t xml:space="preserve"> knowledge for </w:t>
      </w:r>
      <w:r w:rsidR="00F43AD5">
        <w:rPr>
          <w:lang w:val="en-US"/>
        </w:rPr>
        <w:t>production</w:t>
      </w:r>
      <w:r w:rsidR="001876EA">
        <w:rPr>
          <w:lang w:val="en-US"/>
        </w:rPr>
        <w:t xml:space="preserve"> than th</w:t>
      </w:r>
      <w:r w:rsidR="00383271">
        <w:rPr>
          <w:lang w:val="en-US"/>
        </w:rPr>
        <w:t>ose</w:t>
      </w:r>
      <w:r w:rsidR="001876EA">
        <w:rPr>
          <w:lang w:val="en-US"/>
        </w:rPr>
        <w:t xml:space="preserve"> of the local firms in emerging econom</w:t>
      </w:r>
      <w:r w:rsidR="00612B60">
        <w:rPr>
          <w:lang w:val="en-US"/>
        </w:rPr>
        <w:t>ies</w:t>
      </w:r>
      <w:r w:rsidR="00C14B43" w:rsidRPr="00C14B43">
        <w:rPr>
          <w:lang w:val="en-US"/>
        </w:rPr>
        <w:t>. Domestic supplier would</w:t>
      </w:r>
      <w:r w:rsidR="00B64F21">
        <w:rPr>
          <w:lang w:val="en-US"/>
        </w:rPr>
        <w:t>,</w:t>
      </w:r>
      <w:r w:rsidR="00C14B43" w:rsidRPr="00C14B43">
        <w:rPr>
          <w:lang w:val="en-US"/>
        </w:rPr>
        <w:t xml:space="preserve"> consequently</w:t>
      </w:r>
      <w:r w:rsidR="00B64F21">
        <w:rPr>
          <w:lang w:val="en-US"/>
        </w:rPr>
        <w:t>,</w:t>
      </w:r>
      <w:r w:rsidR="00C14B43" w:rsidRPr="00C14B43">
        <w:rPr>
          <w:lang w:val="en-US"/>
        </w:rPr>
        <w:t xml:space="preserve"> try to increase competence and </w:t>
      </w:r>
      <w:r w:rsidR="00FD60C0">
        <w:rPr>
          <w:lang w:val="en-US"/>
        </w:rPr>
        <w:t>improve the quality</w:t>
      </w:r>
      <w:r w:rsidR="00C14B43" w:rsidRPr="00C14B43">
        <w:rPr>
          <w:lang w:val="en-US"/>
        </w:rPr>
        <w:t xml:space="preserve"> of their </w:t>
      </w:r>
      <w:r w:rsidR="00FD60C0">
        <w:rPr>
          <w:lang w:val="en-US"/>
        </w:rPr>
        <w:t>inputs</w:t>
      </w:r>
      <w:r w:rsidR="00FD60C0" w:rsidRPr="00C14B43">
        <w:rPr>
          <w:lang w:val="en-US"/>
        </w:rPr>
        <w:t xml:space="preserve"> </w:t>
      </w:r>
      <w:r w:rsidR="00C14B43" w:rsidRPr="00C14B43">
        <w:rPr>
          <w:lang w:val="en-US"/>
        </w:rPr>
        <w:t xml:space="preserve">to meet new customers’ demands, </w:t>
      </w:r>
      <w:r w:rsidR="00B04762">
        <w:rPr>
          <w:lang w:val="en-US"/>
        </w:rPr>
        <w:t>by</w:t>
      </w:r>
      <w:r w:rsidR="00B04762" w:rsidRPr="00C14B43">
        <w:rPr>
          <w:lang w:val="en-US"/>
        </w:rPr>
        <w:t xml:space="preserve"> </w:t>
      </w:r>
      <w:r w:rsidR="00C14B43" w:rsidRPr="00C14B43">
        <w:rPr>
          <w:lang w:val="en-US"/>
        </w:rPr>
        <w:t>improving their own technology</w:t>
      </w:r>
      <w:r w:rsidR="00F43AD5">
        <w:rPr>
          <w:lang w:val="en-US"/>
        </w:rPr>
        <w:t xml:space="preserve"> through innovation</w:t>
      </w:r>
      <w:r w:rsidR="00C14B43" w:rsidRPr="00C14B43">
        <w:rPr>
          <w:lang w:val="en-US"/>
        </w:rPr>
        <w:t xml:space="preserve">. </w:t>
      </w:r>
      <w:r w:rsidR="00F43AD5">
        <w:rPr>
          <w:lang w:val="en-US"/>
        </w:rPr>
        <w:t>This</w:t>
      </w:r>
      <w:r w:rsidR="006C2A75">
        <w:rPr>
          <w:lang w:val="en-US"/>
        </w:rPr>
        <w:t xml:space="preserve"> is</w:t>
      </w:r>
      <w:r w:rsidR="00F43AD5">
        <w:rPr>
          <w:lang w:val="en-US"/>
        </w:rPr>
        <w:t xml:space="preserve"> </w:t>
      </w:r>
      <w:r w:rsidR="0011538B">
        <w:rPr>
          <w:lang w:val="en-US"/>
        </w:rPr>
        <w:t>how</w:t>
      </w:r>
      <w:r w:rsidR="00F43AD5">
        <w:rPr>
          <w:lang w:val="en-US"/>
        </w:rPr>
        <w:t xml:space="preserve"> backward spillovers transmi</w:t>
      </w:r>
      <w:r w:rsidR="0011538B">
        <w:rPr>
          <w:lang w:val="en-US"/>
        </w:rPr>
        <w:t>ssion of knowledge occurs</w:t>
      </w:r>
      <w:r w:rsidR="00F43AD5">
        <w:rPr>
          <w:lang w:val="en-US"/>
        </w:rPr>
        <w:t xml:space="preserve">. </w:t>
      </w:r>
      <w:r>
        <w:t>MNCs were found to</w:t>
      </w:r>
      <w:r w:rsidR="00412762">
        <w:t xml:space="preserve"> help domestic firms </w:t>
      </w:r>
      <w:r w:rsidR="00F314BA">
        <w:t xml:space="preserve">in </w:t>
      </w:r>
      <w:r w:rsidR="00C93852">
        <w:t>improv</w:t>
      </w:r>
      <w:r w:rsidR="00F314BA">
        <w:t>ing</w:t>
      </w:r>
      <w:r w:rsidR="00A240AB">
        <w:t xml:space="preserve"> their innovation process and technology</w:t>
      </w:r>
      <w:r w:rsidR="00C93852">
        <w:t xml:space="preserve"> to reach their production requirements </w:t>
      </w:r>
      <w:r w:rsidR="00412762">
        <w:t>in</w:t>
      </w:r>
      <w:r w:rsidR="0067466C">
        <w:t xml:space="preserve"> </w:t>
      </w:r>
      <w:r w:rsidR="00FD60C0">
        <w:t xml:space="preserve">EEs </w:t>
      </w:r>
      <w:r w:rsidR="00412762">
        <w:t>(</w:t>
      </w:r>
      <w:r w:rsidR="00412762" w:rsidRPr="00654FBA">
        <w:rPr>
          <w:lang w:val="en-US"/>
        </w:rPr>
        <w:t>Blalock and Gertler, 2008; Du et al., 2011; Gorodnichenko et al., 2014</w:t>
      </w:r>
      <w:r w:rsidR="00412762">
        <w:t xml:space="preserve">). </w:t>
      </w:r>
    </w:p>
    <w:p w14:paraId="643DA99C" w14:textId="357AC355" w:rsidR="009A18AB" w:rsidRDefault="00C93852" w:rsidP="009F7B94">
      <w:pPr>
        <w:spacing w:line="360" w:lineRule="auto"/>
        <w:jc w:val="both"/>
        <w:rPr>
          <w:lang w:val="en-US"/>
        </w:rPr>
      </w:pPr>
      <w:r>
        <w:t>Likewise, if foreign firm acts as supplier</w:t>
      </w:r>
      <w:r w:rsidR="009A18AB">
        <w:t xml:space="preserve">, they can benefit </w:t>
      </w:r>
      <w:r w:rsidR="009A18AB" w:rsidRPr="009A18AB">
        <w:rPr>
          <w:lang w:val="en-US"/>
        </w:rPr>
        <w:t>local customers in downstream industries by supplying better quality inputs</w:t>
      </w:r>
      <w:r w:rsidR="006C2A75">
        <w:rPr>
          <w:lang w:val="en-US"/>
        </w:rPr>
        <w:t xml:space="preserve"> facilitating </w:t>
      </w:r>
      <w:r w:rsidR="009A18AB">
        <w:rPr>
          <w:lang w:val="en-US"/>
        </w:rPr>
        <w:t>forward spillovers</w:t>
      </w:r>
      <w:r w:rsidR="009A18AB" w:rsidRPr="009A18AB">
        <w:rPr>
          <w:lang w:val="en-US"/>
        </w:rPr>
        <w:t xml:space="preserve">. </w:t>
      </w:r>
      <w:r w:rsidR="009863B2">
        <w:rPr>
          <w:lang w:val="en-US"/>
        </w:rPr>
        <w:t>However, t</w:t>
      </w:r>
      <w:r w:rsidR="00D37DBB">
        <w:rPr>
          <w:lang w:val="en-US"/>
        </w:rPr>
        <w:t xml:space="preserve">he </w:t>
      </w:r>
      <w:r w:rsidR="008D1B60">
        <w:rPr>
          <w:lang w:val="en-US"/>
        </w:rPr>
        <w:t xml:space="preserve">empirical </w:t>
      </w:r>
      <w:r w:rsidR="00D37DBB">
        <w:rPr>
          <w:lang w:val="en-US"/>
        </w:rPr>
        <w:t>evidence shows that this has generally</w:t>
      </w:r>
      <w:r w:rsidR="00412762">
        <w:rPr>
          <w:lang w:val="en-US"/>
        </w:rPr>
        <w:t xml:space="preserve"> not been the case in </w:t>
      </w:r>
      <w:r w:rsidR="00FD60C0">
        <w:rPr>
          <w:lang w:val="en-US"/>
        </w:rPr>
        <w:t>EEs</w:t>
      </w:r>
      <w:r w:rsidR="00412762">
        <w:rPr>
          <w:lang w:val="en-US"/>
        </w:rPr>
        <w:t xml:space="preserve"> (</w:t>
      </w:r>
      <w:r w:rsidR="00412762" w:rsidRPr="00654FBA">
        <w:rPr>
          <w:lang w:val="en-US"/>
        </w:rPr>
        <w:t>Barrios et al., 2006; Javorcik and Spatar</w:t>
      </w:r>
      <w:r w:rsidR="00412762">
        <w:rPr>
          <w:lang w:val="en-US"/>
        </w:rPr>
        <w:t>eanu, 2011; Damijan et al., 2013</w:t>
      </w:r>
      <w:r w:rsidR="00F43AD5">
        <w:rPr>
          <w:lang w:val="en-US"/>
        </w:rPr>
        <w:t xml:space="preserve">). Gorodnichenko et al. (2014) argue that the </w:t>
      </w:r>
      <w:r w:rsidR="009F7B94">
        <w:rPr>
          <w:lang w:val="en-US"/>
        </w:rPr>
        <w:t xml:space="preserve">absence </w:t>
      </w:r>
      <w:r w:rsidR="00F43AD5">
        <w:rPr>
          <w:lang w:val="en-US"/>
        </w:rPr>
        <w:t xml:space="preserve">of these spillovers </w:t>
      </w:r>
      <w:r w:rsidR="00FD60C0">
        <w:rPr>
          <w:lang w:val="en-US"/>
        </w:rPr>
        <w:t xml:space="preserve">is </w:t>
      </w:r>
      <w:r w:rsidR="00F43AD5">
        <w:rPr>
          <w:lang w:val="en-US"/>
        </w:rPr>
        <w:t xml:space="preserve">because </w:t>
      </w:r>
      <w:r w:rsidR="00160DE9">
        <w:rPr>
          <w:lang w:val="en-US"/>
        </w:rPr>
        <w:t>inputs source</w:t>
      </w:r>
      <w:r w:rsidR="00577D4E">
        <w:rPr>
          <w:lang w:val="en-US"/>
        </w:rPr>
        <w:t>d</w:t>
      </w:r>
      <w:r w:rsidR="00160DE9">
        <w:rPr>
          <w:lang w:val="en-US"/>
        </w:rPr>
        <w:t xml:space="preserve"> f</w:t>
      </w:r>
      <w:r w:rsidR="006C2A75">
        <w:rPr>
          <w:lang w:val="en-US"/>
        </w:rPr>
        <w:t>ro</w:t>
      </w:r>
      <w:r w:rsidR="00160DE9">
        <w:rPr>
          <w:lang w:val="en-US"/>
        </w:rPr>
        <w:t>m foreign firms are too sophisticated</w:t>
      </w:r>
      <w:r w:rsidR="005A5EFC">
        <w:rPr>
          <w:lang w:val="en-US"/>
        </w:rPr>
        <w:t>,</w:t>
      </w:r>
      <w:r w:rsidR="00160DE9">
        <w:rPr>
          <w:lang w:val="en-US"/>
        </w:rPr>
        <w:t xml:space="preserve"> </w:t>
      </w:r>
      <w:r w:rsidR="005A5EFC">
        <w:rPr>
          <w:lang w:val="en-US"/>
        </w:rPr>
        <w:t xml:space="preserve">on the one hand, </w:t>
      </w:r>
      <w:r w:rsidR="009F7B94">
        <w:rPr>
          <w:lang w:val="en-US"/>
        </w:rPr>
        <w:t xml:space="preserve">and the </w:t>
      </w:r>
      <w:r w:rsidR="00160DE9">
        <w:rPr>
          <w:lang w:val="en-US"/>
        </w:rPr>
        <w:t xml:space="preserve">local technological competence </w:t>
      </w:r>
      <w:r w:rsidR="00577D4E">
        <w:rPr>
          <w:lang w:val="en-US"/>
        </w:rPr>
        <w:t>is</w:t>
      </w:r>
      <w:r w:rsidR="00160DE9">
        <w:rPr>
          <w:lang w:val="en-US"/>
        </w:rPr>
        <w:t xml:space="preserve"> </w:t>
      </w:r>
      <w:r w:rsidR="00DF1069">
        <w:rPr>
          <w:lang w:val="en-US"/>
        </w:rPr>
        <w:t>inferior</w:t>
      </w:r>
      <w:r w:rsidR="005A5EFC">
        <w:rPr>
          <w:lang w:val="en-US"/>
        </w:rPr>
        <w:t xml:space="preserve"> on the other</w:t>
      </w:r>
      <w:r w:rsidR="00160DE9">
        <w:rPr>
          <w:lang w:val="en-US"/>
        </w:rPr>
        <w:t xml:space="preserve">. </w:t>
      </w:r>
    </w:p>
    <w:p w14:paraId="2CA0B8EA" w14:textId="77777777" w:rsidR="00723B2F" w:rsidRDefault="00723B2F" w:rsidP="009A18AB">
      <w:pPr>
        <w:jc w:val="both"/>
        <w:rPr>
          <w:lang w:val="en-US"/>
        </w:rPr>
      </w:pPr>
    </w:p>
    <w:p w14:paraId="2CE2AA6C" w14:textId="77777777" w:rsidR="00E3574E" w:rsidRPr="00E3574E" w:rsidRDefault="00E3574E" w:rsidP="00204235">
      <w:pPr>
        <w:spacing w:line="360" w:lineRule="auto"/>
        <w:jc w:val="both"/>
        <w:rPr>
          <w:i/>
          <w:iCs/>
          <w:lang w:val="en-US"/>
        </w:rPr>
      </w:pPr>
      <w:r w:rsidRPr="00E3574E">
        <w:rPr>
          <w:i/>
          <w:iCs/>
          <w:lang w:val="en-US"/>
        </w:rPr>
        <w:t>2.2. FDI spillovers and innovation</w:t>
      </w:r>
      <w:r>
        <w:rPr>
          <w:i/>
          <w:iCs/>
          <w:lang w:val="en-US"/>
        </w:rPr>
        <w:t xml:space="preserve"> regimes</w:t>
      </w:r>
      <w:r w:rsidRPr="00E3574E">
        <w:rPr>
          <w:i/>
          <w:iCs/>
          <w:lang w:val="en-US"/>
        </w:rPr>
        <w:t xml:space="preserve"> in emerging economies</w:t>
      </w:r>
    </w:p>
    <w:p w14:paraId="0EB0BAAB" w14:textId="77777777" w:rsidR="00E3574E" w:rsidRDefault="00E3574E" w:rsidP="00204235">
      <w:pPr>
        <w:spacing w:line="360" w:lineRule="auto"/>
        <w:jc w:val="both"/>
        <w:rPr>
          <w:lang w:val="en-US"/>
        </w:rPr>
      </w:pPr>
    </w:p>
    <w:p w14:paraId="2CF5E5E6" w14:textId="77777777" w:rsidR="006C2A75" w:rsidRDefault="00E4638C" w:rsidP="00204235">
      <w:pPr>
        <w:spacing w:line="360" w:lineRule="auto"/>
        <w:jc w:val="both"/>
        <w:rPr>
          <w:lang w:val="en-US"/>
        </w:rPr>
      </w:pPr>
      <w:r>
        <w:rPr>
          <w:lang w:val="en-US"/>
        </w:rPr>
        <w:t xml:space="preserve">The role of FDI spillovers in </w:t>
      </w:r>
      <w:r w:rsidR="0067466C">
        <w:rPr>
          <w:lang w:val="en-US"/>
        </w:rPr>
        <w:t>emerging</w:t>
      </w:r>
      <w:r>
        <w:rPr>
          <w:lang w:val="en-US"/>
        </w:rPr>
        <w:t xml:space="preserve"> economies has been </w:t>
      </w:r>
      <w:r w:rsidR="00E3574E">
        <w:rPr>
          <w:lang w:val="en-US"/>
        </w:rPr>
        <w:t>analyzed</w:t>
      </w:r>
      <w:r>
        <w:rPr>
          <w:lang w:val="en-US"/>
        </w:rPr>
        <w:t xml:space="preserve"> mostly from the perspective of </w:t>
      </w:r>
      <w:r w:rsidR="00723B2F">
        <w:rPr>
          <w:lang w:val="en-US"/>
        </w:rPr>
        <w:t>their</w:t>
      </w:r>
      <w:r>
        <w:rPr>
          <w:lang w:val="en-US"/>
        </w:rPr>
        <w:t xml:space="preserve"> influence on firm or industr</w:t>
      </w:r>
      <w:r w:rsidR="00FD60C0">
        <w:rPr>
          <w:lang w:val="en-US"/>
        </w:rPr>
        <w:t>y</w:t>
      </w:r>
      <w:r>
        <w:rPr>
          <w:lang w:val="en-US"/>
        </w:rPr>
        <w:t xml:space="preserve"> productivity (</w:t>
      </w:r>
      <w:r w:rsidR="00182CE7" w:rsidRPr="00EB3F9F">
        <w:rPr>
          <w:lang w:val="en-US"/>
        </w:rPr>
        <w:t>Javorcik, 2</w:t>
      </w:r>
      <w:r w:rsidR="00182CE7">
        <w:rPr>
          <w:lang w:val="en-US"/>
        </w:rPr>
        <w:t>004; Halpern and Maruközy, 2007; Lu et al., 2017</w:t>
      </w:r>
      <w:r w:rsidR="007C266C">
        <w:rPr>
          <w:lang w:val="en-US"/>
        </w:rPr>
        <w:t xml:space="preserve"> among others</w:t>
      </w:r>
      <w:r>
        <w:rPr>
          <w:lang w:val="en-US"/>
        </w:rPr>
        <w:t xml:space="preserve">). </w:t>
      </w:r>
      <w:r w:rsidR="00F314BA">
        <w:rPr>
          <w:lang w:val="en-US"/>
        </w:rPr>
        <w:t xml:space="preserve">One </w:t>
      </w:r>
      <w:r>
        <w:rPr>
          <w:lang w:val="en-US"/>
        </w:rPr>
        <w:t xml:space="preserve">exception is </w:t>
      </w:r>
      <w:r w:rsidR="002E4A8C">
        <w:rPr>
          <w:lang w:val="en-US"/>
        </w:rPr>
        <w:t>Vahter</w:t>
      </w:r>
      <w:r w:rsidR="009C5795">
        <w:rPr>
          <w:lang w:val="en-US"/>
        </w:rPr>
        <w:t xml:space="preserve"> (</w:t>
      </w:r>
      <w:r w:rsidR="005F2E1C">
        <w:rPr>
          <w:lang w:val="en-US"/>
        </w:rPr>
        <w:t>2011</w:t>
      </w:r>
      <w:r w:rsidR="009C5795">
        <w:rPr>
          <w:lang w:val="en-US"/>
        </w:rPr>
        <w:t>)</w:t>
      </w:r>
      <w:r w:rsidR="005F2E1C">
        <w:rPr>
          <w:lang w:val="en-US"/>
        </w:rPr>
        <w:t xml:space="preserve"> who finds positive effects of FDI spillovers </w:t>
      </w:r>
      <w:r w:rsidR="002E4A8C">
        <w:rPr>
          <w:lang w:val="en-US"/>
        </w:rPr>
        <w:t xml:space="preserve">on innovation in Estonia. </w:t>
      </w:r>
      <w:r w:rsidR="00E8622B">
        <w:rPr>
          <w:lang w:val="en-US"/>
        </w:rPr>
        <w:t>Stojcic (202</w:t>
      </w:r>
      <w:r w:rsidR="0032655A">
        <w:rPr>
          <w:lang w:val="en-US"/>
        </w:rPr>
        <w:t>1</w:t>
      </w:r>
      <w:r w:rsidR="00E8622B">
        <w:rPr>
          <w:lang w:val="en-US"/>
        </w:rPr>
        <w:t xml:space="preserve">) </w:t>
      </w:r>
      <w:r>
        <w:rPr>
          <w:lang w:val="en-US"/>
        </w:rPr>
        <w:t>address</w:t>
      </w:r>
      <w:r w:rsidR="00E8622B">
        <w:rPr>
          <w:lang w:val="en-US"/>
        </w:rPr>
        <w:t>es</w:t>
      </w:r>
      <w:r>
        <w:rPr>
          <w:lang w:val="en-US"/>
        </w:rPr>
        <w:t xml:space="preserve"> </w:t>
      </w:r>
      <w:r w:rsidR="00F314BA">
        <w:rPr>
          <w:lang w:val="en-US"/>
        </w:rPr>
        <w:t xml:space="preserve">the </w:t>
      </w:r>
      <w:r>
        <w:rPr>
          <w:lang w:val="en-US"/>
        </w:rPr>
        <w:t>role of foreign partners in</w:t>
      </w:r>
      <w:r w:rsidR="009F7B94">
        <w:rPr>
          <w:lang w:val="en-US"/>
        </w:rPr>
        <w:t xml:space="preserve"> the</w:t>
      </w:r>
      <w:r>
        <w:rPr>
          <w:lang w:val="en-US"/>
        </w:rPr>
        <w:t xml:space="preserve"> creation and commercialization of innovations in </w:t>
      </w:r>
      <w:r w:rsidR="0067466C">
        <w:rPr>
          <w:lang w:val="en-US"/>
        </w:rPr>
        <w:t>emerging</w:t>
      </w:r>
      <w:r>
        <w:rPr>
          <w:lang w:val="en-US"/>
        </w:rPr>
        <w:t xml:space="preserve"> economies but </w:t>
      </w:r>
      <w:r w:rsidR="00BB0137">
        <w:rPr>
          <w:lang w:val="en-US"/>
        </w:rPr>
        <w:t xml:space="preserve">this </w:t>
      </w:r>
      <w:r>
        <w:rPr>
          <w:lang w:val="en-US"/>
        </w:rPr>
        <w:t>stud</w:t>
      </w:r>
      <w:r w:rsidR="00BB0137">
        <w:rPr>
          <w:lang w:val="en-US"/>
        </w:rPr>
        <w:t>y</w:t>
      </w:r>
      <w:r>
        <w:rPr>
          <w:lang w:val="en-US"/>
        </w:rPr>
        <w:t xml:space="preserve"> do</w:t>
      </w:r>
      <w:r w:rsidR="00DD09CD">
        <w:rPr>
          <w:lang w:val="en-US"/>
        </w:rPr>
        <w:t>es</w:t>
      </w:r>
      <w:r>
        <w:rPr>
          <w:lang w:val="en-US"/>
        </w:rPr>
        <w:t xml:space="preserve"> not focus explicitly on the role of FDI </w:t>
      </w:r>
      <w:r w:rsidR="00FD60C0">
        <w:rPr>
          <w:lang w:val="en-US"/>
        </w:rPr>
        <w:t xml:space="preserve">spillovers </w:t>
      </w:r>
      <w:r>
        <w:rPr>
          <w:lang w:val="en-US"/>
        </w:rPr>
        <w:t xml:space="preserve">as </w:t>
      </w:r>
      <w:r w:rsidR="00FD60C0">
        <w:rPr>
          <w:lang w:val="en-US"/>
        </w:rPr>
        <w:t xml:space="preserve">the </w:t>
      </w:r>
      <w:r>
        <w:rPr>
          <w:lang w:val="en-US"/>
        </w:rPr>
        <w:t xml:space="preserve">facilitator of domestic innovation activities in these economies. </w:t>
      </w:r>
    </w:p>
    <w:p w14:paraId="70816FBC" w14:textId="53C31A63" w:rsidR="00AB6C92" w:rsidRPr="00F05E0A" w:rsidRDefault="00383271" w:rsidP="009F7B94">
      <w:pPr>
        <w:spacing w:line="360" w:lineRule="auto"/>
        <w:jc w:val="both"/>
        <w:rPr>
          <w:lang w:val="en-US"/>
        </w:rPr>
      </w:pPr>
      <w:r>
        <w:rPr>
          <w:lang w:val="en-US"/>
        </w:rPr>
        <w:t>The e</w:t>
      </w:r>
      <w:r w:rsidR="00256AE0" w:rsidRPr="00256AE0">
        <w:rPr>
          <w:lang w:val="en-US"/>
        </w:rPr>
        <w:t xml:space="preserve">xternal stock of knowledge can increase firm’s </w:t>
      </w:r>
      <w:r w:rsidR="00256AE0">
        <w:rPr>
          <w:lang w:val="en-US"/>
        </w:rPr>
        <w:t>innovation expenditure</w:t>
      </w:r>
      <w:r w:rsidR="00DD09CD">
        <w:rPr>
          <w:lang w:val="en-US"/>
        </w:rPr>
        <w:t>s</w:t>
      </w:r>
      <w:r w:rsidR="00256AE0" w:rsidRPr="00256AE0">
        <w:rPr>
          <w:lang w:val="en-US"/>
        </w:rPr>
        <w:t>. These increased innovative activities could eventua</w:t>
      </w:r>
      <w:r w:rsidR="00256AE0">
        <w:rPr>
          <w:lang w:val="en-US"/>
        </w:rPr>
        <w:t xml:space="preserve">lly increase </w:t>
      </w:r>
      <w:r w:rsidR="004C2915">
        <w:rPr>
          <w:lang w:val="en-US"/>
        </w:rPr>
        <w:t xml:space="preserve">the </w:t>
      </w:r>
      <w:r w:rsidR="00256AE0">
        <w:rPr>
          <w:lang w:val="en-US"/>
        </w:rPr>
        <w:t xml:space="preserve">innovation output </w:t>
      </w:r>
      <w:r w:rsidR="0019390E">
        <w:rPr>
          <w:lang w:val="en-US"/>
        </w:rPr>
        <w:t>and lead to</w:t>
      </w:r>
      <w:r w:rsidR="00256AE0">
        <w:rPr>
          <w:lang w:val="en-US"/>
        </w:rPr>
        <w:t xml:space="preserve"> </w:t>
      </w:r>
      <w:r w:rsidR="004C2915">
        <w:rPr>
          <w:lang w:val="en-US"/>
        </w:rPr>
        <w:t xml:space="preserve">higher </w:t>
      </w:r>
      <w:r w:rsidR="00256AE0">
        <w:rPr>
          <w:lang w:val="en-US"/>
        </w:rPr>
        <w:t xml:space="preserve">productivity. As </w:t>
      </w:r>
      <w:r w:rsidR="002A1D62">
        <w:rPr>
          <w:lang w:val="en-US"/>
        </w:rPr>
        <w:t>financing innovation is very expensive</w:t>
      </w:r>
      <w:r w:rsidR="00242D0E">
        <w:rPr>
          <w:lang w:val="en-US"/>
        </w:rPr>
        <w:t xml:space="preserve"> </w:t>
      </w:r>
      <w:r w:rsidR="008F05A2">
        <w:t xml:space="preserve">in particular where the </w:t>
      </w:r>
      <w:r w:rsidR="009F7B94">
        <w:t xml:space="preserve">borrowing </w:t>
      </w:r>
      <w:r w:rsidR="008F05A2">
        <w:t>cost is higher</w:t>
      </w:r>
      <w:r w:rsidR="00DB2137">
        <w:t xml:space="preserve"> </w:t>
      </w:r>
      <w:r w:rsidR="00DB2137">
        <w:rPr>
          <w:lang w:val="en-US"/>
        </w:rPr>
        <w:t>(Vujanovic et al., 2021)</w:t>
      </w:r>
      <w:r w:rsidR="00256AE0">
        <w:rPr>
          <w:lang w:val="en-US"/>
        </w:rPr>
        <w:t xml:space="preserve">, the role of foreign knowledge </w:t>
      </w:r>
      <w:r w:rsidR="0019390E">
        <w:rPr>
          <w:lang w:val="en-US"/>
        </w:rPr>
        <w:t>gain</w:t>
      </w:r>
      <w:r w:rsidR="004C2915">
        <w:rPr>
          <w:lang w:val="en-US"/>
        </w:rPr>
        <w:t>s</w:t>
      </w:r>
      <w:r w:rsidR="0019390E">
        <w:rPr>
          <w:lang w:val="en-US"/>
        </w:rPr>
        <w:t xml:space="preserve"> further </w:t>
      </w:r>
      <w:r w:rsidR="002A1D62">
        <w:rPr>
          <w:lang w:val="en-US"/>
        </w:rPr>
        <w:t>importance</w:t>
      </w:r>
      <w:r w:rsidR="00256AE0">
        <w:rPr>
          <w:lang w:val="en-US"/>
        </w:rPr>
        <w:t xml:space="preserve">. </w:t>
      </w:r>
      <w:r w:rsidR="00B1273A">
        <w:rPr>
          <w:lang w:val="en-US"/>
        </w:rPr>
        <w:t xml:space="preserve">The impact of FDI spillovers on the innovation process as a whole – starting from the investment in innovation and ending with the effect on productivity, has remained, somewhat surprisingly, unknown for the emerging economies. </w:t>
      </w:r>
      <w:r w:rsidR="002F2E65">
        <w:rPr>
          <w:lang w:val="en-US"/>
        </w:rPr>
        <w:t>Hence, t</w:t>
      </w:r>
      <w:r w:rsidR="00E4638C">
        <w:rPr>
          <w:lang w:val="en-US"/>
        </w:rPr>
        <w:t xml:space="preserve">here is </w:t>
      </w:r>
      <w:r w:rsidR="003C705B">
        <w:rPr>
          <w:lang w:val="en-US"/>
        </w:rPr>
        <w:t xml:space="preserve">a </w:t>
      </w:r>
      <w:r w:rsidR="00E4638C">
        <w:rPr>
          <w:lang w:val="en-US"/>
        </w:rPr>
        <w:t>need to fill this gap</w:t>
      </w:r>
      <w:r w:rsidR="00DD09CD">
        <w:rPr>
          <w:lang w:val="en-US"/>
        </w:rPr>
        <w:t>, especially given widespread expectation of policy makers that FDI will bring not only employment but also improve innovation capacity of local firms</w:t>
      </w:r>
      <w:r w:rsidR="007A3AA8">
        <w:rPr>
          <w:lang w:val="en-US"/>
        </w:rPr>
        <w:t xml:space="preserve">. </w:t>
      </w:r>
    </w:p>
    <w:p w14:paraId="30A86E91" w14:textId="328FC851" w:rsidR="00A923F2" w:rsidRDefault="00E3574E" w:rsidP="00474DCE">
      <w:pPr>
        <w:spacing w:line="360" w:lineRule="auto"/>
        <w:jc w:val="both"/>
        <w:rPr>
          <w:bCs/>
        </w:rPr>
      </w:pPr>
      <w:r>
        <w:rPr>
          <w:bCs/>
        </w:rPr>
        <w:t>T</w:t>
      </w:r>
      <w:r w:rsidR="00097C6D">
        <w:rPr>
          <w:bCs/>
        </w:rPr>
        <w:t xml:space="preserve">he absorption of spillovers is contingent </w:t>
      </w:r>
      <w:r w:rsidR="007C266C">
        <w:rPr>
          <w:bCs/>
        </w:rPr>
        <w:t>on</w:t>
      </w:r>
      <w:r w:rsidR="00281265">
        <w:rPr>
          <w:bCs/>
        </w:rPr>
        <w:t xml:space="preserve"> </w:t>
      </w:r>
      <w:r w:rsidR="002F2B84">
        <w:rPr>
          <w:bCs/>
        </w:rPr>
        <w:t xml:space="preserve">various factors, </w:t>
      </w:r>
      <w:r w:rsidR="00097C6D">
        <w:rPr>
          <w:bCs/>
        </w:rPr>
        <w:t>particularly in emerging markets. In the first place, w</w:t>
      </w:r>
      <w:r w:rsidR="00440A4A">
        <w:rPr>
          <w:bCs/>
        </w:rPr>
        <w:t>ithout some domestic technological effort</w:t>
      </w:r>
      <w:r w:rsidR="007A3AA8">
        <w:rPr>
          <w:bCs/>
        </w:rPr>
        <w:t>,</w:t>
      </w:r>
      <w:r w:rsidR="00440A4A">
        <w:rPr>
          <w:bCs/>
        </w:rPr>
        <w:t xml:space="preserve"> foreign firm’s knowledge may not suffice for technological growth (Radosevic, 1999). </w:t>
      </w:r>
      <w:r w:rsidR="00097C6D">
        <w:rPr>
          <w:bCs/>
        </w:rPr>
        <w:t>T</w:t>
      </w:r>
      <w:r w:rsidR="00654FBA">
        <w:rPr>
          <w:bCs/>
        </w:rPr>
        <w:t xml:space="preserve">he </w:t>
      </w:r>
      <w:r w:rsidR="009F7B94">
        <w:rPr>
          <w:bCs/>
        </w:rPr>
        <w:t>absence</w:t>
      </w:r>
      <w:r w:rsidR="00412762" w:rsidRPr="00651FA6">
        <w:rPr>
          <w:bCs/>
        </w:rPr>
        <w:t xml:space="preserve"> of positive spillover effects </w:t>
      </w:r>
      <w:r w:rsidR="009F7B94">
        <w:rPr>
          <w:bCs/>
        </w:rPr>
        <w:t xml:space="preserve">is </w:t>
      </w:r>
      <w:r w:rsidR="007A3AA8">
        <w:rPr>
          <w:bCs/>
        </w:rPr>
        <w:t xml:space="preserve">mostly </w:t>
      </w:r>
      <w:r w:rsidR="009F7B94">
        <w:rPr>
          <w:bCs/>
        </w:rPr>
        <w:t>related to</w:t>
      </w:r>
      <w:r w:rsidR="00654FBA" w:rsidRPr="00651FA6">
        <w:rPr>
          <w:bCs/>
        </w:rPr>
        <w:t xml:space="preserve"> the</w:t>
      </w:r>
      <w:r w:rsidR="00B50EBF" w:rsidRPr="00651FA6">
        <w:rPr>
          <w:bCs/>
        </w:rPr>
        <w:t xml:space="preserve"> lack of absorptive capacity</w:t>
      </w:r>
      <w:r w:rsidR="007238A2">
        <w:rPr>
          <w:bCs/>
        </w:rPr>
        <w:t xml:space="preserve"> in </w:t>
      </w:r>
      <w:r w:rsidR="00167542">
        <w:rPr>
          <w:bCs/>
        </w:rPr>
        <w:t>emerging</w:t>
      </w:r>
      <w:r w:rsidR="007238A2">
        <w:rPr>
          <w:bCs/>
        </w:rPr>
        <w:t xml:space="preserve"> economies</w:t>
      </w:r>
      <w:r w:rsidR="00B50EBF" w:rsidRPr="00651FA6">
        <w:rPr>
          <w:bCs/>
        </w:rPr>
        <w:t xml:space="preserve"> (</w:t>
      </w:r>
      <w:r w:rsidR="00651FA6">
        <w:rPr>
          <w:bCs/>
          <w:lang w:val="en-US"/>
        </w:rPr>
        <w:t>Halpern and Muruközy, 2007</w:t>
      </w:r>
      <w:r w:rsidR="00651FA6" w:rsidRPr="00651FA6">
        <w:rPr>
          <w:bCs/>
          <w:lang w:val="en-US"/>
        </w:rPr>
        <w:t>; Kosová</w:t>
      </w:r>
      <w:r w:rsidR="00651FA6">
        <w:rPr>
          <w:bCs/>
          <w:lang w:val="en-US"/>
        </w:rPr>
        <w:t>, 2010; Damijan et al., 2013)</w:t>
      </w:r>
      <w:r w:rsidR="00B50EBF" w:rsidRPr="00651FA6">
        <w:rPr>
          <w:bCs/>
        </w:rPr>
        <w:t xml:space="preserve">, often measured by the current state of knowledge, the technology they possess and the quality of their human capital. In the context of developed economies, this often implies R&amp;D. However, </w:t>
      </w:r>
      <w:r w:rsidR="00523D21" w:rsidRPr="00A055B3">
        <w:t xml:space="preserve">economies that are far from the innovation and technological frontier grow </w:t>
      </w:r>
      <w:r w:rsidR="00982F4B">
        <w:t xml:space="preserve">predominantly </w:t>
      </w:r>
      <w:r w:rsidR="00523D21" w:rsidRPr="00A055B3">
        <w:t xml:space="preserve">through expansion of production capabilities (Radosevic and Yoruk, 2015), </w:t>
      </w:r>
      <w:r w:rsidR="00474DCE">
        <w:t>as they</w:t>
      </w:r>
      <w:r w:rsidR="00474DCE" w:rsidRPr="00A055B3">
        <w:t xml:space="preserve"> </w:t>
      </w:r>
      <w:r w:rsidR="00523D21" w:rsidRPr="00A055B3">
        <w:t>lack</w:t>
      </w:r>
      <w:r w:rsidR="00474DCE">
        <w:t xml:space="preserve"> the</w:t>
      </w:r>
      <w:r w:rsidR="00523D21" w:rsidRPr="00A055B3">
        <w:t xml:space="preserve"> scientific knowledge and the resources to </w:t>
      </w:r>
      <w:r w:rsidR="00383271">
        <w:t xml:space="preserve">engage in </w:t>
      </w:r>
      <w:r w:rsidR="00523D21" w:rsidRPr="00A055B3">
        <w:t>cutting-edge R&amp;D</w:t>
      </w:r>
      <w:r w:rsidR="00523D21">
        <w:rPr>
          <w:i/>
        </w:rPr>
        <w:t>.</w:t>
      </w:r>
      <w:r w:rsidR="00B50EBF" w:rsidRPr="00B50EBF">
        <w:rPr>
          <w:bCs/>
        </w:rPr>
        <w:t xml:space="preserve"> </w:t>
      </w:r>
    </w:p>
    <w:p w14:paraId="48A68079" w14:textId="743C72DC" w:rsidR="00450607" w:rsidRPr="00450607" w:rsidRDefault="004C2915" w:rsidP="00474DCE">
      <w:pPr>
        <w:spacing w:line="360" w:lineRule="auto"/>
        <w:jc w:val="both"/>
      </w:pPr>
      <w:r>
        <w:rPr>
          <w:bCs/>
        </w:rPr>
        <w:t>The</w:t>
      </w:r>
      <w:r w:rsidR="007A3AA8">
        <w:rPr>
          <w:bCs/>
        </w:rPr>
        <w:t xml:space="preserve"> innovative activity in </w:t>
      </w:r>
      <w:r w:rsidR="0067466C">
        <w:rPr>
          <w:bCs/>
        </w:rPr>
        <w:t>emerging</w:t>
      </w:r>
      <w:r w:rsidR="007A3AA8">
        <w:rPr>
          <w:bCs/>
        </w:rPr>
        <w:t xml:space="preserve"> economies differs from that in </w:t>
      </w:r>
      <w:r w:rsidR="006C1377">
        <w:rPr>
          <w:bCs/>
        </w:rPr>
        <w:t xml:space="preserve">the </w:t>
      </w:r>
      <w:r w:rsidR="007A3AA8">
        <w:rPr>
          <w:bCs/>
        </w:rPr>
        <w:t xml:space="preserve">advanced world. </w:t>
      </w:r>
      <w:r w:rsidR="00FB59F0" w:rsidRPr="00440A4A">
        <w:rPr>
          <w:bCs/>
        </w:rPr>
        <w:t>Kravtsova and</w:t>
      </w:r>
      <w:r w:rsidR="00FB59F0" w:rsidRPr="00440A4A">
        <w:t xml:space="preserve"> Radosevic (201</w:t>
      </w:r>
      <w:r w:rsidR="00974349">
        <w:t>2</w:t>
      </w:r>
      <w:r w:rsidR="00FB59F0" w:rsidRPr="00440A4A">
        <w:t xml:space="preserve">) explain that </w:t>
      </w:r>
      <w:r w:rsidR="00B50EBF" w:rsidRPr="00440A4A">
        <w:rPr>
          <w:bCs/>
        </w:rPr>
        <w:t xml:space="preserve">innovative activities in these economies </w:t>
      </w:r>
      <w:r w:rsidR="00E3574E">
        <w:rPr>
          <w:bCs/>
        </w:rPr>
        <w:t>are</w:t>
      </w:r>
      <w:r w:rsidR="00B50EBF" w:rsidRPr="00440A4A">
        <w:rPr>
          <w:bCs/>
        </w:rPr>
        <w:t xml:space="preserve"> aimed at improving the current production capability through acquisition of machinery and equipment (</w:t>
      </w:r>
      <w:r w:rsidR="00B50EBF" w:rsidRPr="00440A4A">
        <w:rPr>
          <w:bCs/>
          <w:i/>
        </w:rPr>
        <w:t>knowledge use</w:t>
      </w:r>
      <w:r w:rsidR="00B50EBF" w:rsidRPr="00440A4A">
        <w:rPr>
          <w:bCs/>
        </w:rPr>
        <w:t>), and not through expenditure on R&amp;D (</w:t>
      </w:r>
      <w:r w:rsidR="00B50EBF" w:rsidRPr="00440A4A">
        <w:rPr>
          <w:bCs/>
          <w:i/>
        </w:rPr>
        <w:t>knowledge creation</w:t>
      </w:r>
      <w:r w:rsidR="00B50EBF" w:rsidRPr="00440A4A">
        <w:rPr>
          <w:bCs/>
        </w:rPr>
        <w:t>).</w:t>
      </w:r>
      <w:r w:rsidR="00CF0C4C" w:rsidRPr="00440A4A">
        <w:rPr>
          <w:bCs/>
        </w:rPr>
        <w:t xml:space="preserve"> Hence</w:t>
      </w:r>
      <w:r w:rsidR="00ED5F38" w:rsidRPr="00440A4A">
        <w:rPr>
          <w:bCs/>
        </w:rPr>
        <w:t>, the innovation process in these economies is</w:t>
      </w:r>
      <w:r w:rsidR="00A1375B" w:rsidRPr="00440A4A">
        <w:rPr>
          <w:bCs/>
        </w:rPr>
        <w:t xml:space="preserve"> </w:t>
      </w:r>
      <w:r w:rsidR="00A923F2" w:rsidRPr="00440A4A">
        <w:rPr>
          <w:bCs/>
        </w:rPr>
        <w:t>based</w:t>
      </w:r>
      <w:r w:rsidR="00ED5F38" w:rsidRPr="00440A4A">
        <w:rPr>
          <w:bCs/>
        </w:rPr>
        <w:t xml:space="preserve"> </w:t>
      </w:r>
      <w:r w:rsidR="007A3AA8">
        <w:rPr>
          <w:bCs/>
        </w:rPr>
        <w:t>less on</w:t>
      </w:r>
      <w:r w:rsidR="00ED5F38" w:rsidRPr="00440A4A">
        <w:rPr>
          <w:bCs/>
        </w:rPr>
        <w:t xml:space="preserve"> R&amp;D but more on less knowledge</w:t>
      </w:r>
      <w:r w:rsidR="00033071">
        <w:rPr>
          <w:bCs/>
        </w:rPr>
        <w:t>-</w:t>
      </w:r>
      <w:r w:rsidR="00ED5F38" w:rsidRPr="00440A4A">
        <w:rPr>
          <w:bCs/>
        </w:rPr>
        <w:t>intensive activities such as technology adoption</w:t>
      </w:r>
      <w:r w:rsidR="00CF0C4C" w:rsidRPr="00440A4A">
        <w:rPr>
          <w:bCs/>
        </w:rPr>
        <w:t xml:space="preserve">, incremental </w:t>
      </w:r>
      <w:r w:rsidR="00ED5F38" w:rsidRPr="00440A4A">
        <w:rPr>
          <w:bCs/>
        </w:rPr>
        <w:t>and cost-</w:t>
      </w:r>
      <w:r w:rsidR="00CF0C4C" w:rsidRPr="00440A4A">
        <w:rPr>
          <w:bCs/>
        </w:rPr>
        <w:t>oriented innovation</w:t>
      </w:r>
      <w:r w:rsidR="00ED5F38" w:rsidRPr="00440A4A">
        <w:rPr>
          <w:bCs/>
        </w:rPr>
        <w:t xml:space="preserve"> </w:t>
      </w:r>
      <w:r w:rsidR="00007CE6">
        <w:rPr>
          <w:bCs/>
        </w:rPr>
        <w:t>th</w:t>
      </w:r>
      <w:r w:rsidR="00621E76">
        <w:rPr>
          <w:bCs/>
        </w:rPr>
        <w:t>r</w:t>
      </w:r>
      <w:r w:rsidR="00007CE6">
        <w:rPr>
          <w:bCs/>
        </w:rPr>
        <w:t xml:space="preserve">ough acquisition of machinery and equipment </w:t>
      </w:r>
      <w:r w:rsidR="00A1375B" w:rsidRPr="00440A4A">
        <w:rPr>
          <w:bCs/>
        </w:rPr>
        <w:t xml:space="preserve">(Radosevic, 2017). </w:t>
      </w:r>
      <w:r w:rsidR="00007CE6">
        <w:rPr>
          <w:bCs/>
        </w:rPr>
        <w:t>The innovation activities in that case are about the most productive use or absorption and assimilation of embedded R&amp;D</w:t>
      </w:r>
      <w:r w:rsidR="00474DCE">
        <w:rPr>
          <w:bCs/>
        </w:rPr>
        <w:t xml:space="preserve"> and</w:t>
      </w:r>
      <w:r w:rsidR="00007CE6">
        <w:rPr>
          <w:bCs/>
        </w:rPr>
        <w:t xml:space="preserve"> </w:t>
      </w:r>
      <w:r w:rsidR="00982F4B">
        <w:rPr>
          <w:bCs/>
        </w:rPr>
        <w:t xml:space="preserve">less </w:t>
      </w:r>
      <w:r w:rsidR="00007CE6">
        <w:rPr>
          <w:bCs/>
        </w:rPr>
        <w:t xml:space="preserve">about generation of new knowledge. </w:t>
      </w:r>
    </w:p>
    <w:p w14:paraId="369B8CF5" w14:textId="77777777" w:rsidR="00007CE6" w:rsidRDefault="002E6AC8" w:rsidP="00204235">
      <w:pPr>
        <w:spacing w:line="360" w:lineRule="auto"/>
        <w:jc w:val="both"/>
        <w:rPr>
          <w:bCs/>
        </w:rPr>
      </w:pPr>
      <w:r>
        <w:t>The success of MNCs in innovation activities has encouraged firms in EEs to try to build indigenous innovation competence</w:t>
      </w:r>
      <w:r w:rsidR="00007CE6" w:rsidRPr="0081383A">
        <w:rPr>
          <w:bCs/>
        </w:rPr>
        <w:t xml:space="preserve"> (Cheung and Lin, 2004).</w:t>
      </w:r>
      <w:r w:rsidR="00007CE6">
        <w:rPr>
          <w:bCs/>
        </w:rPr>
        <w:t xml:space="preserve"> Adoption of foreign knowledge, such as that embedded in machinery, equipment and know-how reduces</w:t>
      </w:r>
      <w:r w:rsidR="00474DCE">
        <w:rPr>
          <w:bCs/>
        </w:rPr>
        <w:t xml:space="preserve"> the</w:t>
      </w:r>
      <w:r w:rsidR="00007CE6">
        <w:rPr>
          <w:bCs/>
        </w:rPr>
        <w:t xml:space="preserve"> risk of innovation failure. At the same time, </w:t>
      </w:r>
      <w:r w:rsidR="004407D6">
        <w:rPr>
          <w:bCs/>
        </w:rPr>
        <w:t>it paves the way for more sophisticated activities of knowledge generation</w:t>
      </w:r>
      <w:r w:rsidR="00007CE6">
        <w:rPr>
          <w:bCs/>
        </w:rPr>
        <w:t xml:space="preserve">. </w:t>
      </w:r>
      <w:r w:rsidR="006F3EB7" w:rsidRPr="00440A4A">
        <w:rPr>
          <w:bCs/>
        </w:rPr>
        <w:t>Boschma (2005) not</w:t>
      </w:r>
      <w:r w:rsidR="00007CE6">
        <w:rPr>
          <w:bCs/>
        </w:rPr>
        <w:t>es</w:t>
      </w:r>
      <w:r w:rsidR="006F3EB7" w:rsidRPr="00440A4A">
        <w:rPr>
          <w:bCs/>
        </w:rPr>
        <w:t xml:space="preserve"> </w:t>
      </w:r>
      <w:r w:rsidR="00007CE6">
        <w:rPr>
          <w:bCs/>
        </w:rPr>
        <w:t>that</w:t>
      </w:r>
      <w:r w:rsidR="006F3EB7" w:rsidRPr="00440A4A">
        <w:rPr>
          <w:bCs/>
        </w:rPr>
        <w:t xml:space="preserve"> cognitive proximity</w:t>
      </w:r>
      <w:r w:rsidR="00007CE6">
        <w:rPr>
          <w:bCs/>
        </w:rPr>
        <w:t xml:space="preserve"> such as that embedded in innovation competencies increases complementarities relevant for </w:t>
      </w:r>
      <w:r w:rsidR="005752F0">
        <w:rPr>
          <w:bCs/>
        </w:rPr>
        <w:t xml:space="preserve">the </w:t>
      </w:r>
      <w:r w:rsidR="00007CE6">
        <w:rPr>
          <w:bCs/>
        </w:rPr>
        <w:t xml:space="preserve">success of </w:t>
      </w:r>
      <w:r w:rsidR="005752F0">
        <w:rPr>
          <w:bCs/>
        </w:rPr>
        <w:t xml:space="preserve">the </w:t>
      </w:r>
      <w:r w:rsidR="00007CE6">
        <w:rPr>
          <w:bCs/>
        </w:rPr>
        <w:t xml:space="preserve">spillover process. </w:t>
      </w:r>
    </w:p>
    <w:p w14:paraId="087B552B" w14:textId="77777777" w:rsidR="00204235" w:rsidRDefault="00204235" w:rsidP="008442E5">
      <w:pPr>
        <w:jc w:val="both"/>
        <w:rPr>
          <w:bCs/>
          <w:i/>
          <w:iCs/>
        </w:rPr>
      </w:pPr>
    </w:p>
    <w:p w14:paraId="7E7F1501" w14:textId="77777777" w:rsidR="00450607" w:rsidRPr="00450607" w:rsidRDefault="00450607" w:rsidP="00204235">
      <w:pPr>
        <w:spacing w:line="360" w:lineRule="auto"/>
        <w:jc w:val="both"/>
        <w:rPr>
          <w:bCs/>
          <w:i/>
          <w:iCs/>
        </w:rPr>
      </w:pPr>
      <w:r w:rsidRPr="00450607">
        <w:rPr>
          <w:bCs/>
          <w:i/>
          <w:iCs/>
        </w:rPr>
        <w:t>2.3. Research hypotheses</w:t>
      </w:r>
    </w:p>
    <w:p w14:paraId="6C55C504" w14:textId="77777777" w:rsidR="008442E5" w:rsidRDefault="008442E5" w:rsidP="00204235">
      <w:pPr>
        <w:spacing w:line="360" w:lineRule="auto"/>
        <w:jc w:val="both"/>
        <w:rPr>
          <w:bCs/>
        </w:rPr>
      </w:pPr>
    </w:p>
    <w:p w14:paraId="31741BD2" w14:textId="3D2DAB06" w:rsidR="00450607" w:rsidRDefault="00007CE6" w:rsidP="00474DCE">
      <w:pPr>
        <w:spacing w:line="360" w:lineRule="auto"/>
        <w:jc w:val="both"/>
      </w:pPr>
      <w:r>
        <w:rPr>
          <w:bCs/>
        </w:rPr>
        <w:t xml:space="preserve">The above discussion suggests that FDI spillovers </w:t>
      </w:r>
      <w:r w:rsidR="0099544E">
        <w:rPr>
          <w:bCs/>
        </w:rPr>
        <w:t>provide two</w:t>
      </w:r>
      <w:r w:rsidR="00450607">
        <w:rPr>
          <w:bCs/>
        </w:rPr>
        <w:t xml:space="preserve"> types of</w:t>
      </w:r>
      <w:r w:rsidR="0099544E">
        <w:rPr>
          <w:bCs/>
        </w:rPr>
        <w:t xml:space="preserve"> benefits for firms in </w:t>
      </w:r>
      <w:r w:rsidR="00C35CEF">
        <w:rPr>
          <w:bCs/>
        </w:rPr>
        <w:t xml:space="preserve">emerging </w:t>
      </w:r>
      <w:r w:rsidR="0099544E">
        <w:rPr>
          <w:bCs/>
        </w:rPr>
        <w:t>economies</w:t>
      </w:r>
      <w:r w:rsidR="006112F8">
        <w:rPr>
          <w:bCs/>
        </w:rPr>
        <w:t xml:space="preserve">. First, </w:t>
      </w:r>
      <w:r w:rsidR="0099544E">
        <w:rPr>
          <w:bCs/>
        </w:rPr>
        <w:t xml:space="preserve">foreign firms provide domestic firms with spillovers </w:t>
      </w:r>
      <w:r w:rsidR="006112F8">
        <w:rPr>
          <w:bCs/>
        </w:rPr>
        <w:t xml:space="preserve">that are </w:t>
      </w:r>
      <w:r w:rsidR="0099544E">
        <w:rPr>
          <w:bCs/>
        </w:rPr>
        <w:t xml:space="preserve">relevant for </w:t>
      </w:r>
      <w:r w:rsidR="006112F8">
        <w:rPr>
          <w:bCs/>
        </w:rPr>
        <w:t xml:space="preserve">the </w:t>
      </w:r>
      <w:r w:rsidR="0099544E">
        <w:rPr>
          <w:bCs/>
        </w:rPr>
        <w:t>use of sophisticated technology</w:t>
      </w:r>
      <w:r w:rsidR="00450607">
        <w:rPr>
          <w:bCs/>
        </w:rPr>
        <w:t xml:space="preserve"> (knowledge use)</w:t>
      </w:r>
      <w:r w:rsidR="00F952DD">
        <w:rPr>
          <w:bCs/>
        </w:rPr>
        <w:t>. Second,</w:t>
      </w:r>
      <w:r w:rsidR="006112F8">
        <w:rPr>
          <w:bCs/>
        </w:rPr>
        <w:t xml:space="preserve"> </w:t>
      </w:r>
      <w:r w:rsidR="00C35CEF">
        <w:rPr>
          <w:bCs/>
        </w:rPr>
        <w:t xml:space="preserve">the </w:t>
      </w:r>
      <w:r w:rsidR="0099544E">
        <w:rPr>
          <w:bCs/>
        </w:rPr>
        <w:t xml:space="preserve">process of </w:t>
      </w:r>
      <w:r w:rsidR="00F952DD">
        <w:rPr>
          <w:bCs/>
        </w:rPr>
        <w:t xml:space="preserve">gaining </w:t>
      </w:r>
      <w:r w:rsidR="0099544E">
        <w:rPr>
          <w:bCs/>
        </w:rPr>
        <w:t>innovation competencies sets</w:t>
      </w:r>
      <w:r w:rsidR="00C35CEF">
        <w:rPr>
          <w:bCs/>
        </w:rPr>
        <w:t xml:space="preserve"> the</w:t>
      </w:r>
      <w:r w:rsidR="0099544E">
        <w:rPr>
          <w:bCs/>
        </w:rPr>
        <w:t xml:space="preserve"> foundation for domestic firms to </w:t>
      </w:r>
      <w:r w:rsidR="006112F8">
        <w:rPr>
          <w:bCs/>
        </w:rPr>
        <w:t xml:space="preserve">additionally </w:t>
      </w:r>
      <w:r w:rsidR="0099544E">
        <w:rPr>
          <w:bCs/>
        </w:rPr>
        <w:t>benefit from more sophisticated type of spillovers</w:t>
      </w:r>
      <w:r w:rsidR="00F952DD">
        <w:rPr>
          <w:bCs/>
        </w:rPr>
        <w:t xml:space="preserve"> </w:t>
      </w:r>
      <w:r w:rsidR="00450607">
        <w:rPr>
          <w:bCs/>
        </w:rPr>
        <w:t>relevant for</w:t>
      </w:r>
      <w:r w:rsidR="00F952DD">
        <w:rPr>
          <w:bCs/>
        </w:rPr>
        <w:t xml:space="preserve"> </w:t>
      </w:r>
      <w:r w:rsidR="00450607">
        <w:rPr>
          <w:bCs/>
        </w:rPr>
        <w:t xml:space="preserve">engaging in knowledge generation. </w:t>
      </w:r>
      <w:r w:rsidR="00450607">
        <w:t>Building on these foundations, we argue that FDI spillovers can induce effects on innovation process of indigenous firms in emerging economies by either building their ability to use knowledge or their ability to generate knowledge</w:t>
      </w:r>
      <w:r w:rsidR="00474DCE">
        <w:t>.</w:t>
      </w:r>
      <w:r w:rsidR="004407D6">
        <w:rPr>
          <w:rStyle w:val="FootnoteReference"/>
        </w:rPr>
        <w:footnoteReference w:id="3"/>
      </w:r>
      <w:r w:rsidR="00450607">
        <w:t xml:space="preserve"> Both effects may take place through either horizontal or vertical spillover channels already recognised in the literature. This allows us to define our </w:t>
      </w:r>
      <w:r w:rsidR="00723B2F">
        <w:t xml:space="preserve">first two </w:t>
      </w:r>
      <w:r w:rsidR="005B366F">
        <w:t xml:space="preserve">hypotheses: </w:t>
      </w:r>
    </w:p>
    <w:p w14:paraId="4E5C1A62" w14:textId="77777777" w:rsidR="00450607" w:rsidRDefault="00450607" w:rsidP="00204235">
      <w:pPr>
        <w:spacing w:line="360" w:lineRule="auto"/>
        <w:jc w:val="both"/>
      </w:pPr>
    </w:p>
    <w:p w14:paraId="3E6D0C4D" w14:textId="77777777" w:rsidR="00723B2F" w:rsidRDefault="00450607" w:rsidP="00204235">
      <w:pPr>
        <w:spacing w:line="360" w:lineRule="auto"/>
        <w:jc w:val="both"/>
        <w:rPr>
          <w:i/>
          <w:iCs/>
        </w:rPr>
      </w:pPr>
      <w:r w:rsidRPr="00450607">
        <w:rPr>
          <w:i/>
          <w:iCs/>
        </w:rPr>
        <w:t xml:space="preserve">H1: </w:t>
      </w:r>
      <w:r w:rsidR="00723B2F">
        <w:rPr>
          <w:i/>
          <w:iCs/>
        </w:rPr>
        <w:t>FDI spillovers facilitate knowledge use of domestic firms in emerging economies</w:t>
      </w:r>
    </w:p>
    <w:p w14:paraId="787DB29F" w14:textId="77777777" w:rsidR="00723B2F" w:rsidRDefault="00723B2F" w:rsidP="00204235">
      <w:pPr>
        <w:spacing w:line="360" w:lineRule="auto"/>
        <w:jc w:val="both"/>
        <w:rPr>
          <w:i/>
          <w:iCs/>
        </w:rPr>
      </w:pPr>
      <w:r>
        <w:rPr>
          <w:i/>
          <w:iCs/>
        </w:rPr>
        <w:t>H1a: Horizontal FDI spillovers facilitate knowledge use of domestic firms in emerging economies</w:t>
      </w:r>
    </w:p>
    <w:p w14:paraId="093A7700" w14:textId="77777777" w:rsidR="00723B2F" w:rsidRDefault="00723B2F" w:rsidP="00204235">
      <w:pPr>
        <w:spacing w:line="360" w:lineRule="auto"/>
        <w:jc w:val="both"/>
        <w:rPr>
          <w:i/>
          <w:iCs/>
        </w:rPr>
      </w:pPr>
      <w:r>
        <w:rPr>
          <w:i/>
          <w:iCs/>
        </w:rPr>
        <w:t>H1b: Vertical FDI spillovers facilitate knowledge use of domestic firms in emerging economies</w:t>
      </w:r>
    </w:p>
    <w:p w14:paraId="22F3EA95" w14:textId="77777777" w:rsidR="00723B2F" w:rsidRDefault="00723B2F" w:rsidP="00204235">
      <w:pPr>
        <w:spacing w:line="360" w:lineRule="auto"/>
        <w:jc w:val="both"/>
        <w:rPr>
          <w:i/>
          <w:iCs/>
        </w:rPr>
      </w:pPr>
    </w:p>
    <w:p w14:paraId="027B16B9" w14:textId="77777777" w:rsidR="00723B2F" w:rsidRDefault="00723B2F" w:rsidP="00204235">
      <w:pPr>
        <w:spacing w:line="360" w:lineRule="auto"/>
        <w:jc w:val="both"/>
        <w:rPr>
          <w:i/>
          <w:iCs/>
        </w:rPr>
      </w:pPr>
      <w:r>
        <w:rPr>
          <w:i/>
          <w:iCs/>
        </w:rPr>
        <w:t>H2: FDI spillovers facilitate knowledge generation of domestic firms in emerging economies</w:t>
      </w:r>
    </w:p>
    <w:p w14:paraId="47235A59" w14:textId="77777777" w:rsidR="00723B2F" w:rsidRDefault="00723B2F" w:rsidP="00204235">
      <w:pPr>
        <w:spacing w:line="360" w:lineRule="auto"/>
        <w:jc w:val="both"/>
        <w:rPr>
          <w:i/>
          <w:iCs/>
        </w:rPr>
      </w:pPr>
      <w:r>
        <w:rPr>
          <w:i/>
          <w:iCs/>
        </w:rPr>
        <w:t>H2a: Horizontal FDI spillovers facilitate knowledge generation of domestic firms in emerging economies</w:t>
      </w:r>
    </w:p>
    <w:p w14:paraId="324DE971" w14:textId="77777777" w:rsidR="00723B2F" w:rsidRDefault="00723B2F" w:rsidP="00204235">
      <w:pPr>
        <w:spacing w:line="360" w:lineRule="auto"/>
        <w:jc w:val="both"/>
        <w:rPr>
          <w:i/>
          <w:iCs/>
        </w:rPr>
      </w:pPr>
      <w:r>
        <w:rPr>
          <w:i/>
          <w:iCs/>
        </w:rPr>
        <w:t>H2b: Vertical FDI spillovers facilitate knowledge generation of domestic firms in emerging economies</w:t>
      </w:r>
    </w:p>
    <w:p w14:paraId="72016E1D" w14:textId="77777777" w:rsidR="005B366F" w:rsidRDefault="005B366F" w:rsidP="00204235">
      <w:pPr>
        <w:spacing w:line="360" w:lineRule="auto"/>
        <w:jc w:val="both"/>
        <w:rPr>
          <w:i/>
          <w:iCs/>
        </w:rPr>
      </w:pPr>
    </w:p>
    <w:p w14:paraId="3BEA351D" w14:textId="4B265AC1" w:rsidR="00E915A4" w:rsidRDefault="00723B2F" w:rsidP="009B010B">
      <w:pPr>
        <w:spacing w:line="360" w:lineRule="auto"/>
        <w:jc w:val="both"/>
      </w:pPr>
      <w:r>
        <w:t>In addition to facilitating engagement in different innovation regimes FDI may help domestic firms in emerging economies in later stages of innovation process and by improving their overall performance. In addition to technolog</w:t>
      </w:r>
      <w:r w:rsidR="00E915A4">
        <w:t xml:space="preserve">y and know-how relevant for </w:t>
      </w:r>
      <w:r w:rsidR="009B010B">
        <w:t xml:space="preserve">the </w:t>
      </w:r>
      <w:r w:rsidR="00E915A4">
        <w:t>development of innovations, foreign firms can act as source</w:t>
      </w:r>
      <w:r w:rsidR="009B010B">
        <w:t>s</w:t>
      </w:r>
      <w:r w:rsidR="00E915A4">
        <w:t xml:space="preserve"> of knowledge required to commercialize novel products and services. This knowledge comes in the form of marketing, quality standards, linkages with potential customers and may come either through horizontal channels such as imitation and labour mobility or through vertical buyer-supplier relationships. Finally, previous studies (Stojcic and Orlic, 2020) have established that different FDI spillover channels in emerging economies have different effects on firm productivity. This allows us to define our third and fourth hypothesis: </w:t>
      </w:r>
    </w:p>
    <w:p w14:paraId="230466A3" w14:textId="77777777" w:rsidR="00E915A4" w:rsidRDefault="00E915A4" w:rsidP="00204235">
      <w:pPr>
        <w:spacing w:line="360" w:lineRule="auto"/>
        <w:jc w:val="both"/>
      </w:pPr>
    </w:p>
    <w:p w14:paraId="7AE25187" w14:textId="77777777" w:rsidR="00E915A4" w:rsidRDefault="00E915A4" w:rsidP="00204235">
      <w:pPr>
        <w:spacing w:line="360" w:lineRule="auto"/>
        <w:jc w:val="both"/>
        <w:rPr>
          <w:i/>
          <w:iCs/>
        </w:rPr>
      </w:pPr>
      <w:r w:rsidRPr="00450607">
        <w:rPr>
          <w:i/>
          <w:iCs/>
        </w:rPr>
        <w:t>H</w:t>
      </w:r>
      <w:r>
        <w:rPr>
          <w:i/>
          <w:iCs/>
        </w:rPr>
        <w:t>3</w:t>
      </w:r>
      <w:r w:rsidRPr="00450607">
        <w:rPr>
          <w:i/>
          <w:iCs/>
        </w:rPr>
        <w:t xml:space="preserve">: </w:t>
      </w:r>
      <w:r>
        <w:rPr>
          <w:i/>
          <w:iCs/>
        </w:rPr>
        <w:t>FDI spillovers facilitate sales of new products and services of domestic firms in emerging economies</w:t>
      </w:r>
    </w:p>
    <w:p w14:paraId="575EB1D6" w14:textId="77777777" w:rsidR="00E915A4" w:rsidRDefault="00E915A4" w:rsidP="00204235">
      <w:pPr>
        <w:spacing w:line="360" w:lineRule="auto"/>
        <w:jc w:val="both"/>
        <w:rPr>
          <w:i/>
          <w:iCs/>
        </w:rPr>
      </w:pPr>
      <w:r>
        <w:rPr>
          <w:i/>
          <w:iCs/>
        </w:rPr>
        <w:t>H3a: Horizontal FDI spillovers facilitate sales of new products and services of knowledge using domestic firms in emerging economies</w:t>
      </w:r>
    </w:p>
    <w:p w14:paraId="66D93A14" w14:textId="77777777" w:rsidR="00E915A4" w:rsidRDefault="00E915A4" w:rsidP="00204235">
      <w:pPr>
        <w:spacing w:line="360" w:lineRule="auto"/>
        <w:jc w:val="both"/>
        <w:rPr>
          <w:i/>
          <w:iCs/>
        </w:rPr>
      </w:pPr>
      <w:r>
        <w:rPr>
          <w:i/>
          <w:iCs/>
        </w:rPr>
        <w:t>H3b: Vertical FDI spillovers facilitate sales of new products and services of knowledge generating domestic firms in emerging economies</w:t>
      </w:r>
    </w:p>
    <w:p w14:paraId="3695FB37" w14:textId="77777777" w:rsidR="00E915A4" w:rsidRDefault="00E915A4" w:rsidP="00204235">
      <w:pPr>
        <w:spacing w:line="360" w:lineRule="auto"/>
        <w:jc w:val="both"/>
        <w:rPr>
          <w:i/>
          <w:iCs/>
        </w:rPr>
      </w:pPr>
    </w:p>
    <w:p w14:paraId="32D340AD" w14:textId="77777777" w:rsidR="00E915A4" w:rsidRDefault="00E915A4" w:rsidP="00204235">
      <w:pPr>
        <w:spacing w:line="360" w:lineRule="auto"/>
        <w:jc w:val="both"/>
        <w:rPr>
          <w:i/>
          <w:iCs/>
        </w:rPr>
      </w:pPr>
      <w:r>
        <w:rPr>
          <w:i/>
          <w:iCs/>
        </w:rPr>
        <w:t>H4: FDI spillovers facilitate productivity of domestic firms in emerging economies</w:t>
      </w:r>
    </w:p>
    <w:p w14:paraId="6D650290" w14:textId="77777777" w:rsidR="00E915A4" w:rsidRDefault="00E915A4" w:rsidP="00204235">
      <w:pPr>
        <w:spacing w:line="360" w:lineRule="auto"/>
        <w:jc w:val="both"/>
        <w:rPr>
          <w:i/>
          <w:iCs/>
        </w:rPr>
      </w:pPr>
      <w:r>
        <w:rPr>
          <w:i/>
          <w:iCs/>
        </w:rPr>
        <w:t>H4a: Horizontal FDI spillovers facilitate productivity of knowledge using domestic firms in emerging economies</w:t>
      </w:r>
    </w:p>
    <w:p w14:paraId="572046B9" w14:textId="77777777" w:rsidR="00E915A4" w:rsidRDefault="00E915A4" w:rsidP="00204235">
      <w:pPr>
        <w:spacing w:line="360" w:lineRule="auto"/>
        <w:jc w:val="both"/>
        <w:rPr>
          <w:i/>
          <w:iCs/>
        </w:rPr>
      </w:pPr>
      <w:r>
        <w:rPr>
          <w:i/>
          <w:iCs/>
        </w:rPr>
        <w:t>H4b: Vertical FDI spillovers facilitate productivity of knowledge generating domestic firms in emerging economies</w:t>
      </w:r>
    </w:p>
    <w:p w14:paraId="0C45FD27" w14:textId="546209CD" w:rsidR="0099544E" w:rsidRDefault="00AB2958" w:rsidP="009B010B">
      <w:pPr>
        <w:spacing w:before="100" w:beforeAutospacing="1" w:after="100" w:afterAutospacing="1" w:line="360" w:lineRule="auto"/>
        <w:jc w:val="both"/>
      </w:pPr>
      <w:r>
        <w:t xml:space="preserve">As </w:t>
      </w:r>
      <w:r w:rsidR="00D63FD4">
        <w:t xml:space="preserve">noted </w:t>
      </w:r>
      <w:r>
        <w:t xml:space="preserve">previously, the ability of indigenous firms to benefit from foreign spillovers for building of competencies for use of knowledge and those for knowledge generation </w:t>
      </w:r>
      <w:r w:rsidR="009B010B">
        <w:t xml:space="preserve">will </w:t>
      </w:r>
      <w:r>
        <w:t xml:space="preserve">depend on the cognitive distance between domestic and foreign firms but also </w:t>
      </w:r>
      <w:r w:rsidR="00171140">
        <w:t xml:space="preserve">the </w:t>
      </w:r>
      <w:r>
        <w:t xml:space="preserve">position of domestic firms in </w:t>
      </w:r>
      <w:r w:rsidR="001E6358">
        <w:t xml:space="preserve">the </w:t>
      </w:r>
      <w:r>
        <w:t>value chain</w:t>
      </w:r>
      <w:bookmarkStart w:id="0" w:name="_Hlk66309222"/>
      <w:r>
        <w:t xml:space="preserve">. </w:t>
      </w:r>
      <w:r w:rsidR="001E6358">
        <w:t>F</w:t>
      </w:r>
      <w:r>
        <w:t xml:space="preserve">irms </w:t>
      </w:r>
      <w:r w:rsidR="001E6358">
        <w:t xml:space="preserve">that are </w:t>
      </w:r>
      <w:r>
        <w:t xml:space="preserve">higher on </w:t>
      </w:r>
      <w:r w:rsidR="001E6358">
        <w:t xml:space="preserve">the </w:t>
      </w:r>
      <w:r>
        <w:t xml:space="preserve">value chain ladder and thus </w:t>
      </w:r>
      <w:r w:rsidR="001E6358">
        <w:t xml:space="preserve">are </w:t>
      </w:r>
      <w:r>
        <w:t xml:space="preserve">more acquainted with sophisticated technologies are more likely to benefit from vertical spillovers in </w:t>
      </w:r>
      <w:r w:rsidRPr="00462848">
        <w:t>their R&amp;D-driven innovation and productivity</w:t>
      </w:r>
      <w:r>
        <w:t>. Those in lower segments of</w:t>
      </w:r>
      <w:r w:rsidR="001E6358">
        <w:t xml:space="preserve"> the</w:t>
      </w:r>
      <w:r>
        <w:t xml:space="preserve"> value chain ladder are more likely to benefit from FDI spillovers relevant for </w:t>
      </w:r>
      <w:r w:rsidR="004407D6">
        <w:t xml:space="preserve">knowledge use. </w:t>
      </w:r>
    </w:p>
    <w:p w14:paraId="740D81C1" w14:textId="550E555B" w:rsidR="00450607" w:rsidRDefault="004407D6" w:rsidP="009B010B">
      <w:pPr>
        <w:spacing w:before="100" w:beforeAutospacing="1" w:after="100" w:afterAutospacing="1" w:line="360" w:lineRule="auto"/>
        <w:jc w:val="both"/>
      </w:pPr>
      <w:r>
        <w:t>Our discussion in</w:t>
      </w:r>
      <w:r w:rsidR="009B010B">
        <w:t xml:space="preserve"> the</w:t>
      </w:r>
      <w:r>
        <w:t xml:space="preserve"> </w:t>
      </w:r>
      <w:r w:rsidR="009B010B">
        <w:t>I</w:t>
      </w:r>
      <w:r>
        <w:t xml:space="preserve">ntroduction and in this section outlined that innovation regimes of firms in advanced and </w:t>
      </w:r>
      <w:r w:rsidR="009B010B">
        <w:t xml:space="preserve">emerging </w:t>
      </w:r>
      <w:r>
        <w:t xml:space="preserve">economies differ. </w:t>
      </w:r>
      <w:r w:rsidR="000F237C">
        <w:t>As firms in emerging economies lack relevant resources to generate new knowledge and their innovation systems are structurally weak (Stojcic, 2020), knowledge use through adoption and assimilation of the existing knowledge may be more important for</w:t>
      </w:r>
      <w:r w:rsidR="009B010B">
        <w:t xml:space="preserve"> t</w:t>
      </w:r>
      <w:r w:rsidR="006A4220">
        <w:t>he</w:t>
      </w:r>
      <w:r w:rsidR="009B010B">
        <w:t>m</w:t>
      </w:r>
      <w:r w:rsidR="000F237C">
        <w:t xml:space="preserve"> than knowledge generation innovation regime (Cirera and Maloney, 2017). However, at the same time, technologically sophisticated companies may possess </w:t>
      </w:r>
      <w:r w:rsidR="009B010B">
        <w:t xml:space="preserve">the </w:t>
      </w:r>
      <w:r w:rsidR="000F237C">
        <w:t>relevant knowledge, skills and other resources to engage in knowledge generation innovation regime. Whether both of these channels function in EEs and what is their contribution to outcomes of innovation process has not been investigated before. Bearing this in mind</w:t>
      </w:r>
      <w:r w:rsidR="009B010B">
        <w:t>,</w:t>
      </w:r>
      <w:r w:rsidR="000F237C">
        <w:t xml:space="preserve"> we formulate our </w:t>
      </w:r>
      <w:r w:rsidR="009B010B">
        <w:t xml:space="preserve">sixth </w:t>
      </w:r>
      <w:r w:rsidR="000F237C">
        <w:t>hypothesis:</w:t>
      </w:r>
    </w:p>
    <w:p w14:paraId="4537B8FB" w14:textId="77777777" w:rsidR="00DA65C4" w:rsidRPr="00DA65C4" w:rsidRDefault="000F237C" w:rsidP="00204235">
      <w:pPr>
        <w:spacing w:line="360" w:lineRule="auto"/>
        <w:jc w:val="both"/>
        <w:rPr>
          <w:i/>
          <w:iCs/>
        </w:rPr>
      </w:pPr>
      <w:r w:rsidRPr="00DA65C4">
        <w:rPr>
          <w:i/>
          <w:iCs/>
        </w:rPr>
        <w:t>H</w:t>
      </w:r>
      <w:r w:rsidR="00E915A4">
        <w:rPr>
          <w:i/>
          <w:iCs/>
        </w:rPr>
        <w:t>5</w:t>
      </w:r>
      <w:r w:rsidRPr="00DA65C4">
        <w:rPr>
          <w:i/>
          <w:iCs/>
        </w:rPr>
        <w:t xml:space="preserve">: Firms in emerging economies innovate through </w:t>
      </w:r>
      <w:r w:rsidR="00DA65C4" w:rsidRPr="00DA65C4">
        <w:rPr>
          <w:i/>
          <w:iCs/>
        </w:rPr>
        <w:t>knowledge using and knowledge creating innovation regimes</w:t>
      </w:r>
    </w:p>
    <w:p w14:paraId="05C0565F" w14:textId="77777777" w:rsidR="00DA65C4" w:rsidRPr="00DA65C4" w:rsidRDefault="00DA65C4" w:rsidP="00204235">
      <w:pPr>
        <w:spacing w:line="360" w:lineRule="auto"/>
        <w:jc w:val="both"/>
        <w:rPr>
          <w:i/>
          <w:iCs/>
        </w:rPr>
      </w:pPr>
      <w:r w:rsidRPr="00DA65C4">
        <w:rPr>
          <w:i/>
          <w:iCs/>
        </w:rPr>
        <w:t>H</w:t>
      </w:r>
      <w:r w:rsidR="00E915A4">
        <w:rPr>
          <w:i/>
          <w:iCs/>
        </w:rPr>
        <w:t>5</w:t>
      </w:r>
      <w:r w:rsidRPr="00DA65C4">
        <w:rPr>
          <w:i/>
          <w:iCs/>
        </w:rPr>
        <w:t>a: Firms in emerging economies innovate through knowledge using innovation regime (adoption and acquisition of machinery, equipment and software)</w:t>
      </w:r>
    </w:p>
    <w:p w14:paraId="3EBE1E2E" w14:textId="77777777" w:rsidR="00DA65C4" w:rsidRPr="00DA65C4" w:rsidRDefault="00DA65C4" w:rsidP="00204235">
      <w:pPr>
        <w:spacing w:line="360" w:lineRule="auto"/>
        <w:jc w:val="both"/>
        <w:rPr>
          <w:i/>
          <w:iCs/>
        </w:rPr>
      </w:pPr>
      <w:r w:rsidRPr="00DA65C4">
        <w:rPr>
          <w:i/>
          <w:iCs/>
        </w:rPr>
        <w:t>H</w:t>
      </w:r>
      <w:r w:rsidR="00E915A4">
        <w:rPr>
          <w:i/>
          <w:iCs/>
        </w:rPr>
        <w:t>5</w:t>
      </w:r>
      <w:r w:rsidRPr="00DA65C4">
        <w:rPr>
          <w:i/>
          <w:iCs/>
        </w:rPr>
        <w:t>b: Firms in emerging economies innovat</w:t>
      </w:r>
      <w:r>
        <w:rPr>
          <w:i/>
          <w:iCs/>
        </w:rPr>
        <w:t>e</w:t>
      </w:r>
      <w:r w:rsidRPr="00DA65C4">
        <w:rPr>
          <w:i/>
          <w:iCs/>
        </w:rPr>
        <w:t xml:space="preserve"> through knowledge generation innovation regime (R&amp;D investment)</w:t>
      </w:r>
      <w:r w:rsidR="000F237C" w:rsidRPr="00DA65C4">
        <w:rPr>
          <w:i/>
          <w:iCs/>
        </w:rPr>
        <w:t xml:space="preserve"> </w:t>
      </w:r>
    </w:p>
    <w:bookmarkEnd w:id="0"/>
    <w:p w14:paraId="1E988FDF" w14:textId="77777777" w:rsidR="00204235" w:rsidRDefault="00204235" w:rsidP="00B55F62">
      <w:pPr>
        <w:rPr>
          <w:b/>
          <w:bCs/>
        </w:rPr>
      </w:pPr>
    </w:p>
    <w:p w14:paraId="5DD42A96" w14:textId="77777777" w:rsidR="00B55F62" w:rsidRPr="00440A4A" w:rsidRDefault="00680F20" w:rsidP="00204235">
      <w:pPr>
        <w:spacing w:line="360" w:lineRule="auto"/>
        <w:rPr>
          <w:b/>
          <w:bCs/>
        </w:rPr>
      </w:pPr>
      <w:r>
        <w:rPr>
          <w:b/>
          <w:bCs/>
        </w:rPr>
        <w:t>3</w:t>
      </w:r>
      <w:r w:rsidR="00B55F62" w:rsidRPr="00440A4A">
        <w:rPr>
          <w:b/>
          <w:bCs/>
        </w:rPr>
        <w:t>. Empirical Strategy</w:t>
      </w:r>
    </w:p>
    <w:p w14:paraId="2F72AEC2" w14:textId="77777777" w:rsidR="00C01DFF" w:rsidRDefault="00C01DFF" w:rsidP="00204235">
      <w:pPr>
        <w:spacing w:line="360" w:lineRule="auto"/>
        <w:jc w:val="both"/>
      </w:pPr>
    </w:p>
    <w:p w14:paraId="5DA72264" w14:textId="114A48F2" w:rsidR="00C714AD" w:rsidRDefault="00C714AD" w:rsidP="00BE141A">
      <w:pPr>
        <w:spacing w:line="360" w:lineRule="auto"/>
        <w:jc w:val="both"/>
      </w:pPr>
      <w:r>
        <w:t xml:space="preserve">We test the hypotheses </w:t>
      </w:r>
      <w:r w:rsidR="009B010B">
        <w:t xml:space="preserve">formulated </w:t>
      </w:r>
      <w:r>
        <w:t xml:space="preserve">in the previous section by following an empirical approach that originates from </w:t>
      </w:r>
      <w:r w:rsidRPr="00440A4A">
        <w:rPr>
          <w:bCs/>
        </w:rPr>
        <w:t>Crépon, Duguet and Mariesse (1998) (henceforth CDM)</w:t>
      </w:r>
      <w:r>
        <w:rPr>
          <w:bCs/>
        </w:rPr>
        <w:t xml:space="preserve">. The CDM model is </w:t>
      </w:r>
      <w:r w:rsidRPr="00440A4A">
        <w:rPr>
          <w:bCs/>
        </w:rPr>
        <w:t>a four-equation system that accounts for the</w:t>
      </w:r>
      <w:r>
        <w:rPr>
          <w:bCs/>
        </w:rPr>
        <w:t xml:space="preserve"> entire</w:t>
      </w:r>
      <w:r w:rsidRPr="00440A4A">
        <w:rPr>
          <w:bCs/>
        </w:rPr>
        <w:t xml:space="preserve"> innovation process, starting with </w:t>
      </w:r>
      <w:r>
        <w:rPr>
          <w:bCs/>
        </w:rPr>
        <w:t>firm’s</w:t>
      </w:r>
      <w:r w:rsidRPr="00440A4A">
        <w:rPr>
          <w:bCs/>
        </w:rPr>
        <w:t xml:space="preserve"> decision </w:t>
      </w:r>
      <w:r>
        <w:rPr>
          <w:bCs/>
        </w:rPr>
        <w:t>o</w:t>
      </w:r>
      <w:r w:rsidR="009B010B">
        <w:rPr>
          <w:bCs/>
        </w:rPr>
        <w:t>n</w:t>
      </w:r>
      <w:r>
        <w:rPr>
          <w:bCs/>
        </w:rPr>
        <w:t xml:space="preserve"> whether or not to innovate</w:t>
      </w:r>
      <w:r w:rsidRPr="00440A4A">
        <w:rPr>
          <w:bCs/>
        </w:rPr>
        <w:t xml:space="preserve"> and ending with improvements in productivity. </w:t>
      </w:r>
      <w:r>
        <w:rPr>
          <w:bCs/>
        </w:rPr>
        <w:t xml:space="preserve">The CDM model was applied </w:t>
      </w:r>
      <w:r w:rsidR="00957079">
        <w:rPr>
          <w:bCs/>
        </w:rPr>
        <w:t>in the</w:t>
      </w:r>
      <w:r>
        <w:rPr>
          <w:bCs/>
        </w:rPr>
        <w:t xml:space="preserve"> analys</w:t>
      </w:r>
      <w:r w:rsidR="00957079">
        <w:rPr>
          <w:bCs/>
        </w:rPr>
        <w:t>i</w:t>
      </w:r>
      <w:r>
        <w:rPr>
          <w:bCs/>
        </w:rPr>
        <w:t>s of firm</w:t>
      </w:r>
      <w:r w:rsidR="00957079">
        <w:rPr>
          <w:bCs/>
        </w:rPr>
        <w:t>s’</w:t>
      </w:r>
      <w:r>
        <w:rPr>
          <w:bCs/>
        </w:rPr>
        <w:t xml:space="preserve"> innovation behaviour in many countries including the emerging</w:t>
      </w:r>
      <w:r w:rsidR="00957079">
        <w:rPr>
          <w:bCs/>
        </w:rPr>
        <w:t xml:space="preserve"> economies</w:t>
      </w:r>
      <w:r w:rsidR="00BD439B">
        <w:rPr>
          <w:bCs/>
        </w:rPr>
        <w:t xml:space="preserve"> (</w:t>
      </w:r>
      <w:r w:rsidR="002003E0">
        <w:rPr>
          <w:bCs/>
        </w:rPr>
        <w:t xml:space="preserve">Damijan et al., 2011; </w:t>
      </w:r>
      <w:r w:rsidR="006F1404">
        <w:rPr>
          <w:bCs/>
        </w:rPr>
        <w:t>Hashi and Stojcic, 2013; Roud, 2018</w:t>
      </w:r>
      <w:r w:rsidR="00BD439B">
        <w:rPr>
          <w:bCs/>
        </w:rPr>
        <w:t>)</w:t>
      </w:r>
      <w:r w:rsidR="006F1404">
        <w:rPr>
          <w:bCs/>
        </w:rPr>
        <w:t>.</w:t>
      </w:r>
      <w:r>
        <w:rPr>
          <w:bCs/>
        </w:rPr>
        <w:t xml:space="preserve"> What differentiates this study from th</w:t>
      </w:r>
      <w:r w:rsidR="00BE141A">
        <w:rPr>
          <w:bCs/>
        </w:rPr>
        <w:t>e</w:t>
      </w:r>
      <w:r>
        <w:rPr>
          <w:bCs/>
        </w:rPr>
        <w:t xml:space="preserve">se is </w:t>
      </w:r>
      <w:r w:rsidR="00957079">
        <w:rPr>
          <w:bCs/>
        </w:rPr>
        <w:t>the inclusion of</w:t>
      </w:r>
      <w:r>
        <w:rPr>
          <w:bCs/>
        </w:rPr>
        <w:t xml:space="preserve"> the effects of FDI spillovers</w:t>
      </w:r>
      <w:r w:rsidR="00957079">
        <w:rPr>
          <w:bCs/>
        </w:rPr>
        <w:t xml:space="preserve"> in the model</w:t>
      </w:r>
      <w:r w:rsidR="00DA65C4">
        <w:rPr>
          <w:bCs/>
        </w:rPr>
        <w:t xml:space="preserve"> and </w:t>
      </w:r>
      <w:r w:rsidR="00BE141A">
        <w:rPr>
          <w:bCs/>
        </w:rPr>
        <w:t xml:space="preserve">the </w:t>
      </w:r>
      <w:r w:rsidR="00DA65C4">
        <w:rPr>
          <w:bCs/>
        </w:rPr>
        <w:t>distinction between different innovation regimes, namely knowledge use and knowledge generation</w:t>
      </w:r>
      <w:r>
        <w:rPr>
          <w:bCs/>
        </w:rPr>
        <w:t xml:space="preserve">. Our analysis is based on </w:t>
      </w:r>
      <w:r w:rsidR="00BE141A">
        <w:rPr>
          <w:bCs/>
        </w:rPr>
        <w:t xml:space="preserve">the </w:t>
      </w:r>
      <w:r>
        <w:rPr>
          <w:bCs/>
        </w:rPr>
        <w:t xml:space="preserve">data coming from </w:t>
      </w:r>
      <w:r>
        <w:t xml:space="preserve">two sources. </w:t>
      </w:r>
      <w:r>
        <w:rPr>
          <w:bCs/>
          <w:lang w:val="en-US"/>
        </w:rPr>
        <w:t>Firm-level i</w:t>
      </w:r>
      <w:r w:rsidRPr="00440A4A">
        <w:rPr>
          <w:bCs/>
          <w:lang w:val="en-US"/>
        </w:rPr>
        <w:t>nformation on innovati</w:t>
      </w:r>
      <w:r w:rsidR="00BE141A">
        <w:rPr>
          <w:bCs/>
          <w:lang w:val="en-US"/>
        </w:rPr>
        <w:t>on activities</w:t>
      </w:r>
      <w:r w:rsidRPr="00440A4A">
        <w:rPr>
          <w:bCs/>
          <w:lang w:val="en-US"/>
        </w:rPr>
        <w:t xml:space="preserve">, productivity and </w:t>
      </w:r>
      <w:r>
        <w:rPr>
          <w:bCs/>
          <w:lang w:val="en-US"/>
        </w:rPr>
        <w:t xml:space="preserve">other </w:t>
      </w:r>
      <w:r w:rsidRPr="00440A4A">
        <w:rPr>
          <w:bCs/>
          <w:lang w:val="en-US"/>
        </w:rPr>
        <w:t xml:space="preserve">characteristics are obtained from the Community Innovation Survey </w:t>
      </w:r>
      <w:r>
        <w:rPr>
          <w:bCs/>
          <w:lang w:val="en-US"/>
        </w:rPr>
        <w:t>(</w:t>
      </w:r>
      <w:r w:rsidRPr="00440A4A">
        <w:rPr>
          <w:bCs/>
          <w:lang w:val="en-US"/>
        </w:rPr>
        <w:t>CIS</w:t>
      </w:r>
      <w:r>
        <w:rPr>
          <w:bCs/>
          <w:lang w:val="en-US"/>
        </w:rPr>
        <w:t>)</w:t>
      </w:r>
      <w:r w:rsidRPr="00440A4A">
        <w:rPr>
          <w:bCs/>
          <w:lang w:val="en-US"/>
        </w:rPr>
        <w:t xml:space="preserve"> for Serbia, while the </w:t>
      </w:r>
      <w:r>
        <w:rPr>
          <w:bCs/>
          <w:lang w:val="en-US"/>
        </w:rPr>
        <w:t xml:space="preserve">industry-level </w:t>
      </w:r>
      <w:r w:rsidRPr="00440A4A">
        <w:rPr>
          <w:bCs/>
          <w:lang w:val="en-US"/>
        </w:rPr>
        <w:t>measure</w:t>
      </w:r>
      <w:r>
        <w:rPr>
          <w:bCs/>
          <w:lang w:val="en-US"/>
        </w:rPr>
        <w:t>s</w:t>
      </w:r>
      <w:r w:rsidRPr="00440A4A">
        <w:rPr>
          <w:bCs/>
          <w:lang w:val="en-US"/>
        </w:rPr>
        <w:t xml:space="preserve"> of FDI spillovers </w:t>
      </w:r>
      <w:r>
        <w:rPr>
          <w:bCs/>
          <w:lang w:val="en-US"/>
        </w:rPr>
        <w:t>are</w:t>
      </w:r>
      <w:r w:rsidRPr="00440A4A">
        <w:rPr>
          <w:bCs/>
          <w:lang w:val="en-US"/>
        </w:rPr>
        <w:t xml:space="preserve"> calculated </w:t>
      </w:r>
      <w:r>
        <w:rPr>
          <w:bCs/>
          <w:lang w:val="en-US"/>
        </w:rPr>
        <w:t>using</w:t>
      </w:r>
      <w:r w:rsidRPr="00440A4A">
        <w:rPr>
          <w:bCs/>
          <w:lang w:val="en-US"/>
        </w:rPr>
        <w:t xml:space="preserve"> Burea</w:t>
      </w:r>
      <w:r>
        <w:rPr>
          <w:bCs/>
          <w:lang w:val="en-US"/>
        </w:rPr>
        <w:t>u</w:t>
      </w:r>
      <w:r w:rsidRPr="00440A4A">
        <w:rPr>
          <w:bCs/>
          <w:lang w:val="en-US"/>
        </w:rPr>
        <w:t xml:space="preserve"> Van Dijk’s Amadeus dataset. </w:t>
      </w:r>
      <w:r w:rsidR="000A0C5E">
        <w:t>Industry level variables</w:t>
      </w:r>
      <w:r w:rsidR="000A0C5E" w:rsidRPr="00C2031D">
        <w:t xml:space="preserve"> </w:t>
      </w:r>
      <w:r w:rsidR="00B47A4F">
        <w:t xml:space="preserve">are </w:t>
      </w:r>
      <w:r w:rsidR="000A0C5E">
        <w:t>extracted from the Amadeus database, on the basis of NACE industrial classification, and used in conjunction with the CIS database.</w:t>
      </w:r>
      <w:r w:rsidRPr="00440A4A">
        <w:rPr>
          <w:bCs/>
          <w:lang w:val="en-US"/>
        </w:rPr>
        <w:t xml:space="preserve"> </w:t>
      </w:r>
    </w:p>
    <w:p w14:paraId="6FDF2EF7" w14:textId="77777777" w:rsidR="00C714AD" w:rsidRPr="00100F07" w:rsidRDefault="00C714AD" w:rsidP="00204235">
      <w:pPr>
        <w:spacing w:line="360" w:lineRule="auto"/>
        <w:jc w:val="both"/>
      </w:pPr>
    </w:p>
    <w:p w14:paraId="6019B55C" w14:textId="77777777" w:rsidR="00C714AD" w:rsidRPr="00440A4A" w:rsidRDefault="00C714AD" w:rsidP="00204235">
      <w:pPr>
        <w:widowControl w:val="0"/>
        <w:autoSpaceDE w:val="0"/>
        <w:autoSpaceDN w:val="0"/>
        <w:adjustRightInd w:val="0"/>
        <w:spacing w:after="240" w:line="360" w:lineRule="auto"/>
        <w:jc w:val="both"/>
        <w:rPr>
          <w:bCs/>
        </w:rPr>
      </w:pPr>
      <w:r>
        <w:rPr>
          <w:bCs/>
        </w:rPr>
        <w:t>In its core form, t</w:t>
      </w:r>
      <w:r w:rsidRPr="00440A4A">
        <w:rPr>
          <w:bCs/>
        </w:rPr>
        <w:t>he CDM model consists of the following four equations:</w:t>
      </w:r>
    </w:p>
    <w:p w14:paraId="554F7F89" w14:textId="77777777" w:rsidR="00C714AD" w:rsidRDefault="00C714AD" w:rsidP="00C714AD"/>
    <w:p w14:paraId="65DC80EF" w14:textId="77777777" w:rsidR="00C714AD" w:rsidRPr="00100F07" w:rsidRDefault="001F2CA9" w:rsidP="00C714AD">
      <w:pPr>
        <w:ind w:left="1440"/>
        <w:jc w:val="both"/>
      </w:pPr>
      <m:oMath>
        <m:sSubSup>
          <m:sSubSupPr>
            <m:ctrlPr>
              <w:rPr>
                <w:rFonts w:ascii="Cambria Math" w:hAnsi="Cambria Math"/>
                <w:i/>
              </w:rPr>
            </m:ctrlPr>
          </m:sSubSupPr>
          <m:e>
            <m:r>
              <w:rPr>
                <w:rFonts w:ascii="Cambria Math" w:hAnsi="Cambria Math"/>
              </w:rPr>
              <m:t>g</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1i</m:t>
            </m:r>
          </m:sub>
        </m:sSub>
      </m:oMath>
      <w:r w:rsidR="00C714AD">
        <w:tab/>
      </w:r>
      <w:r w:rsidR="00C714AD">
        <w:tab/>
      </w:r>
      <w:r w:rsidR="00C714AD">
        <w:tab/>
      </w:r>
      <w:r w:rsidR="00C714AD">
        <w:tab/>
      </w:r>
      <w:r w:rsidR="00C714AD">
        <w:tab/>
      </w:r>
      <w:r w:rsidR="00C714AD">
        <w:tab/>
      </w:r>
      <w:r w:rsidR="00C714AD">
        <w:tab/>
        <w:t>(1)</w:t>
      </w:r>
    </w:p>
    <w:p w14:paraId="574B4CAE" w14:textId="77777777" w:rsidR="00C714AD" w:rsidRPr="001B4F93" w:rsidRDefault="00C714AD" w:rsidP="00C714AD">
      <w:pPr>
        <w:ind w:left="1440"/>
        <w:jc w:val="both"/>
      </w:pPr>
    </w:p>
    <w:p w14:paraId="7EC992B6" w14:textId="77777777" w:rsidR="00C714AD" w:rsidRPr="00934C08" w:rsidRDefault="001F2CA9" w:rsidP="00C714AD">
      <w:pPr>
        <w:ind w:left="1440"/>
        <w:jc w:val="both"/>
      </w:pPr>
      <m:oMath>
        <m:sSubSup>
          <m:sSubSupPr>
            <m:ctrlPr>
              <w:rPr>
                <w:rFonts w:ascii="Cambria Math" w:hAnsi="Cambria Math"/>
                <w:i/>
              </w:rPr>
            </m:ctrlPr>
          </m:sSubSupPr>
          <m:e>
            <m:r>
              <w:rPr>
                <w:rFonts w:ascii="Cambria Math" w:hAnsi="Cambria Math"/>
              </w:rPr>
              <m:t>k</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2i</m:t>
            </m:r>
          </m:sub>
        </m:sSub>
      </m:oMath>
      <w:r w:rsidR="00C714AD">
        <w:tab/>
      </w:r>
      <w:r w:rsidR="00C714AD">
        <w:tab/>
      </w:r>
      <w:r w:rsidR="00C714AD">
        <w:tab/>
      </w:r>
      <w:r w:rsidR="00C714AD">
        <w:tab/>
      </w:r>
      <w:r w:rsidR="00C714AD">
        <w:tab/>
      </w:r>
      <w:r w:rsidR="00C714AD">
        <w:tab/>
      </w:r>
      <w:r w:rsidR="00C714AD">
        <w:tab/>
        <w:t>(2)</w:t>
      </w:r>
    </w:p>
    <w:p w14:paraId="160E58B7" w14:textId="77777777" w:rsidR="00C714AD" w:rsidRPr="00934C08" w:rsidRDefault="00C714AD" w:rsidP="00C714AD">
      <w:pPr>
        <w:ind w:left="1440"/>
        <w:jc w:val="both"/>
      </w:pPr>
    </w:p>
    <w:p w14:paraId="3F6E1D0D" w14:textId="77777777" w:rsidR="00C714AD" w:rsidRPr="001B4F93" w:rsidRDefault="001F2CA9" w:rsidP="00C714AD">
      <w:pPr>
        <w:ind w:left="1440"/>
        <w:jc w:val="both"/>
      </w:pPr>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3i</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 δ</m:t>
        </m:r>
        <m:sSub>
          <m:sSubPr>
            <m:ctrlPr>
              <w:rPr>
                <w:rFonts w:ascii="Cambria Math" w:hAnsi="Cambria Math"/>
                <w:i/>
              </w:rPr>
            </m:ctrlPr>
          </m:sSubPr>
          <m:e>
            <m:r>
              <w:rPr>
                <w:rFonts w:ascii="Cambria Math" w:hAnsi="Cambria Math"/>
              </w:rPr>
              <m:t>λ</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3i</m:t>
            </m:r>
          </m:sub>
        </m:sSub>
      </m:oMath>
      <w:r w:rsidR="00C714AD">
        <w:tab/>
      </w:r>
      <w:r w:rsidR="00C714AD">
        <w:tab/>
      </w:r>
      <w:r w:rsidR="00C714AD">
        <w:tab/>
      </w:r>
      <w:r w:rsidR="00C714AD">
        <w:tab/>
      </w:r>
      <w:r w:rsidR="00C714AD">
        <w:tab/>
        <w:t>(3)</w:t>
      </w:r>
    </w:p>
    <w:p w14:paraId="7E5D5AE1" w14:textId="77777777" w:rsidR="00C714AD" w:rsidRDefault="00C714AD" w:rsidP="00C714AD">
      <w:pPr>
        <w:ind w:left="1440"/>
        <w:jc w:val="both"/>
      </w:pPr>
    </w:p>
    <w:p w14:paraId="5E745DCD" w14:textId="77777777" w:rsidR="00C714AD" w:rsidRPr="001B4F93" w:rsidRDefault="001F2CA9" w:rsidP="00C714AD">
      <w:pPr>
        <w:ind w:left="1440"/>
        <w:jc w:val="both"/>
      </w:pPr>
      <m:oMath>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4i</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4</m:t>
            </m:r>
          </m:sub>
        </m:sSub>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4i</m:t>
            </m:r>
          </m:sub>
        </m:sSub>
      </m:oMath>
      <w:r w:rsidR="00C714AD">
        <w:tab/>
      </w:r>
      <w:r w:rsidR="00C714AD">
        <w:tab/>
      </w:r>
      <w:r w:rsidR="00C714AD">
        <w:tab/>
      </w:r>
      <w:r w:rsidR="00C714AD">
        <w:tab/>
      </w:r>
      <w:r w:rsidR="00C714AD">
        <w:tab/>
      </w:r>
      <w:r w:rsidR="00C714AD">
        <w:tab/>
        <w:t>(4)</w:t>
      </w:r>
    </w:p>
    <w:p w14:paraId="313F6940" w14:textId="77777777" w:rsidR="00C714AD" w:rsidRDefault="00C714AD" w:rsidP="00C714AD">
      <w:pPr>
        <w:jc w:val="both"/>
      </w:pPr>
    </w:p>
    <w:p w14:paraId="68B585AD" w14:textId="77777777" w:rsidR="00C714AD" w:rsidRDefault="00C714AD" w:rsidP="00204235">
      <w:pPr>
        <w:widowControl w:val="0"/>
        <w:autoSpaceDE w:val="0"/>
        <w:autoSpaceDN w:val="0"/>
        <w:adjustRightInd w:val="0"/>
        <w:spacing w:after="240" w:line="360" w:lineRule="auto"/>
        <w:jc w:val="both"/>
        <w:rPr>
          <w:bCs/>
        </w:rPr>
      </w:pPr>
      <w:r>
        <w:t xml:space="preserve">where </w:t>
      </w:r>
      <m:oMath>
        <m:sSub>
          <m:sSubPr>
            <m:ctrlPr>
              <w:rPr>
                <w:rFonts w:ascii="Cambria Math" w:hAnsi="Cambria Math"/>
                <w:bCs/>
                <w:i/>
              </w:rPr>
            </m:ctrlPr>
          </m:sSubPr>
          <m:e>
            <m:r>
              <w:rPr>
                <w:rFonts w:ascii="Cambria Math" w:hAnsi="Cambria Math"/>
              </w:rPr>
              <m:t>x</m:t>
            </m:r>
          </m:e>
          <m:sub>
            <m:r>
              <w:rPr>
                <w:rFonts w:ascii="Cambria Math" w:hAnsi="Cambria Math"/>
              </w:rPr>
              <m:t>1i</m:t>
            </m:r>
          </m:sub>
        </m:sSub>
      </m:oMath>
      <w:r>
        <w:rPr>
          <w:bCs/>
        </w:rPr>
        <w:t xml:space="preserve"> to </w:t>
      </w:r>
      <m:oMath>
        <m:sSub>
          <m:sSubPr>
            <m:ctrlPr>
              <w:rPr>
                <w:rFonts w:ascii="Cambria Math" w:hAnsi="Cambria Math"/>
                <w:bCs/>
                <w:i/>
              </w:rPr>
            </m:ctrlPr>
          </m:sSubPr>
          <m:e>
            <m:r>
              <w:rPr>
                <w:rFonts w:ascii="Cambria Math" w:hAnsi="Cambria Math"/>
              </w:rPr>
              <m:t>x</m:t>
            </m:r>
          </m:e>
          <m:sub>
            <m:r>
              <w:rPr>
                <w:rFonts w:ascii="Cambria Math" w:hAnsi="Cambria Math"/>
              </w:rPr>
              <m:t>4i</m:t>
            </m:r>
          </m:sub>
        </m:sSub>
      </m:oMath>
      <w:r>
        <w:rPr>
          <w:bCs/>
        </w:rPr>
        <w:t xml:space="preserve"> represent vectors of independent variables measuring characteristics of firm </w:t>
      </w:r>
      <m:oMath>
        <m:r>
          <w:rPr>
            <w:rFonts w:ascii="Cambria Math" w:hAnsi="Cambria Math"/>
          </w:rPr>
          <m:t>i</m:t>
        </m:r>
      </m:oMath>
      <w:r>
        <w:rPr>
          <w:bCs/>
        </w:rPr>
        <w:t xml:space="preserve"> in Eqs (1) to (4); </w:t>
      </w:r>
      <m:oMath>
        <m:r>
          <w:rPr>
            <w:rFonts w:ascii="Cambria Math" w:hAnsi="Cambria Math"/>
          </w:rPr>
          <m:t>β</m:t>
        </m:r>
      </m:oMath>
      <w:r>
        <w:rPr>
          <w:bCs/>
        </w:rPr>
        <w:t xml:space="preserve">’s, </w:t>
      </w:r>
      <m:oMath>
        <m:r>
          <w:rPr>
            <w:rFonts w:ascii="Cambria Math" w:hAnsi="Cambria Math"/>
          </w:rPr>
          <m:t>α</m:t>
        </m:r>
      </m:oMath>
      <w:r>
        <w:rPr>
          <w:bCs/>
        </w:rPr>
        <w:t xml:space="preserve">’s, and </w:t>
      </w:r>
      <m:oMath>
        <m:r>
          <w:rPr>
            <w:rFonts w:ascii="Cambria Math" w:hAnsi="Cambria Math"/>
          </w:rPr>
          <m:t>δ</m:t>
        </m:r>
      </m:oMath>
      <w:r>
        <w:rPr>
          <w:bCs/>
        </w:rPr>
        <w:t xml:space="preserve"> are coefficients to be estimated; and </w:t>
      </w:r>
      <m:oMath>
        <m:r>
          <w:rPr>
            <w:rFonts w:ascii="Cambria Math" w:hAnsi="Cambria Math"/>
          </w:rPr>
          <m:t>ε</m:t>
        </m:r>
      </m:oMath>
      <w:r>
        <w:rPr>
          <w:bCs/>
        </w:rPr>
        <w:t xml:space="preserve">’s are the residuals. </w:t>
      </w:r>
      <w:r>
        <w:t xml:space="preserve">In the CDM equation-system given above, Equations (1) and (2) represent inputs into the innovation process while Equations (3) and (4) represent, respectively, innovation output and productivity. In Eq. (1), </w:t>
      </w:r>
      <m:oMath>
        <m:sSubSup>
          <m:sSubSupPr>
            <m:ctrlPr>
              <w:rPr>
                <w:rFonts w:ascii="Cambria Math" w:hAnsi="Cambria Math"/>
                <w:i/>
              </w:rPr>
            </m:ctrlPr>
          </m:sSubSupPr>
          <m:e>
            <m:r>
              <w:rPr>
                <w:rFonts w:ascii="Cambria Math" w:hAnsi="Cambria Math"/>
              </w:rPr>
              <m:t>g</m:t>
            </m:r>
          </m:e>
          <m:sub>
            <m:r>
              <w:rPr>
                <w:rFonts w:ascii="Cambria Math" w:hAnsi="Cambria Math"/>
              </w:rPr>
              <m:t>i</m:t>
            </m:r>
          </m:sub>
          <m:sup>
            <m:r>
              <w:rPr>
                <w:rFonts w:ascii="Cambria Math" w:hAnsi="Cambria Math"/>
              </w:rPr>
              <m:t>*</m:t>
            </m:r>
          </m:sup>
        </m:sSubSup>
      </m:oMath>
      <w:r>
        <w:t xml:space="preserve"> is a latent variable behind firm </w:t>
      </w:r>
      <m:oMath>
        <m:r>
          <w:rPr>
            <w:rFonts w:ascii="Cambria Math" w:hAnsi="Cambria Math"/>
          </w:rPr>
          <m:t>i</m:t>
        </m:r>
      </m:oMath>
      <w:r>
        <w:t xml:space="preserve">’s decision to innovate. </w:t>
      </w:r>
      <w:r w:rsidRPr="00440A4A">
        <w:rPr>
          <w:bCs/>
        </w:rPr>
        <w:t>Its observable counterpart</w:t>
      </w:r>
      <w:r>
        <w:rPr>
          <w:bCs/>
        </w:rPr>
        <w:t xml:space="preserve">, </w:t>
      </w:r>
      <m:oMath>
        <m:sSub>
          <m:sSubPr>
            <m:ctrlPr>
              <w:rPr>
                <w:rFonts w:ascii="Cambria Math" w:hAnsi="Cambria Math"/>
                <w:bCs/>
                <w:i/>
              </w:rPr>
            </m:ctrlPr>
          </m:sSubPr>
          <m:e>
            <m:r>
              <w:rPr>
                <w:rFonts w:ascii="Cambria Math" w:hAnsi="Cambria Math"/>
              </w:rPr>
              <m:t>g</m:t>
            </m:r>
          </m:e>
          <m:sub>
            <m:r>
              <w:rPr>
                <w:rFonts w:ascii="Cambria Math" w:hAnsi="Cambria Math"/>
              </w:rPr>
              <m:t>i</m:t>
            </m:r>
          </m:sub>
        </m:sSub>
      </m:oMath>
      <w:r w:rsidRPr="00440A4A">
        <w:rPr>
          <w:bCs/>
        </w:rPr>
        <w:t>, tak</w:t>
      </w:r>
      <w:r>
        <w:rPr>
          <w:bCs/>
        </w:rPr>
        <w:t>es</w:t>
      </w:r>
      <w:r w:rsidRPr="00440A4A">
        <w:rPr>
          <w:bCs/>
        </w:rPr>
        <w:t xml:space="preserve"> value one for firms </w:t>
      </w:r>
      <w:r>
        <w:rPr>
          <w:bCs/>
        </w:rPr>
        <w:t xml:space="preserve">that </w:t>
      </w:r>
      <w:r w:rsidRPr="00440A4A">
        <w:rPr>
          <w:bCs/>
        </w:rPr>
        <w:t>deci</w:t>
      </w:r>
      <w:r>
        <w:rPr>
          <w:bCs/>
        </w:rPr>
        <w:t>de</w:t>
      </w:r>
      <w:r w:rsidRPr="00440A4A">
        <w:rPr>
          <w:bCs/>
        </w:rPr>
        <w:t xml:space="preserve"> to innovate and zero for </w:t>
      </w:r>
      <w:r>
        <w:rPr>
          <w:bCs/>
        </w:rPr>
        <w:t xml:space="preserve">others. </w:t>
      </w:r>
      <w:r w:rsidRPr="00440A4A">
        <w:rPr>
          <w:bCs/>
        </w:rPr>
        <w:t xml:space="preserve">The </w:t>
      </w:r>
      <w:r>
        <w:rPr>
          <w:bCs/>
        </w:rPr>
        <w:t xml:space="preserve">dependent variable in Eq. (2), </w:t>
      </w:r>
      <m:oMath>
        <m:sSubSup>
          <m:sSubSupPr>
            <m:ctrlPr>
              <w:rPr>
                <w:rFonts w:ascii="Cambria Math" w:hAnsi="Cambria Math"/>
                <w:bCs/>
                <w:i/>
              </w:rPr>
            </m:ctrlPr>
          </m:sSubSupPr>
          <m:e>
            <m:r>
              <w:rPr>
                <w:rFonts w:ascii="Cambria Math" w:hAnsi="Cambria Math"/>
              </w:rPr>
              <m:t>k</m:t>
            </m:r>
          </m:e>
          <m:sub>
            <m:r>
              <w:rPr>
                <w:rFonts w:ascii="Cambria Math" w:hAnsi="Cambria Math"/>
              </w:rPr>
              <m:t>i</m:t>
            </m:r>
          </m:sub>
          <m:sup>
            <m:r>
              <w:rPr>
                <w:rFonts w:ascii="Cambria Math" w:hAnsi="Cambria Math"/>
              </w:rPr>
              <m:t>*</m:t>
            </m:r>
          </m:sup>
        </m:sSubSup>
      </m:oMath>
      <w:r>
        <w:rPr>
          <w:bCs/>
        </w:rPr>
        <w:t xml:space="preserve">, </w:t>
      </w:r>
      <w:r w:rsidRPr="00440A4A">
        <w:rPr>
          <w:bCs/>
        </w:rPr>
        <w:t>accounts for the amount spent on innovative activities (</w:t>
      </w:r>
      <w:r>
        <w:rPr>
          <w:bCs/>
        </w:rPr>
        <w:t xml:space="preserve">i.e. the </w:t>
      </w:r>
      <w:r w:rsidRPr="00440A4A">
        <w:rPr>
          <w:bCs/>
        </w:rPr>
        <w:t>innovation investment)</w:t>
      </w:r>
      <w:r>
        <w:rPr>
          <w:bCs/>
        </w:rPr>
        <w:t xml:space="preserve">. </w:t>
      </w:r>
      <m:oMath>
        <m:sSub>
          <m:sSubPr>
            <m:ctrlPr>
              <w:rPr>
                <w:rFonts w:ascii="Cambria Math" w:hAnsi="Cambria Math"/>
                <w:bCs/>
                <w:i/>
              </w:rPr>
            </m:ctrlPr>
          </m:sSubPr>
          <m:e>
            <m:r>
              <w:rPr>
                <w:rFonts w:ascii="Cambria Math" w:hAnsi="Cambria Math"/>
              </w:rPr>
              <m:t>k</m:t>
            </m:r>
          </m:e>
          <m:sub>
            <m:r>
              <w:rPr>
                <w:rFonts w:ascii="Cambria Math" w:hAnsi="Cambria Math"/>
              </w:rPr>
              <m:t>i</m:t>
            </m:r>
          </m:sub>
        </m:sSub>
      </m:oMath>
      <w:r>
        <w:rPr>
          <w:bCs/>
        </w:rPr>
        <w:t xml:space="preserve"> is its </w:t>
      </w:r>
      <w:r w:rsidRPr="00440A4A">
        <w:rPr>
          <w:bCs/>
        </w:rPr>
        <w:t xml:space="preserve">observable counterpart taking positive values </w:t>
      </w:r>
      <w:r>
        <w:rPr>
          <w:bCs/>
        </w:rPr>
        <w:t xml:space="preserve">only </w:t>
      </w:r>
      <w:r w:rsidRPr="00440A4A">
        <w:rPr>
          <w:bCs/>
        </w:rPr>
        <w:t xml:space="preserve">when </w:t>
      </w:r>
      <m:oMath>
        <m:sSubSup>
          <m:sSubSupPr>
            <m:ctrlPr>
              <w:rPr>
                <w:rFonts w:ascii="Cambria Math" w:hAnsi="Cambria Math"/>
                <w:bCs/>
                <w:i/>
              </w:rPr>
            </m:ctrlPr>
          </m:sSubSupPr>
          <m:e>
            <m:r>
              <w:rPr>
                <w:rFonts w:ascii="Cambria Math" w:hAnsi="Cambria Math"/>
              </w:rPr>
              <m:t>k</m:t>
            </m:r>
          </m:e>
          <m:sub>
            <m:r>
              <w:rPr>
                <w:rFonts w:ascii="Cambria Math" w:hAnsi="Cambria Math"/>
              </w:rPr>
              <m:t>i</m:t>
            </m:r>
          </m:sub>
          <m:sup>
            <m:r>
              <w:rPr>
                <w:rFonts w:ascii="Cambria Math" w:hAnsi="Cambria Math"/>
              </w:rPr>
              <m:t>*</m:t>
            </m:r>
          </m:sup>
        </m:sSubSup>
        <m:r>
          <w:rPr>
            <w:rFonts w:ascii="Cambria Math" w:hAnsi="Cambria Math"/>
          </w:rPr>
          <m:t>&gt;0</m:t>
        </m:r>
      </m:oMath>
      <w:r>
        <w:rPr>
          <w:bCs/>
        </w:rPr>
        <w:t xml:space="preserve">. Eq. (2), therefore, </w:t>
      </w:r>
      <w:r w:rsidRPr="00282D3E">
        <w:rPr>
          <w:bCs/>
        </w:rPr>
        <w:t>models the innovation investment for a selected set of firms that decide to innovate in Eq. (1). The first and second equations together form Type II Tobit model and are jointly estimated using maximum likelihood estimation. The third equation is a knowledge production function (set by Griliches, 1979) which explains</w:t>
      </w:r>
      <w:r>
        <w:rPr>
          <w:bCs/>
        </w:rPr>
        <w:t xml:space="preserve"> the observed innovation output of firm </w:t>
      </w:r>
      <m:oMath>
        <m:r>
          <w:rPr>
            <w:rFonts w:ascii="Cambria Math" w:hAnsi="Cambria Math"/>
          </w:rPr>
          <m:t>i</m:t>
        </m:r>
      </m:oMath>
      <w:r>
        <w:rPr>
          <w:bCs/>
        </w:rPr>
        <w:t xml:space="preserve"> (</w:t>
      </w:r>
      <m:oMath>
        <m:sSub>
          <m:sSubPr>
            <m:ctrlPr>
              <w:rPr>
                <w:rFonts w:ascii="Cambria Math" w:hAnsi="Cambria Math"/>
                <w:bCs/>
                <w:i/>
              </w:rPr>
            </m:ctrlPr>
          </m:sSubPr>
          <m:e>
            <m:r>
              <w:rPr>
                <w:rFonts w:ascii="Cambria Math" w:hAnsi="Cambria Math"/>
              </w:rPr>
              <m:t>t</m:t>
            </m:r>
          </m:e>
          <m:sub>
            <m:r>
              <w:rPr>
                <w:rFonts w:ascii="Cambria Math" w:hAnsi="Cambria Math"/>
              </w:rPr>
              <m:t>i</m:t>
            </m:r>
          </m:sub>
        </m:sSub>
      </m:oMath>
      <w:r>
        <w:rPr>
          <w:bCs/>
        </w:rPr>
        <w:t xml:space="preserve">) that has </w:t>
      </w:r>
      <w:r w:rsidRPr="00440A4A">
        <w:rPr>
          <w:bCs/>
        </w:rPr>
        <w:t>successfully innovated</w:t>
      </w:r>
      <w:r>
        <w:rPr>
          <w:bCs/>
        </w:rPr>
        <w:t>.</w:t>
      </w:r>
      <w:r w:rsidRPr="00440A4A">
        <w:rPr>
          <w:bCs/>
          <w:vertAlign w:val="superscript"/>
        </w:rPr>
        <w:footnoteReference w:id="4"/>
      </w:r>
      <w:r>
        <w:rPr>
          <w:bCs/>
        </w:rPr>
        <w:t xml:space="preserve"> Finally, t</w:t>
      </w:r>
      <w:r w:rsidRPr="00440A4A">
        <w:rPr>
          <w:bCs/>
        </w:rPr>
        <w:t xml:space="preserve">he fourth </w:t>
      </w:r>
      <w:r>
        <w:rPr>
          <w:bCs/>
        </w:rPr>
        <w:t>e</w:t>
      </w:r>
      <w:r w:rsidRPr="00440A4A">
        <w:rPr>
          <w:bCs/>
        </w:rPr>
        <w:t xml:space="preserve">quation </w:t>
      </w:r>
      <w:r>
        <w:rPr>
          <w:bCs/>
        </w:rPr>
        <w:t xml:space="preserve">models </w:t>
      </w:r>
      <w:r w:rsidRPr="00440A4A">
        <w:rPr>
          <w:bCs/>
        </w:rPr>
        <w:t>firm</w:t>
      </w:r>
      <w:r>
        <w:rPr>
          <w:bCs/>
        </w:rPr>
        <w:t xml:space="preserve"> </w:t>
      </w:r>
      <m:oMath>
        <m:r>
          <w:rPr>
            <w:rFonts w:ascii="Cambria Math" w:hAnsi="Cambria Math"/>
          </w:rPr>
          <m:t>i</m:t>
        </m:r>
      </m:oMath>
      <w:r>
        <w:rPr>
          <w:bCs/>
        </w:rPr>
        <w:t>’</w:t>
      </w:r>
      <w:r w:rsidRPr="00440A4A">
        <w:rPr>
          <w:bCs/>
        </w:rPr>
        <w:t>s productivity</w:t>
      </w:r>
      <w:r>
        <w:rPr>
          <w:bCs/>
        </w:rPr>
        <w:t xml:space="preserve">, </w:t>
      </w:r>
      <m:oMath>
        <m:sSub>
          <m:sSubPr>
            <m:ctrlPr>
              <w:rPr>
                <w:rFonts w:ascii="Cambria Math" w:hAnsi="Cambria Math"/>
                <w:bCs/>
                <w:i/>
              </w:rPr>
            </m:ctrlPr>
          </m:sSubPr>
          <m:e>
            <m:r>
              <w:rPr>
                <w:rFonts w:ascii="Cambria Math" w:hAnsi="Cambria Math"/>
              </w:rPr>
              <m:t>q</m:t>
            </m:r>
          </m:e>
          <m:sub>
            <m:r>
              <w:rPr>
                <w:rFonts w:ascii="Cambria Math" w:hAnsi="Cambria Math"/>
              </w:rPr>
              <m:t>i</m:t>
            </m:r>
          </m:sub>
        </m:sSub>
      </m:oMath>
      <w:r>
        <w:rPr>
          <w:bCs/>
        </w:rPr>
        <w:t>. Because Eq. (3) represents a subsample of firms that innovate, an inverse-Mills ratio based on a probit estimation of Eq. (1) is included on the right-hand-side. This equation further includes innovation investment (</w:t>
      </w:r>
      <m:oMath>
        <m:sSub>
          <m:sSubPr>
            <m:ctrlPr>
              <w:rPr>
                <w:rFonts w:ascii="Cambria Math" w:hAnsi="Cambria Math"/>
                <w:bCs/>
                <w:i/>
              </w:rPr>
            </m:ctrlPr>
          </m:sSubPr>
          <m:e>
            <m:r>
              <w:rPr>
                <w:rFonts w:ascii="Cambria Math" w:hAnsi="Cambria Math"/>
              </w:rPr>
              <m:t>k</m:t>
            </m:r>
          </m:e>
          <m:sub>
            <m:r>
              <w:rPr>
                <w:rFonts w:ascii="Cambria Math" w:hAnsi="Cambria Math"/>
              </w:rPr>
              <m:t>i</m:t>
            </m:r>
          </m:sub>
        </m:sSub>
      </m:oMath>
      <w:r>
        <w:rPr>
          <w:bCs/>
        </w:rPr>
        <w:t>) as one of the determinants of innovation output. Similarly, the productivity regression (Eq. 4) includes innovation output</w:t>
      </w:r>
      <w:r w:rsidR="00B22699">
        <w:rPr>
          <w:bCs/>
        </w:rPr>
        <w:t xml:space="preserve"> (</w:t>
      </w:r>
      <m:oMath>
        <m:sSub>
          <m:sSubPr>
            <m:ctrlPr>
              <w:rPr>
                <w:rFonts w:ascii="Cambria Math" w:hAnsi="Cambria Math"/>
                <w:bCs/>
                <w:i/>
              </w:rPr>
            </m:ctrlPr>
          </m:sSubPr>
          <m:e>
            <m:r>
              <w:rPr>
                <w:rFonts w:ascii="Cambria Math" w:hAnsi="Cambria Math"/>
              </w:rPr>
              <m:t>t</m:t>
            </m:r>
          </m:e>
          <m:sub>
            <m:r>
              <w:rPr>
                <w:rFonts w:ascii="Cambria Math" w:hAnsi="Cambria Math"/>
              </w:rPr>
              <m:t>i</m:t>
            </m:r>
          </m:sub>
        </m:sSub>
      </m:oMath>
      <w:r w:rsidR="00B22699">
        <w:rPr>
          <w:bCs/>
        </w:rPr>
        <w:t>)</w:t>
      </w:r>
      <w:r>
        <w:rPr>
          <w:bCs/>
        </w:rPr>
        <w:t xml:space="preserve"> as one of the explanatory variables. </w:t>
      </w:r>
    </w:p>
    <w:p w14:paraId="16D63E5A" w14:textId="77777777" w:rsidR="00C714AD" w:rsidRPr="0069067A" w:rsidRDefault="00C714AD" w:rsidP="00204235">
      <w:pPr>
        <w:widowControl w:val="0"/>
        <w:autoSpaceDE w:val="0"/>
        <w:autoSpaceDN w:val="0"/>
        <w:adjustRightInd w:val="0"/>
        <w:spacing w:after="240" w:line="360" w:lineRule="auto"/>
        <w:jc w:val="both"/>
        <w:rPr>
          <w:bCs/>
          <w:lang w:val="en-US"/>
        </w:rPr>
      </w:pPr>
      <w:r>
        <w:rPr>
          <w:bCs/>
        </w:rPr>
        <w:t xml:space="preserve">Equations (3) and (4) suffer from </w:t>
      </w:r>
      <w:r w:rsidRPr="003D5D61">
        <w:rPr>
          <w:bCs/>
          <w:lang w:val="en-US"/>
        </w:rPr>
        <w:t>endogeneity because firms that successfully innovate are more likely to have high</w:t>
      </w:r>
      <w:r>
        <w:rPr>
          <w:bCs/>
          <w:lang w:val="en-US"/>
        </w:rPr>
        <w:t>er</w:t>
      </w:r>
      <w:r w:rsidRPr="003D5D61">
        <w:rPr>
          <w:bCs/>
          <w:lang w:val="en-US"/>
        </w:rPr>
        <w:t xml:space="preserve"> innovation spending. Likewise, higher productive firms are often innovators themselves (</w:t>
      </w:r>
      <w:r>
        <w:rPr>
          <w:bCs/>
          <w:lang w:val="en-US"/>
        </w:rPr>
        <w:t xml:space="preserve">i.e. they </w:t>
      </w:r>
      <w:r w:rsidRPr="003D5D61">
        <w:rPr>
          <w:bCs/>
          <w:lang w:val="en-US"/>
        </w:rPr>
        <w:t xml:space="preserve">have greater innovation </w:t>
      </w:r>
      <w:r w:rsidRPr="00D43D86">
        <w:rPr>
          <w:bCs/>
          <w:lang w:val="en-US"/>
        </w:rPr>
        <w:t xml:space="preserve">output). </w:t>
      </w:r>
      <w:r>
        <w:rPr>
          <w:bCs/>
        </w:rPr>
        <w:t xml:space="preserve">We follow </w:t>
      </w:r>
      <w:r w:rsidRPr="00440A4A">
        <w:rPr>
          <w:bCs/>
        </w:rPr>
        <w:t xml:space="preserve">Lööf and Heshmati (2002) (henceforth LH) approach to estimating </w:t>
      </w:r>
      <w:r>
        <w:rPr>
          <w:bCs/>
        </w:rPr>
        <w:t xml:space="preserve">the </w:t>
      </w:r>
      <w:r w:rsidRPr="00440A4A">
        <w:rPr>
          <w:bCs/>
        </w:rPr>
        <w:t>CDM model</w:t>
      </w:r>
      <w:r>
        <w:rPr>
          <w:bCs/>
        </w:rPr>
        <w:t xml:space="preserve">: While we jointly estimate the </w:t>
      </w:r>
      <w:r w:rsidRPr="00440A4A">
        <w:rPr>
          <w:bCs/>
        </w:rPr>
        <w:t xml:space="preserve">first two equations </w:t>
      </w:r>
      <w:r>
        <w:rPr>
          <w:bCs/>
        </w:rPr>
        <w:t xml:space="preserve">by generalized </w:t>
      </w:r>
      <w:r w:rsidRPr="00440A4A">
        <w:rPr>
          <w:bCs/>
        </w:rPr>
        <w:t>Tobit</w:t>
      </w:r>
      <w:r>
        <w:rPr>
          <w:bCs/>
        </w:rPr>
        <w:t xml:space="preserve"> model, we </w:t>
      </w:r>
      <w:r w:rsidRPr="00440A4A">
        <w:rPr>
          <w:bCs/>
        </w:rPr>
        <w:t xml:space="preserve">limit the third and fourth equations to </w:t>
      </w:r>
      <w:r w:rsidRPr="0043689D">
        <w:rPr>
          <w:bCs/>
          <w:iCs/>
        </w:rPr>
        <w:t xml:space="preserve">sample of innovating firms that successfully sell their innovation output in the market and estimate them jointly in a simultaneous system framework </w:t>
      </w:r>
      <w:r>
        <w:rPr>
          <w:bCs/>
          <w:iCs/>
        </w:rPr>
        <w:t xml:space="preserve">using three-stage least squares </w:t>
      </w:r>
      <w:r w:rsidRPr="0043689D">
        <w:rPr>
          <w:bCs/>
          <w:iCs/>
        </w:rPr>
        <w:t>(3SLS) (Zellner and Theil, 19</w:t>
      </w:r>
      <w:r w:rsidRPr="00440A4A">
        <w:rPr>
          <w:bCs/>
        </w:rPr>
        <w:t>62).</w:t>
      </w:r>
      <w:r>
        <w:rPr>
          <w:rStyle w:val="FootnoteReference"/>
          <w:bCs/>
        </w:rPr>
        <w:footnoteReference w:id="5"/>
      </w:r>
      <w:r w:rsidRPr="00440A4A">
        <w:rPr>
          <w:bCs/>
        </w:rPr>
        <w:t xml:space="preserve"> </w:t>
      </w:r>
      <w:r>
        <w:rPr>
          <w:bCs/>
        </w:rPr>
        <w:t>In Eq. (3), we use predicted values of innovation investment obtained from joint estimation of Equat</w:t>
      </w:r>
      <w:r w:rsidR="00AB0223">
        <w:rPr>
          <w:bCs/>
        </w:rPr>
        <w:t>i</w:t>
      </w:r>
      <w:r>
        <w:rPr>
          <w:bCs/>
        </w:rPr>
        <w:t xml:space="preserve">ons (1) and (2). Similarly, Eq. (4) includes predicted values of innovation output from Eq. (3). Use of predicted values for innovation input and innovation output, respectively, in Equations (3) and (4) mitigates the endogeneity problem. Further, use of inverse Mills ratio calculated from innovation input estimations together with the use of predicted innovation spending and output connect the equations within the CDM system.      </w:t>
      </w:r>
    </w:p>
    <w:p w14:paraId="3422C9E1" w14:textId="77777777" w:rsidR="00C714AD" w:rsidRDefault="00C714AD" w:rsidP="00204235">
      <w:pPr>
        <w:spacing w:line="360" w:lineRule="auto"/>
        <w:jc w:val="both"/>
      </w:pPr>
      <w:r>
        <w:t>Our augmented CDM model additionally includes horizontal, backward vertical and forward vertical spillover variables as well as</w:t>
      </w:r>
      <w:r w:rsidR="00C01DFF">
        <w:t xml:space="preserve"> the</w:t>
      </w:r>
      <w:r>
        <w:t xml:space="preserve"> Hirshman-Herfindahl index (</w:t>
      </w:r>
      <m:oMath>
        <m:r>
          <w:rPr>
            <w:rFonts w:ascii="Cambria Math" w:hAnsi="Cambria Math"/>
          </w:rPr>
          <m:t>HH</m:t>
        </m:r>
      </m:oMath>
      <w:r>
        <w:t xml:space="preserve">) that measures market competition:  </w:t>
      </w:r>
    </w:p>
    <w:p w14:paraId="35A785A5" w14:textId="77777777" w:rsidR="00C714AD" w:rsidRDefault="00C714AD" w:rsidP="00C714AD">
      <w:pPr>
        <w:jc w:val="both"/>
      </w:pPr>
    </w:p>
    <w:p w14:paraId="76BEDAA9" w14:textId="77777777" w:rsidR="00C714AD" w:rsidRPr="00100F07" w:rsidRDefault="001F2CA9" w:rsidP="00C714AD">
      <w:pPr>
        <w:jc w:val="both"/>
      </w:pPr>
      <m:oMath>
        <m:sSubSup>
          <m:sSubSupPr>
            <m:ctrlPr>
              <w:rPr>
                <w:rFonts w:ascii="Cambria Math" w:hAnsi="Cambria Math"/>
                <w:i/>
              </w:rPr>
            </m:ctrlPr>
          </m:sSubSupPr>
          <m:e>
            <m:r>
              <w:rPr>
                <w:rFonts w:ascii="Cambria Math" w:hAnsi="Cambria Math"/>
              </w:rPr>
              <m:t>g</m:t>
            </m:r>
          </m:e>
          <m:sub>
            <m:r>
              <w:rPr>
                <w:rFonts w:ascii="Cambria Math" w:hAnsi="Cambria Math"/>
              </w:rPr>
              <m:t>ij</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1ij</m:t>
            </m:r>
          </m:sub>
        </m:sSub>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H</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1</m:t>
            </m:r>
          </m:sub>
        </m:sSub>
        <m:r>
          <w:rPr>
            <w:rFonts w:ascii="Cambria Math" w:hAnsi="Cambria Math"/>
          </w:rPr>
          <m:t>Horizonta</m:t>
        </m:r>
        <m:sSub>
          <m:sSubPr>
            <m:ctrlPr>
              <w:rPr>
                <w:rFonts w:ascii="Cambria Math" w:hAnsi="Cambria Math"/>
                <w:i/>
              </w:rPr>
            </m:ctrlPr>
          </m:sSubPr>
          <m:e>
            <m:r>
              <w:rPr>
                <w:rFonts w:ascii="Cambria Math" w:hAnsi="Cambria Math"/>
              </w:rPr>
              <m:t>l</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1</m:t>
            </m:r>
          </m:sub>
        </m:sSub>
        <m:r>
          <w:rPr>
            <w:rFonts w:ascii="Cambria Math" w:hAnsi="Cambria Math"/>
          </w:rPr>
          <m:t>Backwar</m:t>
        </m:r>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1</m:t>
            </m:r>
          </m:sub>
        </m:sSub>
        <m:r>
          <w:rPr>
            <w:rFonts w:ascii="Cambria Math" w:hAnsi="Cambria Math"/>
          </w:rPr>
          <m:t>Forwar</m:t>
        </m:r>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1ij</m:t>
            </m:r>
          </m:sub>
        </m:sSub>
      </m:oMath>
      <w:r w:rsidR="00C714AD">
        <w:tab/>
      </w:r>
      <w:r w:rsidR="00C714AD">
        <w:tab/>
        <w:t>(1’)</w:t>
      </w:r>
    </w:p>
    <w:p w14:paraId="12D78FCA" w14:textId="77777777" w:rsidR="00C714AD" w:rsidRPr="001B4F93" w:rsidRDefault="00C714AD" w:rsidP="00C714AD">
      <w:pPr>
        <w:ind w:left="1440"/>
        <w:jc w:val="both"/>
      </w:pPr>
    </w:p>
    <w:p w14:paraId="72B3FEBD" w14:textId="77777777" w:rsidR="00C714AD" w:rsidRPr="00934C08" w:rsidRDefault="001F2CA9" w:rsidP="00C714AD">
      <w:pPr>
        <w:jc w:val="both"/>
      </w:pPr>
      <m:oMath>
        <m:sSubSup>
          <m:sSubSupPr>
            <m:ctrlPr>
              <w:rPr>
                <w:rFonts w:ascii="Cambria Math" w:hAnsi="Cambria Math"/>
                <w:i/>
              </w:rPr>
            </m:ctrlPr>
          </m:sSubSupPr>
          <m:e>
            <m:r>
              <w:rPr>
                <w:rFonts w:ascii="Cambria Math" w:hAnsi="Cambria Math"/>
              </w:rPr>
              <m:t>k</m:t>
            </m:r>
          </m:e>
          <m:sub>
            <m:r>
              <w:rPr>
                <w:rFonts w:ascii="Cambria Math" w:hAnsi="Cambria Math"/>
              </w:rPr>
              <m:t>ij</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2ij</m:t>
            </m:r>
          </m:sub>
        </m:sSub>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2</m:t>
            </m:r>
          </m:sub>
        </m:sSub>
        <m:r>
          <w:rPr>
            <w:rFonts w:ascii="Cambria Math" w:hAnsi="Cambria Math"/>
          </w:rPr>
          <m:t>H</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2</m:t>
            </m:r>
          </m:sub>
        </m:sSub>
        <m:r>
          <w:rPr>
            <w:rFonts w:ascii="Cambria Math" w:hAnsi="Cambria Math"/>
          </w:rPr>
          <m:t>Horizonta</m:t>
        </m:r>
        <m:sSub>
          <m:sSubPr>
            <m:ctrlPr>
              <w:rPr>
                <w:rFonts w:ascii="Cambria Math" w:hAnsi="Cambria Math"/>
                <w:i/>
              </w:rPr>
            </m:ctrlPr>
          </m:sSubPr>
          <m:e>
            <m:r>
              <w:rPr>
                <w:rFonts w:ascii="Cambria Math" w:hAnsi="Cambria Math"/>
              </w:rPr>
              <m:t>l</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2</m:t>
            </m:r>
          </m:sub>
        </m:sSub>
        <m:r>
          <w:rPr>
            <w:rFonts w:ascii="Cambria Math" w:hAnsi="Cambria Math"/>
          </w:rPr>
          <m:t>Backwar</m:t>
        </m:r>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2</m:t>
            </m:r>
          </m:sub>
        </m:sSub>
        <m:r>
          <w:rPr>
            <w:rFonts w:ascii="Cambria Math" w:hAnsi="Cambria Math"/>
          </w:rPr>
          <m:t>Forwar</m:t>
        </m:r>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2ij</m:t>
            </m:r>
          </m:sub>
        </m:sSub>
      </m:oMath>
      <w:r w:rsidR="00C714AD">
        <w:tab/>
      </w:r>
      <w:r w:rsidR="00C714AD">
        <w:tab/>
        <w:t>(2’)</w:t>
      </w:r>
    </w:p>
    <w:p w14:paraId="7E408800" w14:textId="77777777" w:rsidR="00C714AD" w:rsidRPr="00934C08" w:rsidRDefault="00C714AD" w:rsidP="00C714AD">
      <w:pPr>
        <w:ind w:left="1440"/>
        <w:jc w:val="both"/>
      </w:pPr>
    </w:p>
    <w:p w14:paraId="0CAE6535" w14:textId="77777777" w:rsidR="00C714AD" w:rsidRPr="001B4F93" w:rsidRDefault="001F2CA9" w:rsidP="00C714AD">
      <w:pPr>
        <w:jc w:val="both"/>
      </w:pPr>
      <m:oMath>
        <m:sSub>
          <m:sSubPr>
            <m:ctrlPr>
              <w:rPr>
                <w:rFonts w:ascii="Cambria Math" w:hAnsi="Cambria Math"/>
                <w:i/>
              </w:rPr>
            </m:ctrlPr>
          </m:sSubPr>
          <m:e>
            <m:r>
              <w:rPr>
                <w:rFonts w:ascii="Cambria Math" w:hAnsi="Cambria Math"/>
              </w:rPr>
              <m:t>t</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3ij</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sSub>
          <m:sSubPr>
            <m:ctrlPr>
              <w:rPr>
                <w:rFonts w:ascii="Cambria Math" w:hAnsi="Cambria Math"/>
                <w:i/>
              </w:rPr>
            </m:ctrlPr>
          </m:sSubPr>
          <m:e>
            <m:r>
              <w:rPr>
                <w:rFonts w:ascii="Cambria Math" w:hAnsi="Cambria Math"/>
              </w:rPr>
              <m:t>k</m:t>
            </m:r>
          </m:e>
          <m:sub>
            <m:r>
              <w:rPr>
                <w:rFonts w:ascii="Cambria Math" w:hAnsi="Cambria Math"/>
              </w:rPr>
              <m:t>ij</m:t>
            </m:r>
          </m:sub>
        </m:sSub>
        <m:r>
          <w:rPr>
            <w:rFonts w:ascii="Cambria Math" w:hAnsi="Cambria Math"/>
          </w:rPr>
          <m:t>+δ</m:t>
        </m:r>
        <m:sSub>
          <m:sSubPr>
            <m:ctrlPr>
              <w:rPr>
                <w:rFonts w:ascii="Cambria Math" w:hAnsi="Cambria Math"/>
                <w:i/>
              </w:rPr>
            </m:ctrlPr>
          </m:sSubPr>
          <m:e>
            <m:r>
              <w:rPr>
                <w:rFonts w:ascii="Cambria Math" w:hAnsi="Cambria Math"/>
              </w:rPr>
              <m:t>λ</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3</m:t>
            </m:r>
          </m:sub>
        </m:sSub>
        <m:r>
          <w:rPr>
            <w:rFonts w:ascii="Cambria Math" w:hAnsi="Cambria Math"/>
          </w:rPr>
          <m:t>H</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3</m:t>
            </m:r>
          </m:sub>
        </m:sSub>
        <m:r>
          <w:rPr>
            <w:rFonts w:ascii="Cambria Math" w:hAnsi="Cambria Math"/>
          </w:rPr>
          <m:t>Horizonta</m:t>
        </m:r>
        <m:sSub>
          <m:sSubPr>
            <m:ctrlPr>
              <w:rPr>
                <w:rFonts w:ascii="Cambria Math" w:hAnsi="Cambria Math"/>
                <w:i/>
              </w:rPr>
            </m:ctrlPr>
          </m:sSubPr>
          <m:e>
            <m:r>
              <w:rPr>
                <w:rFonts w:ascii="Cambria Math" w:hAnsi="Cambria Math"/>
              </w:rPr>
              <m:t>l</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3</m:t>
            </m:r>
          </m:sub>
        </m:sSub>
        <m:r>
          <w:rPr>
            <w:rFonts w:ascii="Cambria Math" w:hAnsi="Cambria Math"/>
          </w:rPr>
          <m:t>Backwar</m:t>
        </m:r>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3</m:t>
            </m:r>
          </m:sub>
        </m:sSub>
        <m:r>
          <w:rPr>
            <w:rFonts w:ascii="Cambria Math" w:hAnsi="Cambria Math"/>
          </w:rPr>
          <m:t>Forwar</m:t>
        </m:r>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3ij</m:t>
            </m:r>
          </m:sub>
        </m:sSub>
      </m:oMath>
      <w:r w:rsidR="00C714AD">
        <w:tab/>
      </w:r>
      <w:r w:rsidR="00C714AD">
        <w:tab/>
      </w:r>
      <w:r w:rsidR="00C714AD">
        <w:tab/>
      </w:r>
      <w:r w:rsidR="00C714AD">
        <w:tab/>
      </w:r>
      <w:r w:rsidR="00C714AD">
        <w:tab/>
      </w:r>
      <w:r w:rsidR="00C714AD">
        <w:tab/>
      </w:r>
      <w:r w:rsidR="00C714AD">
        <w:tab/>
      </w:r>
      <w:r w:rsidR="00C714AD">
        <w:tab/>
      </w:r>
      <w:r w:rsidR="00C714AD">
        <w:tab/>
      </w:r>
      <w:r w:rsidR="00C714AD">
        <w:tab/>
      </w:r>
      <w:r w:rsidR="00C714AD">
        <w:tab/>
      </w:r>
      <w:r w:rsidR="00C714AD">
        <w:tab/>
        <w:t>(3’)</w:t>
      </w:r>
    </w:p>
    <w:p w14:paraId="196D69D0" w14:textId="77777777" w:rsidR="00C714AD" w:rsidRDefault="00C714AD" w:rsidP="00C714AD">
      <w:pPr>
        <w:ind w:left="1440"/>
        <w:jc w:val="both"/>
      </w:pPr>
    </w:p>
    <w:p w14:paraId="158115F3" w14:textId="77777777" w:rsidR="00C714AD" w:rsidRPr="001B4F93" w:rsidRDefault="001F2CA9" w:rsidP="00C714AD">
      <w:pPr>
        <w:jc w:val="both"/>
      </w:pPr>
      <m:oMath>
        <m:sSub>
          <m:sSubPr>
            <m:ctrlPr>
              <w:rPr>
                <w:rFonts w:ascii="Cambria Math" w:hAnsi="Cambria Math"/>
                <w:i/>
              </w:rPr>
            </m:ctrlPr>
          </m:sSubPr>
          <m:e>
            <m:r>
              <w:rPr>
                <w:rFonts w:ascii="Cambria Math" w:hAnsi="Cambria Math"/>
              </w:rPr>
              <m:t>q</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4ij</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4</m:t>
            </m:r>
          </m:sub>
        </m:sSub>
        <m:sSub>
          <m:sSubPr>
            <m:ctrlPr>
              <w:rPr>
                <w:rFonts w:ascii="Cambria Math" w:hAnsi="Cambria Math"/>
                <w:i/>
              </w:rPr>
            </m:ctrlPr>
          </m:sSubPr>
          <m:e>
            <m:r>
              <w:rPr>
                <w:rFonts w:ascii="Cambria Math" w:hAnsi="Cambria Math"/>
              </w:rPr>
              <m:t>t</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4</m:t>
            </m:r>
          </m:sub>
        </m:sSub>
        <m:r>
          <w:rPr>
            <w:rFonts w:ascii="Cambria Math" w:hAnsi="Cambria Math"/>
          </w:rPr>
          <m:t>H</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4</m:t>
            </m:r>
          </m:sub>
        </m:sSub>
        <m:r>
          <w:rPr>
            <w:rFonts w:ascii="Cambria Math" w:hAnsi="Cambria Math"/>
          </w:rPr>
          <m:t>Horizonta</m:t>
        </m:r>
        <m:sSub>
          <m:sSubPr>
            <m:ctrlPr>
              <w:rPr>
                <w:rFonts w:ascii="Cambria Math" w:hAnsi="Cambria Math"/>
                <w:i/>
              </w:rPr>
            </m:ctrlPr>
          </m:sSubPr>
          <m:e>
            <m:r>
              <w:rPr>
                <w:rFonts w:ascii="Cambria Math" w:hAnsi="Cambria Math"/>
              </w:rPr>
              <m:t>l</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4</m:t>
            </m:r>
          </m:sub>
        </m:sSub>
        <m:r>
          <w:rPr>
            <w:rFonts w:ascii="Cambria Math" w:hAnsi="Cambria Math"/>
          </w:rPr>
          <m:t>Backwar</m:t>
        </m:r>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4</m:t>
            </m:r>
          </m:sub>
        </m:sSub>
        <m:r>
          <w:rPr>
            <w:rFonts w:ascii="Cambria Math" w:hAnsi="Cambria Math"/>
          </w:rPr>
          <m:t>Forwar</m:t>
        </m:r>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4ij</m:t>
            </m:r>
          </m:sub>
        </m:sSub>
      </m:oMath>
      <w:r w:rsidR="00C714AD">
        <w:tab/>
        <w:t>(4’)</w:t>
      </w:r>
    </w:p>
    <w:p w14:paraId="1433C666" w14:textId="77777777" w:rsidR="00C714AD" w:rsidRDefault="00C714AD" w:rsidP="00C714AD">
      <w:pPr>
        <w:jc w:val="both"/>
      </w:pPr>
    </w:p>
    <w:p w14:paraId="214EF699" w14:textId="77777777" w:rsidR="00C714AD" w:rsidRPr="007D494B" w:rsidRDefault="00C714AD" w:rsidP="00204235">
      <w:pPr>
        <w:widowControl w:val="0"/>
        <w:autoSpaceDE w:val="0"/>
        <w:autoSpaceDN w:val="0"/>
        <w:adjustRightInd w:val="0"/>
        <w:spacing w:after="240" w:line="360" w:lineRule="auto"/>
        <w:jc w:val="both"/>
        <w:rPr>
          <w:bCs/>
        </w:rPr>
      </w:pPr>
      <w:r w:rsidRPr="007D494B">
        <w:rPr>
          <w:bCs/>
        </w:rPr>
        <w:t>Horizontal spillover</w:t>
      </w:r>
      <w:r>
        <w:rPr>
          <w:bCs/>
        </w:rPr>
        <w:t>s variable</w:t>
      </w:r>
      <w:r w:rsidRPr="007D494B">
        <w:rPr>
          <w:bCs/>
        </w:rPr>
        <w:t xml:space="preserve"> presents the within industry knowledge transmission</w:t>
      </w:r>
      <w:r w:rsidR="00C2031D">
        <w:rPr>
          <w:bCs/>
        </w:rPr>
        <w:t xml:space="preserve"> from foreign to domestic firms</w:t>
      </w:r>
      <w:r w:rsidRPr="007D494B">
        <w:rPr>
          <w:bCs/>
        </w:rPr>
        <w:t xml:space="preserve">. It can be proxied by the weighted </w:t>
      </w:r>
      <w:r w:rsidR="00C2031D">
        <w:rPr>
          <w:bCs/>
        </w:rPr>
        <w:t xml:space="preserve">share of </w:t>
      </w:r>
      <w:r w:rsidRPr="007D494B">
        <w:rPr>
          <w:bCs/>
        </w:rPr>
        <w:t>foreign</w:t>
      </w:r>
      <w:r w:rsidR="00C2031D">
        <w:rPr>
          <w:bCs/>
        </w:rPr>
        <w:t xml:space="preserve"> firms in total industry</w:t>
      </w:r>
      <w:r w:rsidRPr="007D494B">
        <w:rPr>
          <w:bCs/>
        </w:rPr>
        <w:t xml:space="preserve"> </w:t>
      </w:r>
      <w:r w:rsidR="00016864" w:rsidRPr="007D494B">
        <w:rPr>
          <w:bCs/>
        </w:rPr>
        <w:t xml:space="preserve">employment </w:t>
      </w:r>
      <w:r w:rsidR="00016864">
        <w:rPr>
          <w:bCs/>
        </w:rPr>
        <w:t>(or</w:t>
      </w:r>
      <w:r w:rsidR="00016864" w:rsidRPr="007D494B">
        <w:rPr>
          <w:bCs/>
        </w:rPr>
        <w:t xml:space="preserve"> </w:t>
      </w:r>
      <w:r w:rsidRPr="007D494B">
        <w:rPr>
          <w:bCs/>
        </w:rPr>
        <w:t>sales</w:t>
      </w:r>
      <w:r w:rsidR="00016864">
        <w:rPr>
          <w:bCs/>
        </w:rPr>
        <w:t>)</w:t>
      </w:r>
      <w:r w:rsidR="00C2031D">
        <w:rPr>
          <w:bCs/>
        </w:rPr>
        <w:t>,</w:t>
      </w:r>
      <w:r w:rsidRPr="007D494B">
        <w:rPr>
          <w:bCs/>
        </w:rPr>
        <w:t xml:space="preserve"> averaged over all firms within </w:t>
      </w:r>
      <w:r>
        <w:rPr>
          <w:bCs/>
        </w:rPr>
        <w:t xml:space="preserve">an </w:t>
      </w:r>
      <w:r w:rsidRPr="007D494B">
        <w:rPr>
          <w:bCs/>
        </w:rPr>
        <w:t>industry (Aitken and Harisson, 1999)</w:t>
      </w:r>
      <w:r>
        <w:rPr>
          <w:bCs/>
        </w:rPr>
        <w:t>:</w:t>
      </w:r>
      <w:r w:rsidRPr="007D494B">
        <w:rPr>
          <w:bCs/>
        </w:rPr>
        <w:t xml:space="preserve"> </w:t>
      </w:r>
    </w:p>
    <w:p w14:paraId="6D570041" w14:textId="77777777" w:rsidR="00C714AD" w:rsidRPr="007D494B" w:rsidRDefault="00C714AD" w:rsidP="00C714AD">
      <w:pPr>
        <w:widowControl w:val="0"/>
        <w:autoSpaceDE w:val="0"/>
        <w:autoSpaceDN w:val="0"/>
        <w:adjustRightInd w:val="0"/>
        <w:spacing w:after="240"/>
        <w:jc w:val="both"/>
        <w:rPr>
          <w:b/>
          <w:bCs/>
        </w:rPr>
      </w:pPr>
      <w:r w:rsidRPr="00B20192">
        <w:rPr>
          <w:b/>
          <w:bCs/>
        </w:rPr>
        <w:fldChar w:fldCharType="begin"/>
      </w:r>
      <w:r w:rsidRPr="00B20192">
        <w:rPr>
          <w:b/>
          <w:bCs/>
        </w:rPr>
        <w:instrText xml:space="preserve"> QUOTE </w:instrText>
      </w:r>
      <w:r w:rsidR="001F2CA9">
        <w:rPr>
          <w:noProof/>
          <w:position w:val="-18"/>
        </w:rPr>
        <w:pict w14:anchorId="5EBD84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35pt;height:2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D500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AD5002&quot; wsp:rsidP=&quot;00AD5002&quot;&gt;&lt;m:oMathPara&gt;&lt;m:oMath&gt;&lt;m:sSub&gt;&lt;m:sSubPr&gt;&lt;m:ctrlPr&gt;&lt;w:rPr&gt;&lt;w:rFonts w:ascii=&quot;Cambria Math&quot; w:h-ansi=&quot;Cambria Math&quot;/&gt;&lt;wx:font wx:val=&quot;Cambria Math&quot;/&gt;&lt;w:b/&gt;&lt;w:b-cs/&gt;&lt;w:i/&gt;&lt;/w:rPr&gt;&lt;/m:ctrlPr&gt;&lt;/m:sSubPr&gt;&lt;m:e&gt;&lt;m:r&gt;&lt;w:rPr&gt;&lt;w:rFonts w:ascii=&quot;Cambria Math&quot; w:h-ansi=&quot;Cambria Math&quot;/&gt;&lt;wx:font wx:val=&quot;Cambria Math&quot;/&gt;&lt;w:i/&gt;&lt;/w:rPr&gt;&lt;m:t&gt;Horizontal&lt;/m:t&gt;&lt;/m:r&gt;&lt;/m:e&gt;&lt;m:sub&gt;&lt;m:r&gt;&lt;m:rPr&gt;&lt;m:sty m:val=&quot;bi&quot;/&gt;&lt;/m:rPr&gt;&lt;w:rPr&gt;&lt;w:rFonts w:ascii=&quot;Cambria Math&quot; w:h-ansi=&quot;Cambria Math&quot;/&gt;&lt;wx:font wx:val=&quot;Cambria Math&quot;/&gt;&lt;w:b/&gt;&lt;w:i/&gt;&lt;/w:rPr&gt;&lt;m:t&gt;j&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b-cs/&gt;&lt;w:i/&gt;&lt;/w:rPr&gt;&lt;/m:ctrlPr&gt;&lt;/m:fPr&gt;&lt;m:num&gt;&lt;m:nary&gt;&lt;m:naryPr&gt;&lt;m:chr m:val=&quot;‚àë&quot;/&gt;&lt;m:limLoc m:val=&quot;subSup&quot;/&gt;&lt;m:supHide m:val=&quot;1&quot;/&gt;&lt;m:ctrlPr&gt;&lt;w:rPr&gt;&lt;w:rFonts w:ascii=&quot;Cambria Math&quot; w:h-ansi=&quot;Cambria Math&quot;/&gt;&lt;wx:font wx:val=&quot;Cambria Math&quot;/&gt;&lt;w:b-cs/&gt;&lt;w:i/&gt;&lt;/w:rPr&gt;&lt;/m:ctrlPr&gt;&lt;/m:naryPr&gt;&lt;m:sub&gt;&lt;m:r&gt;&lt;w:rPr&gt;&lt;w:rFonts w:ascii=&quot;Cambria Math&quot; w:h-ansi=&quot;Cambria Math&quot;/&gt;&lt;wx:font wx:val=&quot;Cambria Math&quot;/&gt;&lt;w:i/&gt;&lt;/w:rPr&gt;&lt;m:t&gt;i for all i ‚ààj&lt;/m:t&gt;&lt;/m:r&gt;&lt;/m:sub&gt;&lt;m:sup/&gt;&lt;m:e&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Foreign Share&lt;/m:t&gt;&lt;/m:r&gt;&lt;/m:e&gt;&lt;m:sub&gt;&lt;m:r&gt;&lt;w:rPr&gt;&lt;w:rFonts w:ascii=&quot;Cambria Math&quot; w:h-ansi=&quot;Cambria Math&quot;/&gt;&lt;wx:font wx:val=&quot;Cambria Math&quot;/&gt;&lt;w:i/&gt;&lt;/w:rPr&gt;&lt;m:t&gt;i&lt;/m:t&gt;&lt;/m:r&gt;&lt;aml:annotation aml:id=&quot;0&quot; w:type=&quot;Word.Insertion&quot; aml:author=&quot;Mehtap Hisarciklilar&quot; aml:createdate=&quot;2020-05-18T14:09:00Z&quot;&gt;&lt;aml:content&gt;&lt;m:r&gt;&lt;w:rPr&gt;&lt;w:rFonts w:ascii=&quot;Cambria Math&quot; w:h-ansi=&quot;Cambria Math&quot;/&gt;&lt;wx:font wx:val=&quot;Cambria Math&quot;/&gt;&lt;w:i/&gt;&lt;/w:rPr&gt;&lt;m:t&gt;j&lt;/m:t&gt;&lt;/m:r&gt;&lt;/aml:content&gt;&lt;/aml:annotation&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Y&lt;/m:t&gt;&lt;/m:r&gt;&lt;/m:e&gt;&lt;m:sub&gt;&lt;m:r&gt;&lt;w:rPr&gt;&lt;w:rFonts w:ascii=&quot;Cambria Math&quot; w:h-ansi=&quot;Cambria Math&quot;/&gt;&lt;wx:font wx:val=&quot;Cambria Math&quot;/&gt;&lt;w:i/&gt;&lt;/w:rPr&gt;&lt;m:t&gt;i&lt;/m:t&gt;&lt;/m:r&gt;&lt;aml:annotation aml:id=&quot;1&quot; w:type=&quot;Word.Insertion&quot; aml:author=&quot;Mehtap Hisarciklilar&quot; aml:createdate=&quot;2020-05-18T14:09:00Z&quot;&gt;&lt;aml:content&gt;&lt;m:r&gt;&lt;w:rPr&gt;&lt;w:rFonts w:ascii=&quot;Cambria Math&quot; w:h-ansi=&quot;Cambria Math&quot;/&gt;&lt;wx:font wx:val=&quot;Cambria Math&quot;/&gt;&lt;w:i/&gt;&lt;/w:rPr&gt;&lt;m:t&gt;j&lt;/m:t&gt;&lt;/m:r&gt;&lt;/aml:content&gt;&lt;/aml:annotation&gt;&lt;/m:sub&gt;&lt;/m:sSub&gt;&lt;/m:e&gt;&lt;/m:nary&gt;&lt;/m:num&gt;&lt;m:den&gt;&lt;m:nary&gt;&lt;m:naryPr&gt;&lt;m:chr m:val=&quot;‚àë&quot;/&gt;&lt;m:limLoc m:val=&quot;subSup&quot;/&gt;&lt;m:supHide m:val=&quot;1&quot;/&gt;&lt;m:ctrlPr&gt;&lt;w:rPr&gt;&lt;w:rFonts w:ascii=&quot;Cambria Math&quot; w:h-ansi=&quot;Cambria Math&quot;/&gt;&lt;wx:font wx:val=&quot;Cambria Math&quot;/&gt;&lt;w:b-cs/&gt;&lt;w:i/&gt;&lt;/w:rPr&gt;&lt;/m:ctrlPr&gt;&lt;/m:naryPr&gt;&lt;m:sub&gt;&lt;m:r&gt;&lt;w:rPr&gt;&lt;w:rFonts w:ascii=&quot;Cambria Math&quot; w:h-ansi=&quot;Cambria Math&quot;/&gt;&lt;wx:font wx:val=&quot;Cambria Math&quot;/&gt;&lt;w:i/&gt;&lt;/w:rPr&gt;&lt;m:t&gt;i for all i ‚ààj&lt;/m:t&gt;&lt;/m:r&gt;&lt;/m:sub&gt;&lt;m:sup/&gt;&lt;m:e&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Y&lt;/m:t&gt;&lt;/m:r&gt;&lt;/m:e&gt;&lt;m:sub&gt;&lt;m:r&gt;&lt;w:rPr&gt;&lt;w:rFonts w:ascii=&quot;Cambria Math&quot; w:h-ansi=&quot;Cambria Math&quot;/&gt;&lt;wx:font wx:val=&quot;Cambria Math&quot;/&gt;&lt;w:i/&gt;&lt;/w:rPr&gt;&lt;m:t&gt;i&lt;/m:t&gt;&lt;/m:r&gt;&lt;aml:annotation aml:id=&quot;2&quot; w:type=&quot;Word.Insertion&quot; aml:author=&quot;Mehtap Hisarciklilar&quot; aml:createdate=&quot;2020-05-18T14:09:00Z&quot;&gt;&lt;aml:content&gt;&lt;m:r&gt;&lt;w:rPr&gt;&lt;w:rFonts w:ascii=&quot;Cambria Math&quot; w:h-ansi=&quot;Cambria Math&quot;/&gt;&lt;wx:font wx:val=&quot;Cambria Math&quot;/&gt;&lt;w:i/&gt;&lt;/w:rPr&gt;&lt;m:t&gt;j&lt;/m:t&gt;&lt;/m:r&gt;&lt;/aml:content&gt;&lt;/aml:annotation&gt;&lt;/m:sub&gt;&lt;/m:sSub&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B20192">
        <w:rPr>
          <w:b/>
          <w:bCs/>
        </w:rPr>
        <w:instrText xml:space="preserve"> </w:instrText>
      </w:r>
      <w:r w:rsidRPr="00B20192">
        <w:rPr>
          <w:b/>
          <w:bCs/>
        </w:rPr>
        <w:fldChar w:fldCharType="separate"/>
      </w:r>
      <w:r w:rsidR="001F2CA9">
        <w:rPr>
          <w:noProof/>
          <w:position w:val="-18"/>
        </w:rPr>
        <w:pict w14:anchorId="5FE18EF9">
          <v:shape id="_x0000_i1026" type="#_x0000_t75" alt="" style="width:210.35pt;height:2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D500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AD5002&quot; wsp:rsidP=&quot;00AD5002&quot;&gt;&lt;m:oMathPara&gt;&lt;m:oMath&gt;&lt;m:sSub&gt;&lt;m:sSubPr&gt;&lt;m:ctrlPr&gt;&lt;w:rPr&gt;&lt;w:rFonts w:ascii=&quot;Cambria Math&quot; w:h-ansi=&quot;Cambria Math&quot;/&gt;&lt;wx:font wx:val=&quot;Cambria Math&quot;/&gt;&lt;w:b/&gt;&lt;w:b-cs/&gt;&lt;w:i/&gt;&lt;/w:rPr&gt;&lt;/m:ctrlPr&gt;&lt;/m:sSubPr&gt;&lt;m:e&gt;&lt;m:r&gt;&lt;w:rPr&gt;&lt;w:rFonts w:ascii=&quot;Cambria Math&quot; w:h-ansi=&quot;Cambria Math&quot;/&gt;&lt;wx:font wx:val=&quot;Cambria Math&quot;/&gt;&lt;w:i/&gt;&lt;/w:rPr&gt;&lt;m:t&gt;Horizontal&lt;/m:t&gt;&lt;/m:r&gt;&lt;/m:e&gt;&lt;m:sub&gt;&lt;m:r&gt;&lt;m:rPr&gt;&lt;m:sty m:val=&quot;bi&quot;/&gt;&lt;/m:rPr&gt;&lt;w:rPr&gt;&lt;w:rFonts w:ascii=&quot;Cambria Math&quot; w:h-ansi=&quot;Cambria Math&quot;/&gt;&lt;wx:font wx:val=&quot;Cambria Math&quot;/&gt;&lt;w:b/&gt;&lt;w:i/&gt;&lt;/w:rPr&gt;&lt;m:t&gt;j&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b-cs/&gt;&lt;w:i/&gt;&lt;/w:rPr&gt;&lt;/m:ctrlPr&gt;&lt;/m:fPr&gt;&lt;m:num&gt;&lt;m:nary&gt;&lt;m:naryPr&gt;&lt;m:chr m:val=&quot;‚àë&quot;/&gt;&lt;m:limLoc m:val=&quot;subSup&quot;/&gt;&lt;m:supHide m:val=&quot;1&quot;/&gt;&lt;m:ctrlPr&gt;&lt;w:rPr&gt;&lt;w:rFonts w:ascii=&quot;Cambria Math&quot; w:h-ansi=&quot;Cambria Math&quot;/&gt;&lt;wx:font wx:val=&quot;Cambria Math&quot;/&gt;&lt;w:b-cs/&gt;&lt;w:i/&gt;&lt;/w:rPr&gt;&lt;/m:ctrlPr&gt;&lt;/m:naryPr&gt;&lt;m:sub&gt;&lt;m:r&gt;&lt;w:rPr&gt;&lt;w:rFonts w:ascii=&quot;Cambria Math&quot; w:h-ansi=&quot;Cambria Math&quot;/&gt;&lt;wx:font wx:val=&quot;Cambria Math&quot;/&gt;&lt;w:i/&gt;&lt;/w:rPr&gt;&lt;m:t&gt;i for all i ‚ààj&lt;/m:t&gt;&lt;/m:r&gt;&lt;/m:sub&gt;&lt;m:sup/&gt;&lt;m:e&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Foreign Share&lt;/m:t&gt;&lt;/m:r&gt;&lt;/m:e&gt;&lt;m:sub&gt;&lt;m:r&gt;&lt;w:rPr&gt;&lt;w:rFonts w:ascii=&quot;Cambria Math&quot; w:h-ansi=&quot;Cambria Math&quot;/&gt;&lt;wx:font wx:val=&quot;Cambria Math&quot;/&gt;&lt;w:i/&gt;&lt;/w:rPr&gt;&lt;m:t&gt;i&lt;/m:t&gt;&lt;/m:r&gt;&lt;aml:annotation aml:id=&quot;0&quot; w:type=&quot;Word.Insertion&quot; aml:author=&quot;Mehtap Hisarciklilar&quot; aml:createdate=&quot;2020-05-18T14:09:00Z&quot;&gt;&lt;aml:content&gt;&lt;m:r&gt;&lt;w:rPr&gt;&lt;w:rFonts w:ascii=&quot;Cambria Math&quot; w:h-ansi=&quot;Cambria Math&quot;/&gt;&lt;wx:font wx:val=&quot;Cambria Math&quot;/&gt;&lt;w:i/&gt;&lt;/w:rPr&gt;&lt;m:t&gt;j&lt;/m:t&gt;&lt;/m:r&gt;&lt;/aml:content&gt;&lt;/aml:annotation&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Y&lt;/m:t&gt;&lt;/m:r&gt;&lt;/m:e&gt;&lt;m:sub&gt;&lt;m:r&gt;&lt;w:rPr&gt;&lt;w:rFonts w:ascii=&quot;Cambria Math&quot; w:h-ansi=&quot;Cambria Math&quot;/&gt;&lt;wx:font wx:val=&quot;Cambria Math&quot;/&gt;&lt;w:i/&gt;&lt;/w:rPr&gt;&lt;m:t&gt;i&lt;/m:t&gt;&lt;/m:r&gt;&lt;aml:annotation aml:id=&quot;1&quot; w:type=&quot;Word.Insertion&quot; aml:author=&quot;Mehtap Hisarciklilar&quot; aml:createdate=&quot;2020-05-18T14:09:00Z&quot;&gt;&lt;aml:content&gt;&lt;m:r&gt;&lt;w:rPr&gt;&lt;w:rFonts w:ascii=&quot;Cambria Math&quot; w:h-ansi=&quot;Cambria Math&quot;/&gt;&lt;wx:font wx:val=&quot;Cambria Math&quot;/&gt;&lt;w:i/&gt;&lt;/w:rPr&gt;&lt;m:t&gt;j&lt;/m:t&gt;&lt;/m:r&gt;&lt;/aml:content&gt;&lt;/aml:annotation&gt;&lt;/m:sub&gt;&lt;/m:sSub&gt;&lt;/m:e&gt;&lt;/m:nary&gt;&lt;/m:num&gt;&lt;m:den&gt;&lt;m:nary&gt;&lt;m:naryPr&gt;&lt;m:chr m:val=&quot;‚àë&quot;/&gt;&lt;m:limLoc m:val=&quot;subSup&quot;/&gt;&lt;m:supHide m:val=&quot;1&quot;/&gt;&lt;m:ctrlPr&gt;&lt;w:rPr&gt;&lt;w:rFonts w:ascii=&quot;Cambria Math&quot; w:h-ansi=&quot;Cambria Math&quot;/&gt;&lt;wx:font wx:val=&quot;Cambria Math&quot;/&gt;&lt;w:b-cs/&gt;&lt;w:i/&gt;&lt;/w:rPr&gt;&lt;/m:ctrlPr&gt;&lt;/m:naryPr&gt;&lt;m:sub&gt;&lt;m:r&gt;&lt;w:rPr&gt;&lt;w:rFonts w:ascii=&quot;Cambria Math&quot; w:h-ansi=&quot;Cambria Math&quot;/&gt;&lt;wx:font wx:val=&quot;Cambria Math&quot;/&gt;&lt;w:i/&gt;&lt;/w:rPr&gt;&lt;m:t&gt;i for all i ‚ààj&lt;/m:t&gt;&lt;/m:r&gt;&lt;/m:sub&gt;&lt;m:sup/&gt;&lt;m:e&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Y&lt;/m:t&gt;&lt;/m:r&gt;&lt;/m:e&gt;&lt;m:sub&gt;&lt;m:r&gt;&lt;w:rPr&gt;&lt;w:rFonts w:ascii=&quot;Cambria Math&quot; w:h-ansi=&quot;Cambria Math&quot;/&gt;&lt;wx:font wx:val=&quot;Cambria Math&quot;/&gt;&lt;w:i/&gt;&lt;/w:rPr&gt;&lt;m:t&gt;i&lt;/m:t&gt;&lt;/m:r&gt;&lt;aml:annotation aml:id=&quot;2&quot; w:type=&quot;Word.Insertion&quot; aml:author=&quot;Mehtap Hisarciklilar&quot; aml:createdate=&quot;2020-05-18T14:09:00Z&quot;&gt;&lt;aml:content&gt;&lt;m:r&gt;&lt;w:rPr&gt;&lt;w:rFonts w:ascii=&quot;Cambria Math&quot; w:h-ansi=&quot;Cambria Math&quot;/&gt;&lt;wx:font wx:val=&quot;Cambria Math&quot;/&gt;&lt;w:i/&gt;&lt;/w:rPr&gt;&lt;m:t&gt;j&lt;/m:t&gt;&lt;/m:r&gt;&lt;/aml:content&gt;&lt;/aml:annotation&gt;&lt;/m:sub&gt;&lt;/m:sSub&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B20192">
        <w:rPr>
          <w:b/>
          <w:bCs/>
        </w:rPr>
        <w:fldChar w:fldCharType="end"/>
      </w:r>
      <w:r w:rsidRPr="007D494B">
        <w:rPr>
          <w:b/>
          <w:bCs/>
        </w:rPr>
        <w:tab/>
      </w:r>
      <w:r w:rsidRPr="007D494B">
        <w:rPr>
          <w:b/>
          <w:bCs/>
        </w:rPr>
        <w:tab/>
      </w:r>
      <w:r w:rsidRPr="007D494B">
        <w:rPr>
          <w:b/>
          <w:bCs/>
        </w:rPr>
        <w:tab/>
      </w:r>
      <w:r w:rsidRPr="007D494B">
        <w:rPr>
          <w:b/>
          <w:bCs/>
        </w:rPr>
        <w:tab/>
        <w:t xml:space="preserve">                         </w:t>
      </w:r>
      <w:r w:rsidRPr="007D494B">
        <w:rPr>
          <w:bCs/>
        </w:rPr>
        <w:t xml:space="preserve"> </w:t>
      </w:r>
      <w:r w:rsidRPr="007D494B">
        <w:rPr>
          <w:bCs/>
        </w:rPr>
        <w:tab/>
        <w:t xml:space="preserve">           (5)</w:t>
      </w:r>
    </w:p>
    <w:p w14:paraId="3DB1B20D" w14:textId="77777777" w:rsidR="00C714AD" w:rsidRPr="007D494B" w:rsidRDefault="00C714AD" w:rsidP="00204235">
      <w:pPr>
        <w:widowControl w:val="0"/>
        <w:autoSpaceDE w:val="0"/>
        <w:autoSpaceDN w:val="0"/>
        <w:adjustRightInd w:val="0"/>
        <w:spacing w:after="240" w:line="360" w:lineRule="auto"/>
        <w:jc w:val="both"/>
        <w:rPr>
          <w:bCs/>
        </w:rPr>
      </w:pPr>
      <w:r w:rsidRPr="007D494B">
        <w:rPr>
          <w:bCs/>
        </w:rPr>
        <w:t>where</w:t>
      </w:r>
      <w:r>
        <w:rPr>
          <w:bCs/>
        </w:rPr>
        <w:t xml:space="preserve"> </w:t>
      </w:r>
      <w:r w:rsidRPr="00B20192">
        <w:rPr>
          <w:bCs/>
        </w:rPr>
        <w:fldChar w:fldCharType="begin"/>
      </w:r>
      <w:r w:rsidRPr="00B20192">
        <w:rPr>
          <w:bCs/>
        </w:rPr>
        <w:instrText xml:space="preserve"> QUOTE </w:instrText>
      </w:r>
      <w:r w:rsidR="001F2CA9">
        <w:rPr>
          <w:noProof/>
          <w:position w:val="-8"/>
        </w:rPr>
        <w:pict w14:anchorId="1CB49233">
          <v:shape id="_x0000_i1027" type="#_x0000_t75" alt="" style="width:1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D7C4B&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DD7C4B&quot; wsp:rsidP=&quot;00DD7C4B&quot;&gt;&lt;m:oMathPara&gt;&lt;m:oMath&gt;&lt;m:sSub&gt;&lt;m:sSubPr&gt;&lt;m:ctrlPr&gt;&lt;aml:annotation aml:id=&quot;0&quot; w:type=&quot;Word.Insertion&quot; aml:author=&quot;Mehtap Hisarciklilar&quot; aml:createdate=&quot;2020-05-18T14:10:00Z&quot;&gt;&lt;aml:content&gt;&lt;w:rPr&gt;&lt;w:rFonts w:ascii=&quot;Cambria Math&quot; w:h-ansi=&quot;Cambria Math&quot;/&gt;&lt;wx:font wx:val=&quot;Cambria Math&quot;/&gt;&lt;w:b-cs/&gt;&lt;w:i/&gt;&lt;/w:rPr&gt;&lt;/aml:content&gt;&lt;/aml:annotation&gt;&lt;/m:ctrlPr&gt;&lt;/m:sSubPr&gt;&lt;m:e&gt;&lt;aml:annotation aml:id=&quot;1&quot; w:type=&quot;Word.Insertion&quot; aml:author=&quot;Mehtap Hisarciklilar&quot; aml:createdate=&quot;2020-05-18T14:10:00Z&quot;&gt;&lt;aml:content&gt;&lt;m:r&gt;&lt;w:rPr&gt;&lt;w:rFonts w:ascii=&quot;Cambria Math&quot; w:h-ansi=&quot;Cambria Math&quot;/&gt;&lt;wx:font wx:val=&quot;Cambria Math&quot;/&gt;&lt;w:i/&gt;&lt;/w:rPr&gt;&lt;m:t&gt;Y&lt;/m:t&gt;&lt;/m:r&gt;&lt;/aml:content&gt;&lt;/aml:annotation&gt;&lt;/m:e&gt;&lt;m:sub&gt;&lt;aml:annotation aml:id=&quot;2&quot; w:type=&quot;Word.Insertion&quot; aml:author=&quot;Mehtap Hisarciklilar&quot; aml:createdate=&quot;2020-05-18T14:10:00Z&quot;&gt;&lt;aml:content&gt;&lt;m:r&gt;&lt;w:rPr&gt;&lt;w:rFonts w:ascii=&quot;Cambria Math&quot; w:h-ansi=&quot;Cambria Math&quot;/&gt;&lt;wx:font wx:val=&quot;Cambria Math&quot;/&gt;&lt;w:i/&gt;&lt;/w:rPr&gt;&lt;m:t&gt;ij&lt;/m:t&gt;&lt;/m:r&gt;&lt;/aml:content&gt;&lt;/aml:annotation&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B20192">
        <w:rPr>
          <w:bCs/>
        </w:rPr>
        <w:instrText xml:space="preserve"> </w:instrText>
      </w:r>
      <w:r w:rsidRPr="00B20192">
        <w:rPr>
          <w:bCs/>
        </w:rPr>
        <w:fldChar w:fldCharType="separate"/>
      </w:r>
      <w:r w:rsidR="001F2CA9">
        <w:rPr>
          <w:noProof/>
          <w:position w:val="-8"/>
        </w:rPr>
        <w:pict w14:anchorId="3AB21781">
          <v:shape id="_x0000_i1028" type="#_x0000_t75" alt="" style="width:1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D7C4B&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DD7C4B&quot; wsp:rsidP=&quot;00DD7C4B&quot;&gt;&lt;m:oMathPara&gt;&lt;m:oMath&gt;&lt;m:sSub&gt;&lt;m:sSubPr&gt;&lt;m:ctrlPr&gt;&lt;aml:annotation aml:id=&quot;0&quot; w:type=&quot;Word.Insertion&quot; aml:author=&quot;Mehtap Hisarciklilar&quot; aml:createdate=&quot;2020-05-18T14:10:00Z&quot;&gt;&lt;aml:content&gt;&lt;w:rPr&gt;&lt;w:rFonts w:ascii=&quot;Cambria Math&quot; w:h-ansi=&quot;Cambria Math&quot;/&gt;&lt;wx:font wx:val=&quot;Cambria Math&quot;/&gt;&lt;w:b-cs/&gt;&lt;w:i/&gt;&lt;/w:rPr&gt;&lt;/aml:content&gt;&lt;/aml:annotation&gt;&lt;/m:ctrlPr&gt;&lt;/m:sSubPr&gt;&lt;m:e&gt;&lt;aml:annotation aml:id=&quot;1&quot; w:type=&quot;Word.Insertion&quot; aml:author=&quot;Mehtap Hisarciklilar&quot; aml:createdate=&quot;2020-05-18T14:10:00Z&quot;&gt;&lt;aml:content&gt;&lt;m:r&gt;&lt;w:rPr&gt;&lt;w:rFonts w:ascii=&quot;Cambria Math&quot; w:h-ansi=&quot;Cambria Math&quot;/&gt;&lt;wx:font wx:val=&quot;Cambria Math&quot;/&gt;&lt;w:i/&gt;&lt;/w:rPr&gt;&lt;m:t&gt;Y&lt;/m:t&gt;&lt;/m:r&gt;&lt;/aml:content&gt;&lt;/aml:annotation&gt;&lt;/m:e&gt;&lt;m:sub&gt;&lt;aml:annotation aml:id=&quot;2&quot; w:type=&quot;Word.Insertion&quot; aml:author=&quot;Mehtap Hisarciklilar&quot; aml:createdate=&quot;2020-05-18T14:10:00Z&quot;&gt;&lt;aml:content&gt;&lt;m:r&gt;&lt;w:rPr&gt;&lt;w:rFonts w:ascii=&quot;Cambria Math&quot; w:h-ansi=&quot;Cambria Math&quot;/&gt;&lt;wx:font wx:val=&quot;Cambria Math&quot;/&gt;&lt;w:i/&gt;&lt;/w:rPr&gt;&lt;m:t&gt;ij&lt;/m:t&gt;&lt;/m:r&gt;&lt;/aml:content&gt;&lt;/aml:annotation&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B20192">
        <w:rPr>
          <w:bCs/>
        </w:rPr>
        <w:fldChar w:fldCharType="end"/>
      </w:r>
      <w:r w:rsidR="002452D7">
        <w:rPr>
          <w:bCs/>
        </w:rPr>
        <w:t xml:space="preserve"> </w:t>
      </w:r>
      <w:r w:rsidRPr="007D494B">
        <w:rPr>
          <w:bCs/>
        </w:rPr>
        <w:t xml:space="preserve">represents </w:t>
      </w:r>
      <w:r>
        <w:rPr>
          <w:bCs/>
        </w:rPr>
        <w:t>the</w:t>
      </w:r>
      <w:r w:rsidRPr="007D494B">
        <w:rPr>
          <w:bCs/>
        </w:rPr>
        <w:t xml:space="preserve"> </w:t>
      </w:r>
      <w:r>
        <w:rPr>
          <w:bCs/>
        </w:rPr>
        <w:t xml:space="preserve">level of </w:t>
      </w:r>
      <w:r w:rsidRPr="007D494B">
        <w:rPr>
          <w:bCs/>
        </w:rPr>
        <w:t>employment</w:t>
      </w:r>
      <w:r>
        <w:rPr>
          <w:bCs/>
        </w:rPr>
        <w:t xml:space="preserve"> of firm </w:t>
      </w:r>
      <w:r w:rsidRPr="00B20192">
        <w:rPr>
          <w:bCs/>
        </w:rPr>
        <w:fldChar w:fldCharType="begin"/>
      </w:r>
      <w:r w:rsidRPr="00B20192">
        <w:rPr>
          <w:bCs/>
        </w:rPr>
        <w:instrText xml:space="preserve"> QUOTE </w:instrText>
      </w:r>
      <w:r w:rsidR="001F2CA9">
        <w:rPr>
          <w:noProof/>
          <w:position w:val="-6"/>
        </w:rPr>
        <w:pict w14:anchorId="3AD926C9">
          <v:shape id="_x0000_i1029" type="#_x0000_t75" alt="" style="width:6.65pt;height:16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2DA1&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AB2DA1&quot; wsp:rsidP=&quot;00AB2DA1&quot;&gt;&lt;aml:annotation aml:id=&quot;0&quot; w:type=&quot;Word.Insertion&quot; aml:author=&quot;Mehtap Hisarciklilar&quot; aml:createdate=&quot;2020-05-18T14:12:00Z&quot;&gt;&lt;aml:content&gt;&lt;m:oMathPara&gt;&lt;m:oMath&gt;&lt;m:r&gt;&lt;w:rPr&gt;&lt;w:rFonts w:ascii=&quot;Cambria Math&quot; w:h-ansi=&quot;Cambria Math&quot;/&gt;&lt;wx:font wx:val=&quot;Cambria Math&quot;/&gt;&lt;w:i/&gt;&lt;/w:rPr&gt;&lt;m:t&gt;i&lt;/m:t&gt;&lt;/m:r&gt;&lt;/m:oMath&gt;&lt;/m:oMathPara&gt;&lt;/aml:content&gt;&lt;/aml:annotation&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20192">
        <w:rPr>
          <w:bCs/>
        </w:rPr>
        <w:instrText xml:space="preserve"> </w:instrText>
      </w:r>
      <w:r w:rsidRPr="00B20192">
        <w:rPr>
          <w:bCs/>
        </w:rPr>
        <w:fldChar w:fldCharType="separate"/>
      </w:r>
      <w:r w:rsidR="001F2CA9">
        <w:rPr>
          <w:noProof/>
          <w:position w:val="-6"/>
        </w:rPr>
        <w:pict w14:anchorId="54B1812D">
          <v:shape id="_x0000_i1030" type="#_x0000_t75" alt="" style="width:2.65pt;height:16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2DA1&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AB2DA1&quot; wsp:rsidP=&quot;00AB2DA1&quot;&gt;&lt;aml:annotation aml:id=&quot;0&quot; w:type=&quot;Word.Insertion&quot; aml:author=&quot;Mehtap Hisarciklilar&quot; aml:createdate=&quot;2020-05-18T14:12:00Z&quot;&gt;&lt;aml:content&gt;&lt;m:oMathPara&gt;&lt;m:oMath&gt;&lt;m:r&gt;&lt;w:rPr&gt;&lt;w:rFonts w:ascii=&quot;Cambria Math&quot; w:h-ansi=&quot;Cambria Math&quot;/&gt;&lt;wx:font wx:val=&quot;Cambria Math&quot;/&gt;&lt;w:i/&gt;&lt;/w:rPr&gt;&lt;m:t&gt;i&lt;/m:t&gt;&lt;/m:r&gt;&lt;/m:oMath&gt;&lt;/m:oMathPara&gt;&lt;/aml:content&gt;&lt;/aml:annotation&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20192">
        <w:rPr>
          <w:bCs/>
        </w:rPr>
        <w:fldChar w:fldCharType="end"/>
      </w:r>
      <w:r>
        <w:rPr>
          <w:bCs/>
        </w:rPr>
        <w:t xml:space="preserve"> in industry </w:t>
      </w:r>
      <w:r w:rsidRPr="00B20192">
        <w:rPr>
          <w:bCs/>
        </w:rPr>
        <w:fldChar w:fldCharType="begin"/>
      </w:r>
      <w:r w:rsidRPr="00B20192">
        <w:rPr>
          <w:bCs/>
        </w:rPr>
        <w:instrText xml:space="preserve"> QUOTE </w:instrText>
      </w:r>
      <w:r w:rsidR="001F2CA9">
        <w:rPr>
          <w:noProof/>
          <w:position w:val="-6"/>
        </w:rPr>
        <w:pict w14:anchorId="32126B38">
          <v:shape id="_x0000_i1031" type="#_x0000_t75" alt="" style="width:6.65pt;height:16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B55EA&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9B55EA&quot; wsp:rsidP=&quot;009B55EA&quot;&gt;&lt;aml:annotation aml:id=&quot;0&quot; w:type=&quot;Word.Insertion&quot; aml:author=&quot;Mehtap Hisarciklilar&quot; aml:createdate=&quot;2020-05-18T14:13:00Z&quot;&gt;&lt;aml:content&gt;&lt;m:oMathPara&gt;&lt;m:oMath&gt;&lt;m:r&gt;&lt;w:rPr&gt;&lt;w:rFonts w:ascii=&quot;Cambria Math&quot; w:h-ansi=&quot;Cambria Math&quot;/&gt;&lt;wx:font wx:val=&quot;Cambria Math&quot;/&gt;&lt;w:i/&gt;&lt;/w:rPr&gt;&lt;m:t&gt;j&lt;/m:t&gt;&lt;/m:r&gt;&lt;/m:oMath&gt;&lt;/m:oMathPara&gt;&lt;/aml:content&gt;&lt;/aml:annotation&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20192">
        <w:rPr>
          <w:bCs/>
        </w:rPr>
        <w:instrText xml:space="preserve"> </w:instrText>
      </w:r>
      <w:r w:rsidRPr="00B20192">
        <w:rPr>
          <w:bCs/>
        </w:rPr>
        <w:fldChar w:fldCharType="separate"/>
      </w:r>
      <w:r w:rsidR="001F2CA9">
        <w:rPr>
          <w:noProof/>
          <w:position w:val="-6"/>
        </w:rPr>
        <w:pict w14:anchorId="28CC2E41">
          <v:shape id="_x0000_i1032" type="#_x0000_t75" alt="" style="width:6.65pt;height:16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B55EA&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9B55EA&quot; wsp:rsidP=&quot;009B55EA&quot;&gt;&lt;aml:annotation aml:id=&quot;0&quot; w:type=&quot;Word.Insertion&quot; aml:author=&quot;Mehtap Hisarciklilar&quot; aml:createdate=&quot;2020-05-18T14:13:00Z&quot;&gt;&lt;aml:content&gt;&lt;m:oMathPara&gt;&lt;m:oMath&gt;&lt;m:r&gt;&lt;w:rPr&gt;&lt;w:rFonts w:ascii=&quot;Cambria Math&quot; w:h-ansi=&quot;Cambria Math&quot;/&gt;&lt;wx:font wx:val=&quot;Cambria Math&quot;/&gt;&lt;w:i/&gt;&lt;/w:rPr&gt;&lt;m:t&gt;j&lt;/m:t&gt;&lt;/m:r&gt;&lt;/m:oMath&gt;&lt;/m:oMathPara&gt;&lt;/aml:content&gt;&lt;/aml:annotation&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20192">
        <w:rPr>
          <w:bCs/>
        </w:rPr>
        <w:fldChar w:fldCharType="end"/>
      </w:r>
      <w:r w:rsidRPr="007D494B">
        <w:rPr>
          <w:bCs/>
        </w:rPr>
        <w:t xml:space="preserve"> capturing the knowledge transmission mainly th</w:t>
      </w:r>
      <w:r>
        <w:rPr>
          <w:bCs/>
        </w:rPr>
        <w:t>r</w:t>
      </w:r>
      <w:r w:rsidRPr="007D494B">
        <w:rPr>
          <w:bCs/>
        </w:rPr>
        <w:t>ough labour mobility.</w:t>
      </w:r>
      <w:r w:rsidRPr="00B20192">
        <w:rPr>
          <w:bCs/>
        </w:rPr>
        <w:fldChar w:fldCharType="begin"/>
      </w:r>
      <w:r w:rsidRPr="00B20192">
        <w:rPr>
          <w:bCs/>
        </w:rPr>
        <w:instrText xml:space="preserve"> QUOTE </w:instrText>
      </w:r>
      <w:r w:rsidR="001F2CA9">
        <w:rPr>
          <w:noProof/>
          <w:position w:val="-8"/>
        </w:rPr>
        <w:pict w14:anchorId="13F84C65">
          <v:shape id="_x0000_i1033" type="#_x0000_t75" alt="" style="width:89.6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57E94&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A57E94&quot; wsp:rsidP=&quot;00A57E94&quot;&gt;&lt;m:oMathPara&gt;&lt;m:oMath&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Foreign Share&lt;/m:t&gt;&lt;/m:r&gt;&lt;/m:e&gt;&lt;m:sub&gt;&lt;m:r&gt;&lt;w:rPr&gt;&lt;w:rFonts w:ascii=&quot;Cambria Math&quot; w:h-ansi=&quot;Cambria Math&quot;/&gt;&lt;wx:font wx:val=&quot;Cambria Math&quot;/&gt;&lt;w:i/&gt;&lt;/w:rPr&gt;&lt;m:t&gt;i&lt;/m:t&gt;&lt;/m:r&gt;&lt;aml:annotation aml:id=&quot;0&quot; w:type=&quot;Word.Insertion&quot; aml:author=&quot;Mehtap Hisarciklilar&quot; aml:createdate=&quot;2020-05-18T14:15:00Z&quot;&gt;&lt;aml:content&gt;&lt;m:r&gt;&lt;w:rPr&gt;&lt;w:rFonts w:ascii=&quot;Cambria Math&quot; w:h-ansi=&quot;Cambria Math&quot;/&gt;&lt;wx:font wx:val=&quot;Cambria Math&quot;/&gt;&lt;w:i/&gt;&lt;/w:rPr&gt;&lt;m:t&gt;j&lt;/m:t&gt;&lt;/m:r&gt;&lt;/aml:content&gt;&lt;/aml:annotation&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B20192">
        <w:rPr>
          <w:bCs/>
        </w:rPr>
        <w:instrText xml:space="preserve"> </w:instrText>
      </w:r>
      <w:r w:rsidRPr="00B20192">
        <w:rPr>
          <w:bCs/>
        </w:rPr>
        <w:fldChar w:fldCharType="separate"/>
      </w:r>
      <w:r w:rsidR="001F2CA9">
        <w:rPr>
          <w:noProof/>
          <w:position w:val="-8"/>
        </w:rPr>
        <w:pict w14:anchorId="3A94EEF5">
          <v:shape id="_x0000_i1034" type="#_x0000_t75" alt="" style="width:89.6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57E94&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A57E94&quot; wsp:rsidP=&quot;00A57E94&quot;&gt;&lt;m:oMathPara&gt;&lt;m:oMath&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Foreign Share&lt;/m:t&gt;&lt;/m:r&gt;&lt;/m:e&gt;&lt;m:sub&gt;&lt;m:r&gt;&lt;w:rPr&gt;&lt;w:rFonts w:ascii=&quot;Cambria Math&quot; w:h-ansi=&quot;Cambria Math&quot;/&gt;&lt;wx:font wx:val=&quot;Cambria Math&quot;/&gt;&lt;w:i/&gt;&lt;/w:rPr&gt;&lt;m:t&gt;i&lt;/m:t&gt;&lt;/m:r&gt;&lt;aml:annotation aml:id=&quot;0&quot; w:type=&quot;Word.Insertion&quot; aml:author=&quot;Mehtap Hisarciklilar&quot; aml:createdate=&quot;2020-05-18T14:15:00Z&quot;&gt;&lt;aml:content&gt;&lt;m:r&gt;&lt;w:rPr&gt;&lt;w:rFonts w:ascii=&quot;Cambria Math&quot; w:h-ansi=&quot;Cambria Math&quot;/&gt;&lt;wx:font wx:val=&quot;Cambria Math&quot;/&gt;&lt;w:i/&gt;&lt;/w:rPr&gt;&lt;m:t&gt;j&lt;/m:t&gt;&lt;/m:r&gt;&lt;/aml:content&gt;&lt;/aml:annotation&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B20192">
        <w:rPr>
          <w:bCs/>
        </w:rPr>
        <w:fldChar w:fldCharType="end"/>
      </w:r>
      <w:r w:rsidRPr="007D494B">
        <w:rPr>
          <w:bCs/>
        </w:rPr>
        <w:t xml:space="preserve"> is </w:t>
      </w:r>
      <w:r w:rsidR="00016864">
        <w:rPr>
          <w:bCs/>
        </w:rPr>
        <w:t>the share of foreign firms in industry employment</w:t>
      </w:r>
      <w:r w:rsidR="00F20338">
        <w:rPr>
          <w:bCs/>
        </w:rPr>
        <w:t xml:space="preserve"> – foreign firms being defined as those in which at least 10% of the equity belongs to foreign entities.</w:t>
      </w:r>
      <w:r w:rsidR="00016864">
        <w:rPr>
          <w:bCs/>
        </w:rPr>
        <w:t xml:space="preserve"> </w:t>
      </w:r>
    </w:p>
    <w:p w14:paraId="6508810D" w14:textId="77777777" w:rsidR="00C714AD" w:rsidRPr="007D494B" w:rsidRDefault="00C714AD" w:rsidP="00204235">
      <w:pPr>
        <w:widowControl w:val="0"/>
        <w:autoSpaceDE w:val="0"/>
        <w:autoSpaceDN w:val="0"/>
        <w:adjustRightInd w:val="0"/>
        <w:spacing w:after="240" w:line="360" w:lineRule="auto"/>
        <w:jc w:val="both"/>
        <w:rPr>
          <w:bCs/>
        </w:rPr>
      </w:pPr>
      <w:r w:rsidRPr="007D494B">
        <w:rPr>
          <w:bCs/>
        </w:rPr>
        <w:t xml:space="preserve">Vertical FDI spillovers refer to the knowledge transmitted between firms in upstream and downstream </w:t>
      </w:r>
      <w:r>
        <w:rPr>
          <w:bCs/>
        </w:rPr>
        <w:t>industries</w:t>
      </w:r>
      <w:r w:rsidRPr="007D494B">
        <w:rPr>
          <w:bCs/>
        </w:rPr>
        <w:t>. As explained</w:t>
      </w:r>
      <w:r>
        <w:rPr>
          <w:bCs/>
        </w:rPr>
        <w:t>,</w:t>
      </w:r>
      <w:r w:rsidRPr="007D494B">
        <w:rPr>
          <w:bCs/>
        </w:rPr>
        <w:t xml:space="preserve"> backward FDI spillovers account for the knowledge local suppliers absorb through supplying foreign customers. Forward FDI spillovers, on the other hand, refer to the knowledge local customers absorb via buying inputs from foreign suppliers. These FDI spillovers are defined as follow</w:t>
      </w:r>
      <w:r w:rsidR="00866DE4">
        <w:rPr>
          <w:bCs/>
        </w:rPr>
        <w:t>s</w:t>
      </w:r>
      <w:r w:rsidRPr="007D494B">
        <w:rPr>
          <w:bCs/>
        </w:rPr>
        <w:t>:</w:t>
      </w:r>
    </w:p>
    <w:p w14:paraId="124BB1E2" w14:textId="77777777" w:rsidR="00C714AD" w:rsidRPr="007D494B" w:rsidRDefault="00C714AD" w:rsidP="00C714AD">
      <w:pPr>
        <w:widowControl w:val="0"/>
        <w:autoSpaceDE w:val="0"/>
        <w:autoSpaceDN w:val="0"/>
        <w:adjustRightInd w:val="0"/>
        <w:spacing w:after="240"/>
        <w:jc w:val="both"/>
        <w:rPr>
          <w:bCs/>
        </w:rPr>
      </w:pPr>
      <w:r w:rsidRPr="00B20192">
        <w:rPr>
          <w:bCs/>
        </w:rPr>
        <w:fldChar w:fldCharType="begin"/>
      </w:r>
      <w:r w:rsidRPr="00B20192">
        <w:rPr>
          <w:bCs/>
        </w:rPr>
        <w:instrText xml:space="preserve"> QUOTE </w:instrText>
      </w:r>
      <w:r w:rsidR="001F2CA9">
        <w:rPr>
          <w:noProof/>
          <w:position w:val="-8"/>
        </w:rPr>
        <w:pict w14:anchorId="38B92553">
          <v:shape id="_x0000_i1035" type="#_x0000_t75" alt="" style="width:204.3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11C2B&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D11C2B&quot; wsp:rsidP=&quot;00D11C2B&quot;&gt;&lt;m:oMathPara&gt;&lt;m:oMath&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Backward&lt;/m:t&gt;&lt;/m:r&gt;&lt;/m:e&gt;&lt;m:sub&gt;&lt;m:r&gt;&lt;w:rPr&gt;&lt;w:rFonts w:ascii=&quot;Cambria Math&quot; w:h-ansi=&quot;Cambria Math&quot;/&gt;&lt;wx:font wx:val=&quot;Cambria Math&quot;/&gt;&lt;w:i/&gt;&lt;/w:rPr&gt;&lt;m:t&gt;j&lt;/m:t&gt;&lt;/m:r&gt;&lt;/m:sub&gt;&lt;/m:sSub&gt;&lt;m:r&gt;&lt;w:rPr&gt;&lt;w:rFonts w:ascii=&quot;Cambria Math&quot; w:h-ansi=&quot;Cambria Math&quot;/&gt;&lt;wx:font wx:val=&quot;Cambria Math&quot;/&gt;&lt;w:i/&gt;&lt;/w:rPr&gt;&lt;m:t&gt;=&lt;/m:t&gt;&lt;/m:r&gt;&lt;m:nary&gt;&lt;m:naryPr&gt;&lt;m:chr m:val=&quot;‚àë&quot;/&gt;&lt;m:limLoc m:val=&quot;subSup&quot;/&gt;&lt;m:supHide m:val=&quot;1&quot;/&gt;&lt;m:ctrlPr&gt;&lt;w:rPr&gt;&lt;w:rFonts w:ascii=&quot;Cambria Math&quot; w:h-ansi=&quot;Cambria Math&quot;/&gt;&lt;wx:font wx:val=&quot;Cambria Math&quot;/&gt;&lt;w:b-cs/&gt;&lt;w:i/&gt;&lt;/w:rPr&gt;&lt;/m:ctrlPr&gt;&lt;/m:naryPr&gt;&lt;m:sub&gt;&lt;m:r&gt;&lt;w:rPr&gt;&lt;w:rFonts w:ascii=&quot;Cambria Math&quot; w:h-ansi=&quot;Cambria Math&quot;/&gt;&lt;wx:font wx:val=&quot;Cambria Math&quot;/&gt;&lt;w:i/&gt;&lt;/w:rPr&gt;&lt;m:t&gt;k if k‚â†j&lt;/m:t&gt;&lt;/m:r&gt;&lt;/m:sub&gt;&lt;m:sup/&gt;&lt;m:e&gt;&lt;m:sSub&gt;&lt;m:sSubPr&gt;&lt;m:ctrlPr&gt;&lt;w:rPr&gt;&lt;w:rFonts w:ascii=&quot;Cambria Math&quot; w:h-ansi=&quot;Cambria Math&quot;/&gt;&lt;wx:font wx:val=&quot;Cambria Math&quot;/&gt;&lt;w:b-cs/&gt;&lt;w:i/&gt;&lt;/w:rPr&gt;&lt;/m:ctrlPr&gt;&lt;/m:sSubPr&gt;&lt;m:e&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Œ±&lt;/m:t&gt;&lt;/m:r&gt;&lt;/m:e&gt;&lt;m:sub&gt;&lt;m:r&gt;&lt;w:rPr&gt;&lt;w:rFonts w:ascii=&quot;Cambria Math&quot; w:h-ansi=&quot;Cambria Math&quot;/&gt;&lt;wx:font wx:val=&quot;Cambria Math&quot;/&gt;&lt;w:i/&gt;&lt;/w:rPr&gt;&lt;m:t&gt;jk&lt;/m:t&gt;&lt;/m:r&gt;&lt;/m:sub&gt;&lt;/m:sSub&gt;&lt;m:r&gt;&lt;w:rPr&gt;&lt;w:rFonts w:ascii=&quot;Cambria Math&quot; w:h-ansi=&quot;Cambria Math&quot;/&gt;&lt;wx:font wx:val=&quot;Cambria Math&quot;/&gt;&lt;w:i/&gt;&lt;/w:rPr&gt;&lt;m:t&gt;*Horizontal&lt;/m:t&gt;&lt;/m:r&gt;&lt;/m:e&gt;&lt;m:sub&gt;&lt;m:r&gt;&lt;w:rPr&gt;&lt;w:rFonts w:ascii=&quot;Cambria Math&quot; w:h-ansi=&quot;Cambria Math&quot;/&gt;&lt;wx:font wx:val=&quot;Cambria Math&quot;/&gt;&lt;w:i/&gt;&lt;/w:rPr&gt;&lt;m:t&gt;k&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B20192">
        <w:rPr>
          <w:bCs/>
        </w:rPr>
        <w:instrText xml:space="preserve"> </w:instrText>
      </w:r>
      <w:r w:rsidRPr="00B20192">
        <w:rPr>
          <w:bCs/>
        </w:rPr>
        <w:fldChar w:fldCharType="separate"/>
      </w:r>
      <w:r w:rsidR="001F2CA9">
        <w:rPr>
          <w:noProof/>
          <w:position w:val="-8"/>
        </w:rPr>
        <w:pict w14:anchorId="74F0BFEF">
          <v:shape id="_x0000_i1036" type="#_x0000_t75" alt="" style="width:204.3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11C2B&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D11C2B&quot; wsp:rsidP=&quot;00D11C2B&quot;&gt;&lt;m:oMathPara&gt;&lt;m:oMath&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Backward&lt;/m:t&gt;&lt;/m:r&gt;&lt;/m:e&gt;&lt;m:sub&gt;&lt;m:r&gt;&lt;w:rPr&gt;&lt;w:rFonts w:ascii=&quot;Cambria Math&quot; w:h-ansi=&quot;Cambria Math&quot;/&gt;&lt;wx:font wx:val=&quot;Cambria Math&quot;/&gt;&lt;w:i/&gt;&lt;/w:rPr&gt;&lt;m:t&gt;j&lt;/m:t&gt;&lt;/m:r&gt;&lt;/m:sub&gt;&lt;/m:sSub&gt;&lt;m:r&gt;&lt;w:rPr&gt;&lt;w:rFonts w:ascii=&quot;Cambria Math&quot; w:h-ansi=&quot;Cambria Math&quot;/&gt;&lt;wx:font wx:val=&quot;Cambria Math&quot;/&gt;&lt;w:i/&gt;&lt;/w:rPr&gt;&lt;m:t&gt;=&lt;/m:t&gt;&lt;/m:r&gt;&lt;m:nary&gt;&lt;m:naryPr&gt;&lt;m:chr m:val=&quot;‚àë&quot;/&gt;&lt;m:limLoc m:val=&quot;subSup&quot;/&gt;&lt;m:supHide m:val=&quot;1&quot;/&gt;&lt;m:ctrlPr&gt;&lt;w:rPr&gt;&lt;w:rFonts w:ascii=&quot;Cambria Math&quot; w:h-ansi=&quot;Cambria Math&quot;/&gt;&lt;wx:font wx:val=&quot;Cambria Math&quot;/&gt;&lt;w:b-cs/&gt;&lt;w:i/&gt;&lt;/w:rPr&gt;&lt;/m:ctrlPr&gt;&lt;/m:naryPr&gt;&lt;m:sub&gt;&lt;m:r&gt;&lt;w:rPr&gt;&lt;w:rFonts w:ascii=&quot;Cambria Math&quot; w:h-ansi=&quot;Cambria Math&quot;/&gt;&lt;wx:font wx:val=&quot;Cambria Math&quot;/&gt;&lt;w:i/&gt;&lt;/w:rPr&gt;&lt;m:t&gt;k if k‚â†j&lt;/m:t&gt;&lt;/m:r&gt;&lt;/m:sub&gt;&lt;m:sup/&gt;&lt;m:e&gt;&lt;m:sSub&gt;&lt;m:sSubPr&gt;&lt;m:ctrlPr&gt;&lt;w:rPr&gt;&lt;w:rFonts w:ascii=&quot;Cambria Math&quot; w:h-ansi=&quot;Cambria Math&quot;/&gt;&lt;wx:font wx:val=&quot;Cambria Math&quot;/&gt;&lt;w:b-cs/&gt;&lt;w:i/&gt;&lt;/w:rPr&gt;&lt;/m:ctrlPr&gt;&lt;/m:sSubPr&gt;&lt;m:e&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Œ±&lt;/m:t&gt;&lt;/m:r&gt;&lt;/m:e&gt;&lt;m:sub&gt;&lt;m:r&gt;&lt;w:rPr&gt;&lt;w:rFonts w:ascii=&quot;Cambria Math&quot; w:h-ansi=&quot;Cambria Math&quot;/&gt;&lt;wx:font wx:val=&quot;Cambria Math&quot;/&gt;&lt;w:i/&gt;&lt;/w:rPr&gt;&lt;m:t&gt;jk&lt;/m:t&gt;&lt;/m:r&gt;&lt;/m:sub&gt;&lt;/m:sSub&gt;&lt;m:r&gt;&lt;w:rPr&gt;&lt;w:rFonts w:ascii=&quot;Cambria Math&quot; w:h-ansi=&quot;Cambria Math&quot;/&gt;&lt;wx:font wx:val=&quot;Cambria Math&quot;/&gt;&lt;w:i/&gt;&lt;/w:rPr&gt;&lt;m:t&gt;*Horizontal&lt;/m:t&gt;&lt;/m:r&gt;&lt;/m:e&gt;&lt;m:sub&gt;&lt;m:r&gt;&lt;w:rPr&gt;&lt;w:rFonts w:ascii=&quot;Cambria Math&quot; w:h-ansi=&quot;Cambria Math&quot;/&gt;&lt;wx:font wx:val=&quot;Cambria Math&quot;/&gt;&lt;w:i/&gt;&lt;/w:rPr&gt;&lt;m:t&gt;k&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B20192">
        <w:rPr>
          <w:bCs/>
        </w:rPr>
        <w:fldChar w:fldCharType="end"/>
      </w:r>
      <w:r w:rsidRPr="007D494B">
        <w:rPr>
          <w:bCs/>
        </w:rPr>
        <w:t xml:space="preserve"> </w:t>
      </w:r>
      <w:r w:rsidRPr="007D494B">
        <w:rPr>
          <w:bCs/>
        </w:rPr>
        <w:tab/>
        <w:t xml:space="preserve"> </w:t>
      </w:r>
      <w:r w:rsidRPr="007D494B">
        <w:rPr>
          <w:bCs/>
        </w:rPr>
        <w:tab/>
      </w:r>
      <w:r w:rsidRPr="007D494B">
        <w:rPr>
          <w:bCs/>
        </w:rPr>
        <w:tab/>
      </w:r>
      <w:r w:rsidRPr="007D494B">
        <w:rPr>
          <w:bCs/>
        </w:rPr>
        <w:tab/>
      </w:r>
      <w:r w:rsidR="00FE62B7">
        <w:rPr>
          <w:bCs/>
        </w:rPr>
        <w:t xml:space="preserve">    </w:t>
      </w:r>
      <w:r w:rsidRPr="007D494B">
        <w:rPr>
          <w:bCs/>
        </w:rPr>
        <w:t xml:space="preserve">        </w:t>
      </w:r>
      <w:r w:rsidRPr="007D494B">
        <w:rPr>
          <w:bCs/>
        </w:rPr>
        <w:tab/>
        <w:t xml:space="preserve">          </w:t>
      </w:r>
      <w:r w:rsidRPr="007D494B">
        <w:rPr>
          <w:bCs/>
        </w:rPr>
        <w:tab/>
        <w:t xml:space="preserve">          </w:t>
      </w:r>
      <w:r w:rsidR="00FE62B7">
        <w:rPr>
          <w:bCs/>
        </w:rPr>
        <w:t xml:space="preserve">  </w:t>
      </w:r>
      <w:r w:rsidRPr="007D494B">
        <w:rPr>
          <w:bCs/>
        </w:rPr>
        <w:t xml:space="preserve"> (13)</w:t>
      </w:r>
    </w:p>
    <w:p w14:paraId="7CF3DCA0" w14:textId="77777777" w:rsidR="00C714AD" w:rsidRPr="007D494B" w:rsidRDefault="00C714AD" w:rsidP="00C714AD">
      <w:pPr>
        <w:widowControl w:val="0"/>
        <w:autoSpaceDE w:val="0"/>
        <w:autoSpaceDN w:val="0"/>
        <w:adjustRightInd w:val="0"/>
        <w:spacing w:after="240"/>
        <w:jc w:val="both"/>
        <w:rPr>
          <w:bCs/>
        </w:rPr>
      </w:pPr>
      <w:r w:rsidRPr="00B20192">
        <w:rPr>
          <w:bCs/>
        </w:rPr>
        <w:fldChar w:fldCharType="begin"/>
      </w:r>
      <w:r w:rsidRPr="00B20192">
        <w:rPr>
          <w:bCs/>
        </w:rPr>
        <w:instrText xml:space="preserve"> QUOTE </w:instrText>
      </w:r>
      <w:r w:rsidR="001F2CA9">
        <w:rPr>
          <w:noProof/>
          <w:position w:val="-8"/>
        </w:rPr>
        <w:pict w14:anchorId="47D6F7A2">
          <v:shape id="_x0000_i1037" type="#_x0000_t75" alt="" style="width:201.6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CE1&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B50CE1&quot; wsp:rsidP=&quot;00B50CE1&quot;&gt;&lt;m:oMathPara&gt;&lt;m:oMath&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Forward&lt;/m:t&gt;&lt;/m:r&gt;&lt;/m:e&gt;&lt;m:sub&gt;&lt;m:r&gt;&lt;w:rPr&gt;&lt;w:rFonts w:ascii=&quot;Cambria Math&quot; w:h-ansi=&quot;Cambria Math&quot;/&gt;&lt;wx:font wx:val=&quot;Cambria Math&quot;/&gt;&lt;w:i/&gt;&lt;/w:rPr&gt;&lt;m:t&gt;j&lt;/m:t&gt;&lt;/m:r&gt;&lt;/m:sub&gt;&lt;/m:sSub&gt;&lt;m:r&gt;&lt;w:rPr&gt;&lt;w:rFonts w:ascii=&quot;Cambria Math&quot; w:h-ansi=&quot;Cambria Math&quot;/&gt;&lt;wx:font wx:val=&quot;Cambria Math&quot;/&gt;&lt;w:i/&gt;&lt;/w:rPr&gt;&lt;m:t&gt;=&lt;/m:t&gt;&lt;/m:r&gt;&lt;m:nary&gt;&lt;m:naryPr&gt;&lt;m:chr m:val=&quot;‚àë&quot;/&gt;&lt;m:limLoc m:val=&quot;subSup&quot;/&gt;&lt;m:supHide m:val=&quot;1&quot;/&gt;&lt;m:ctrlPr&gt;&lt;w:rPr&gt;&lt;w:rFonts w:ascii=&quot;Cambria Math&quot; w:h-ansi=&quot;Cambria Math&quot;/&gt;&lt;wx:font wx:val=&quot;Cambria Math&quot;/&gt;&lt;w:b-cs/&gt;&lt;w:i/&gt;&lt;/w:rPr&gt;&lt;/m:ctrlPr&gt;&lt;/m:naryPr&gt;&lt;m:sub&gt;&lt;m:r&gt;&lt;w:rPr&gt;&lt;w:rFonts w:ascii=&quot;Cambria Math&quot; w:h-ansi=&quot;Cambria Math&quot;/&gt;&lt;wx:font wx:val=&quot;Cambria Math&quot;/&gt;&lt;w:i/&gt;&lt;/w:rPr&gt;&lt;m:t&gt;k if k‚â†j&lt;/m:t&gt;&lt;/m:r&gt;&lt;/m:sub&gt;&lt;m:sup/&gt;&lt;m:e&gt;&lt;m:sSub&gt;&lt;m:sSubPr&gt;&lt;m:ctrlPr&gt;&lt;w:rPr&gt;&lt;w:rFonts w:ascii=&quot;Cambria Math&quot; w:h-ansi=&quot;Cambria Math&quot;/&gt;&lt;wx:font wx:val=&quot;Cambria Math&quot;/&gt;&lt;w:b-cs/&gt;&lt;w:i/&gt;&lt;/w:rPr&gt;&lt;/m:ctrlPr&gt;&lt;/m:sSubPr&gt;&lt;m:e&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Œ±&lt;/m:t&gt;&lt;/m:r&gt;&lt;/m:e&gt;&lt;m:sub&gt;&lt;m:r&gt;&lt;w:rPr&gt;&lt;w:rFonts w:ascii=&quot;Cambria Math&quot; w:h-ansi=&quot;Cambria Math&quot;/&gt;&lt;wx:font wx:val=&quot;Cambria Math&quot;/&gt;&lt;w:i/&gt;&lt;/w:rPr&gt;&lt;m:t&gt;kj&lt;/m:t&gt;&lt;/m:r&gt;&lt;/m:sub&gt;&lt;/m:sSub&gt;&lt;m:r&gt;&lt;w:rPr&gt;&lt;w:rFonts w:ascii=&quot;Cambria Math&quot; w:h-ansi=&quot;Cambria Math&quot;/&gt;&lt;wx:font wx:val=&quot;Cambria Math&quot;/&gt;&lt;w:i/&gt;&lt;/w:rPr&gt;&lt;m:t&gt;*Horizontal&lt;/m:t&gt;&lt;/m:r&gt;&lt;/m:e&gt;&lt;m:sub&gt;&lt;m:r&gt;&lt;w:rPr&gt;&lt;w:rFonts w:ascii=&quot;Cambria Math&quot; w:h-ansi=&quot;Cambria Math&quot;/&gt;&lt;wx:font wx:val=&quot;Cambria Math&quot;/&gt;&lt;w:i/&gt;&lt;/w:rPr&gt;&lt;m:t&gt;k &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B20192">
        <w:rPr>
          <w:bCs/>
        </w:rPr>
        <w:instrText xml:space="preserve"> </w:instrText>
      </w:r>
      <w:r w:rsidRPr="00B20192">
        <w:rPr>
          <w:bCs/>
        </w:rPr>
        <w:fldChar w:fldCharType="separate"/>
      </w:r>
      <w:r w:rsidR="001F2CA9">
        <w:rPr>
          <w:noProof/>
          <w:position w:val="-8"/>
        </w:rPr>
        <w:pict w14:anchorId="10224536">
          <v:shape id="_x0000_i1038" type="#_x0000_t75" alt="" style="width:201.6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CE1&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B50CE1&quot; wsp:rsidP=&quot;00B50CE1&quot;&gt;&lt;m:oMathPara&gt;&lt;m:oMath&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Forward&lt;/m:t&gt;&lt;/m:r&gt;&lt;/m:e&gt;&lt;m:sub&gt;&lt;m:r&gt;&lt;w:rPr&gt;&lt;w:rFonts w:ascii=&quot;Cambria Math&quot; w:h-ansi=&quot;Cambria Math&quot;/&gt;&lt;wx:font wx:val=&quot;Cambria Math&quot;/&gt;&lt;w:i/&gt;&lt;/w:rPr&gt;&lt;m:t&gt;j&lt;/m:t&gt;&lt;/m:r&gt;&lt;/m:sub&gt;&lt;/m:sSub&gt;&lt;m:r&gt;&lt;w:rPr&gt;&lt;w:rFonts w:ascii=&quot;Cambria Math&quot; w:h-ansi=&quot;Cambria Math&quot;/&gt;&lt;wx:font wx:val=&quot;Cambria Math&quot;/&gt;&lt;w:i/&gt;&lt;/w:rPr&gt;&lt;m:t&gt;=&lt;/m:t&gt;&lt;/m:r&gt;&lt;m:nary&gt;&lt;m:naryPr&gt;&lt;m:chr m:val=&quot;‚àë&quot;/&gt;&lt;m:limLoc m:val=&quot;subSup&quot;/&gt;&lt;m:supHide m:val=&quot;1&quot;/&gt;&lt;m:ctrlPr&gt;&lt;w:rPr&gt;&lt;w:rFonts w:ascii=&quot;Cambria Math&quot; w:h-ansi=&quot;Cambria Math&quot;/&gt;&lt;wx:font wx:val=&quot;Cambria Math&quot;/&gt;&lt;w:b-cs/&gt;&lt;w:i/&gt;&lt;/w:rPr&gt;&lt;/m:ctrlPr&gt;&lt;/m:naryPr&gt;&lt;m:sub&gt;&lt;m:r&gt;&lt;w:rPr&gt;&lt;w:rFonts w:ascii=&quot;Cambria Math&quot; w:h-ansi=&quot;Cambria Math&quot;/&gt;&lt;wx:font wx:val=&quot;Cambria Math&quot;/&gt;&lt;w:i/&gt;&lt;/w:rPr&gt;&lt;m:t&gt;k if k‚â†j&lt;/m:t&gt;&lt;/m:r&gt;&lt;/m:sub&gt;&lt;m:sup/&gt;&lt;m:e&gt;&lt;m:sSub&gt;&lt;m:sSubPr&gt;&lt;m:ctrlPr&gt;&lt;w:rPr&gt;&lt;w:rFonts w:ascii=&quot;Cambria Math&quot; w:h-ansi=&quot;Cambria Math&quot;/&gt;&lt;wx:font wx:val=&quot;Cambria Math&quot;/&gt;&lt;w:b-cs/&gt;&lt;w:i/&gt;&lt;/w:rPr&gt;&lt;/m:ctrlPr&gt;&lt;/m:sSubPr&gt;&lt;m:e&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Œ±&lt;/m:t&gt;&lt;/m:r&gt;&lt;/m:e&gt;&lt;m:sub&gt;&lt;m:r&gt;&lt;w:rPr&gt;&lt;w:rFonts w:ascii=&quot;Cambria Math&quot; w:h-ansi=&quot;Cambria Math&quot;/&gt;&lt;wx:font wx:val=&quot;Cambria Math&quot;/&gt;&lt;w:i/&gt;&lt;/w:rPr&gt;&lt;m:t&gt;kj&lt;/m:t&gt;&lt;/m:r&gt;&lt;/m:sub&gt;&lt;/m:sSub&gt;&lt;m:r&gt;&lt;w:rPr&gt;&lt;w:rFonts w:ascii=&quot;Cambria Math&quot; w:h-ansi=&quot;Cambria Math&quot;/&gt;&lt;wx:font wx:val=&quot;Cambria Math&quot;/&gt;&lt;w:i/&gt;&lt;/w:rPr&gt;&lt;m:t&gt;*Horizontal&lt;/m:t&gt;&lt;/m:r&gt;&lt;/m:e&gt;&lt;m:sub&gt;&lt;m:r&gt;&lt;w:rPr&gt;&lt;w:rFonts w:ascii=&quot;Cambria Math&quot; w:h-ansi=&quot;Cambria Math&quot;/&gt;&lt;wx:font wx:val=&quot;Cambria Math&quot;/&gt;&lt;w:i/&gt;&lt;/w:rPr&gt;&lt;m:t&gt;k &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B20192">
        <w:rPr>
          <w:bCs/>
        </w:rPr>
        <w:fldChar w:fldCharType="end"/>
      </w:r>
      <w:r w:rsidRPr="007D494B">
        <w:rPr>
          <w:bCs/>
        </w:rPr>
        <w:tab/>
      </w:r>
      <w:r w:rsidRPr="007D494B">
        <w:rPr>
          <w:bCs/>
        </w:rPr>
        <w:tab/>
      </w:r>
      <w:r w:rsidRPr="007D494B">
        <w:rPr>
          <w:bCs/>
        </w:rPr>
        <w:tab/>
      </w:r>
      <w:r w:rsidRPr="007D494B">
        <w:rPr>
          <w:bCs/>
        </w:rPr>
        <w:tab/>
        <w:t xml:space="preserve">                                  </w:t>
      </w:r>
      <w:r w:rsidR="00FE62B7">
        <w:rPr>
          <w:bCs/>
        </w:rPr>
        <w:t xml:space="preserve">    </w:t>
      </w:r>
      <w:r w:rsidRPr="007D494B">
        <w:rPr>
          <w:bCs/>
        </w:rPr>
        <w:t xml:space="preserve"> (14)</w:t>
      </w:r>
    </w:p>
    <w:p w14:paraId="3263E8CD" w14:textId="77777777" w:rsidR="00FB3205" w:rsidRDefault="00F73949" w:rsidP="00204235">
      <w:pPr>
        <w:widowControl w:val="0"/>
        <w:autoSpaceDE w:val="0"/>
        <w:autoSpaceDN w:val="0"/>
        <w:adjustRightInd w:val="0"/>
        <w:spacing w:after="240" w:line="360" w:lineRule="auto"/>
        <w:jc w:val="both"/>
        <w:rPr>
          <w:bCs/>
        </w:rPr>
      </w:pPr>
      <w:r>
        <w:rPr>
          <w:bCs/>
        </w:rPr>
        <w:t xml:space="preserve">where </w:t>
      </w:r>
      <w:r w:rsidR="00C714AD" w:rsidRPr="00B20192">
        <w:rPr>
          <w:bCs/>
        </w:rPr>
        <w:fldChar w:fldCharType="begin"/>
      </w:r>
      <w:r w:rsidR="00C714AD" w:rsidRPr="00B20192">
        <w:rPr>
          <w:bCs/>
        </w:rPr>
        <w:instrText xml:space="preserve"> QUOTE </w:instrText>
      </w:r>
      <w:r w:rsidR="001F2CA9">
        <w:rPr>
          <w:noProof/>
          <w:position w:val="-8"/>
        </w:rPr>
        <w:pict w14:anchorId="3CCB558A">
          <v:shape id="_x0000_i1039" type="#_x0000_t75" alt="" style="width:17.6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47F16&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947F16&quot; wsp:rsidP=&quot;00947F16&quot;&gt;&lt;m:oMathPara&gt;&lt;m:oMath&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Œ±&lt;/m:t&gt;&lt;/m:r&gt;&lt;/m:e&gt;&lt;m:sub&gt;&lt;m:r&gt;&lt;w:rPr&gt;&lt;w:rFonts w:ascii=&quot;Cambria Math&quot; w:h-ansi=&quot;Cambria Math&quot;/&gt;&lt;wx:font wx:val=&quot;Cambria Math&quot;/&gt;&lt;w:i/&gt;&lt;/w:rPr&gt;&lt;m:t&gt;jk&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00C714AD" w:rsidRPr="00B20192">
        <w:rPr>
          <w:bCs/>
        </w:rPr>
        <w:instrText xml:space="preserve"> </w:instrText>
      </w:r>
      <w:r w:rsidR="00C714AD" w:rsidRPr="00B20192">
        <w:rPr>
          <w:bCs/>
        </w:rPr>
        <w:fldChar w:fldCharType="separate"/>
      </w:r>
      <w:r w:rsidR="001F2CA9">
        <w:rPr>
          <w:noProof/>
          <w:position w:val="-8"/>
        </w:rPr>
        <w:pict w14:anchorId="5CA5E0E8">
          <v:shape id="_x0000_i1040" type="#_x0000_t75" alt="" style="width:17.6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47F16&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947F16&quot; wsp:rsidP=&quot;00947F16&quot;&gt;&lt;m:oMathPara&gt;&lt;m:oMath&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Œ±&lt;/m:t&gt;&lt;/m:r&gt;&lt;/m:e&gt;&lt;m:sub&gt;&lt;m:r&gt;&lt;w:rPr&gt;&lt;w:rFonts w:ascii=&quot;Cambria Math&quot; w:h-ansi=&quot;Cambria Math&quot;/&gt;&lt;wx:font wx:val=&quot;Cambria Math&quot;/&gt;&lt;w:i/&gt;&lt;/w:rPr&gt;&lt;m:t&gt;jk&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00C714AD" w:rsidRPr="00B20192">
        <w:rPr>
          <w:bCs/>
        </w:rPr>
        <w:fldChar w:fldCharType="end"/>
      </w:r>
      <w:r w:rsidR="00C714AD" w:rsidRPr="007D494B">
        <w:rPr>
          <w:bCs/>
        </w:rPr>
        <w:t xml:space="preserve"> represents the proportion of industry </w:t>
      </w:r>
      <w:r w:rsidR="00C714AD" w:rsidRPr="007D494B">
        <w:rPr>
          <w:bCs/>
          <w:i/>
        </w:rPr>
        <w:t>j</w:t>
      </w:r>
      <w:r w:rsidR="00C714AD" w:rsidRPr="007D494B">
        <w:rPr>
          <w:bCs/>
        </w:rPr>
        <w:t xml:space="preserve">’s output supplied to industry </w:t>
      </w:r>
      <w:r w:rsidR="00C714AD" w:rsidRPr="007D494B">
        <w:rPr>
          <w:bCs/>
          <w:i/>
        </w:rPr>
        <w:t>k</w:t>
      </w:r>
      <w:r w:rsidR="00C714AD" w:rsidRPr="007D494B">
        <w:rPr>
          <w:bCs/>
        </w:rPr>
        <w:t xml:space="preserve">. </w:t>
      </w:r>
      <w:r w:rsidR="00C714AD" w:rsidRPr="00B20192">
        <w:rPr>
          <w:bCs/>
          <w:vertAlign w:val="subscript"/>
        </w:rPr>
        <w:fldChar w:fldCharType="begin"/>
      </w:r>
      <w:r w:rsidR="00C714AD" w:rsidRPr="00B20192">
        <w:rPr>
          <w:bCs/>
          <w:vertAlign w:val="subscript"/>
        </w:rPr>
        <w:instrText xml:space="preserve"> QUOTE </w:instrText>
      </w:r>
      <w:r w:rsidR="001F2CA9">
        <w:rPr>
          <w:noProof/>
          <w:position w:val="-8"/>
        </w:rPr>
        <w:pict w14:anchorId="6CEA268B">
          <v:shape id="_x0000_i1041" type="#_x0000_t75" alt="" style="width:17.6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C6C90&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CC6C90&quot; wsp:rsidP=&quot;00CC6C90&quot;&gt;&lt;m:oMathPara&gt;&lt;m:oMath&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Œ±&lt;/m:t&gt;&lt;/m:r&gt;&lt;/m:e&gt;&lt;m:sub&gt;&lt;m:r&gt;&lt;w:rPr&gt;&lt;w:rFonts w:ascii=&quot;Cambria Math&quot; w:h-ansi=&quot;Cambria Math&quot;/&gt;&lt;wx:font wx:val=&quot;Cambria Math&quot;/&gt;&lt;w:i/&gt;&lt;/w:rPr&gt;&lt;m:t&gt;kj&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00C714AD" w:rsidRPr="00B20192">
        <w:rPr>
          <w:bCs/>
          <w:vertAlign w:val="subscript"/>
        </w:rPr>
        <w:instrText xml:space="preserve"> </w:instrText>
      </w:r>
      <w:r w:rsidR="00C714AD" w:rsidRPr="00B20192">
        <w:rPr>
          <w:bCs/>
          <w:vertAlign w:val="subscript"/>
        </w:rPr>
        <w:fldChar w:fldCharType="separate"/>
      </w:r>
      <w:r w:rsidR="001F2CA9">
        <w:rPr>
          <w:noProof/>
          <w:position w:val="-8"/>
        </w:rPr>
        <w:pict w14:anchorId="16461B1E">
          <v:shape id="_x0000_i1042" type="#_x0000_t75" alt="" style="width:17.6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C6C90&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CC6C90&quot; wsp:rsidP=&quot;00CC6C90&quot;&gt;&lt;m:oMathPara&gt;&lt;m:oMath&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Œ±&lt;/m:t&gt;&lt;/m:r&gt;&lt;/m:e&gt;&lt;m:sub&gt;&lt;m:r&gt;&lt;w:rPr&gt;&lt;w:rFonts w:ascii=&quot;Cambria Math&quot; w:h-ansi=&quot;Cambria Math&quot;/&gt;&lt;wx:font wx:val=&quot;Cambria Math&quot;/&gt;&lt;w:i/&gt;&lt;/w:rPr&gt;&lt;m:t&gt;kj&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00C714AD" w:rsidRPr="00B20192">
        <w:rPr>
          <w:bCs/>
          <w:vertAlign w:val="subscript"/>
        </w:rPr>
        <w:fldChar w:fldCharType="end"/>
      </w:r>
      <w:r w:rsidR="00C714AD" w:rsidRPr="007D494B">
        <w:rPr>
          <w:bCs/>
          <w:vertAlign w:val="subscript"/>
        </w:rPr>
        <w:t xml:space="preserve"> </w:t>
      </w:r>
      <w:r w:rsidR="00C714AD" w:rsidRPr="007D494B">
        <w:rPr>
          <w:bCs/>
        </w:rPr>
        <w:t>is the proportion of inputs of industry</w:t>
      </w:r>
      <w:r w:rsidR="00C714AD" w:rsidRPr="007D494B">
        <w:rPr>
          <w:bCs/>
          <w:i/>
        </w:rPr>
        <w:t xml:space="preserve"> j</w:t>
      </w:r>
      <w:r w:rsidR="00C714AD" w:rsidRPr="007D494B">
        <w:rPr>
          <w:bCs/>
        </w:rPr>
        <w:t xml:space="preserve"> purchased from industry </w:t>
      </w:r>
      <w:r w:rsidR="00C714AD" w:rsidRPr="007D494B">
        <w:rPr>
          <w:bCs/>
          <w:i/>
        </w:rPr>
        <w:t>k</w:t>
      </w:r>
      <w:r w:rsidR="00C714AD" w:rsidRPr="007D494B">
        <w:rPr>
          <w:bCs/>
        </w:rPr>
        <w:t>. The</w:t>
      </w:r>
      <w:r w:rsidR="00690465">
        <w:rPr>
          <w:bCs/>
        </w:rPr>
        <w:t>se</w:t>
      </w:r>
      <w:r w:rsidR="00C714AD" w:rsidRPr="007D494B">
        <w:rPr>
          <w:bCs/>
        </w:rPr>
        <w:t xml:space="preserve"> industry-specific parameters reflect the customer-supplier relationship prevailing between all sectors. </w:t>
      </w:r>
      <w:r w:rsidR="00C714AD" w:rsidRPr="00B20192">
        <w:rPr>
          <w:bCs/>
        </w:rPr>
        <w:fldChar w:fldCharType="begin"/>
      </w:r>
      <w:r w:rsidR="00C714AD" w:rsidRPr="00B20192">
        <w:rPr>
          <w:bCs/>
        </w:rPr>
        <w:instrText xml:space="preserve"> QUOTE </w:instrText>
      </w:r>
      <w:r w:rsidR="001F2CA9">
        <w:rPr>
          <w:noProof/>
          <w:position w:val="-8"/>
        </w:rPr>
        <w:pict w14:anchorId="6AE74D29">
          <v:shape id="_x0000_i1043" type="#_x0000_t75" alt="" style="width:17.6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6C2B&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DC6C2B&quot; wsp:rsidP=&quot;00DC6C2B&quot;&gt;&lt;m:oMathPara&gt;&lt;m:oMath&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Œ±&lt;/m:t&gt;&lt;/m:r&gt;&lt;/m:e&gt;&lt;m:sub&gt;&lt;m:r&gt;&lt;w:rPr&gt;&lt;w:rFonts w:ascii=&quot;Cambria Math&quot; w:h-ansi=&quot;Cambria Math&quot;/&gt;&lt;wx:font wx:val=&quot;Cambria Math&quot;/&gt;&lt;w:i/&gt;&lt;/w:rPr&gt;&lt;m:t&gt;jk&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00C714AD" w:rsidRPr="00B20192">
        <w:rPr>
          <w:bCs/>
        </w:rPr>
        <w:instrText xml:space="preserve"> </w:instrText>
      </w:r>
      <w:r w:rsidR="00C714AD" w:rsidRPr="00B20192">
        <w:rPr>
          <w:bCs/>
        </w:rPr>
        <w:fldChar w:fldCharType="separate"/>
      </w:r>
      <w:r w:rsidR="001F2CA9">
        <w:rPr>
          <w:noProof/>
          <w:position w:val="-8"/>
        </w:rPr>
        <w:pict w14:anchorId="0737ED6D">
          <v:shape id="_x0000_i1044" type="#_x0000_t75" alt="" style="width:17.6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6C2B&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DC6C2B&quot; wsp:rsidP=&quot;00DC6C2B&quot;&gt;&lt;m:oMathPara&gt;&lt;m:oMath&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Œ±&lt;/m:t&gt;&lt;/m:r&gt;&lt;/m:e&gt;&lt;m:sub&gt;&lt;m:r&gt;&lt;w:rPr&gt;&lt;w:rFonts w:ascii=&quot;Cambria Math&quot; w:h-ansi=&quot;Cambria Math&quot;/&gt;&lt;wx:font wx:val=&quot;Cambria Math&quot;/&gt;&lt;w:i/&gt;&lt;/w:rPr&gt;&lt;m:t&gt;jk&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00C714AD" w:rsidRPr="00B20192">
        <w:rPr>
          <w:bCs/>
        </w:rPr>
        <w:fldChar w:fldCharType="end"/>
      </w:r>
      <w:r w:rsidR="00C714AD" w:rsidRPr="007D494B">
        <w:rPr>
          <w:bCs/>
        </w:rPr>
        <w:t xml:space="preserve"> and </w:t>
      </w:r>
      <w:r w:rsidR="00C714AD" w:rsidRPr="00B20192">
        <w:rPr>
          <w:bCs/>
        </w:rPr>
        <w:fldChar w:fldCharType="begin"/>
      </w:r>
      <w:r w:rsidR="00C714AD" w:rsidRPr="00B20192">
        <w:rPr>
          <w:bCs/>
        </w:rPr>
        <w:instrText xml:space="preserve"> QUOTE </w:instrText>
      </w:r>
      <w:r w:rsidR="001F2CA9">
        <w:rPr>
          <w:noProof/>
          <w:position w:val="-8"/>
        </w:rPr>
        <w:pict w14:anchorId="0D6C2172">
          <v:shape id="_x0000_i1045" type="#_x0000_t75" alt="" style="width:17.6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A29C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4A29CB&quot; wsp:rsidP=&quot;004A29CB&quot;&gt;&lt;m:oMathPara&gt;&lt;m:oMath&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Œ±&lt;/m:t&gt;&lt;/m:r&gt;&lt;/m:e&gt;&lt;m:sub&gt;&lt;m:r&gt;&lt;w:rPr&gt;&lt;w:rFonts w:ascii=&quot;Cambria Math&quot; w:h-ansi=&quot;Cambria Math&quot;/&gt;&lt;wx:font wx:val=&quot;Cambria Math&quot;/&gt;&lt;w:i/&gt;&lt;/w:rPr&gt;&lt;m:t&gt;kj&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00C714AD" w:rsidRPr="00B20192">
        <w:rPr>
          <w:bCs/>
        </w:rPr>
        <w:instrText xml:space="preserve"> </w:instrText>
      </w:r>
      <w:r w:rsidR="00C714AD" w:rsidRPr="00B20192">
        <w:rPr>
          <w:bCs/>
        </w:rPr>
        <w:fldChar w:fldCharType="separate"/>
      </w:r>
      <w:r w:rsidR="001F2CA9">
        <w:rPr>
          <w:noProof/>
          <w:position w:val="-8"/>
        </w:rPr>
        <w:pict w14:anchorId="15761892">
          <v:shape id="_x0000_i1046" type="#_x0000_t75" alt="" style="width:17.65pt;height:17.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A29C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4A29CB&quot; wsp:rsidP=&quot;004A29CB&quot;&gt;&lt;m:oMathPara&gt;&lt;m:oMath&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Œ±&lt;/m:t&gt;&lt;/m:r&gt;&lt;/m:e&gt;&lt;m:sub&gt;&lt;m:r&gt;&lt;w:rPr&gt;&lt;w:rFonts w:ascii=&quot;Cambria Math&quot; w:h-ansi=&quot;Cambria Math&quot;/&gt;&lt;wx:font wx:val=&quot;Cambria Math&quot;/&gt;&lt;w:i/&gt;&lt;/w:rPr&gt;&lt;m:t&gt;kj&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00C714AD" w:rsidRPr="00B20192">
        <w:rPr>
          <w:bCs/>
        </w:rPr>
        <w:fldChar w:fldCharType="end"/>
      </w:r>
      <w:r w:rsidR="00C714AD" w:rsidRPr="007D494B">
        <w:rPr>
          <w:bCs/>
        </w:rPr>
        <w:t xml:space="preserve"> are calculated using 2010 Input-Output (IO) tables for Serbia (from Eora multi-region input-output table (MRIO) database)</w:t>
      </w:r>
      <w:r w:rsidR="00C714AD" w:rsidRPr="007D494B">
        <w:rPr>
          <w:bCs/>
          <w:vertAlign w:val="superscript"/>
        </w:rPr>
        <w:footnoteReference w:id="6"/>
      </w:r>
      <w:r w:rsidR="00C714AD" w:rsidRPr="007D494B">
        <w:rPr>
          <w:bCs/>
        </w:rPr>
        <w:t xml:space="preserve"> and then multiplied with the corresponding horizontal FDI spillovers, resulting in backward and forward spillovers.</w:t>
      </w:r>
      <w:r w:rsidR="00FB3205">
        <w:rPr>
          <w:bCs/>
        </w:rPr>
        <w:t xml:space="preserve"> </w:t>
      </w:r>
      <w:r w:rsidR="00FB3205" w:rsidRPr="00FB3205">
        <w:rPr>
          <w:bCs/>
        </w:rPr>
        <w:t xml:space="preserve">Unlike horizontal spillovers, vertical spillovers are aggregated at either one- or two-digit NACE industry level (a combination of these two levels of aggregation), which is dictated by the available IO tables. Hence, instead of accounting for learning through vertical linkages between firms operating in closely-related industries, these measures account for learning at more aggregated level. It is also argued that firms that do not share very similar technological content have a lot to learn from one another as the scope for learning between them increases (Autant-Bernard and LeSage, 2011). </w:t>
      </w:r>
    </w:p>
    <w:p w14:paraId="3DE6D1EC" w14:textId="77777777" w:rsidR="00783E92" w:rsidRPr="00FB3205" w:rsidRDefault="00783E92" w:rsidP="00204235">
      <w:pPr>
        <w:widowControl w:val="0"/>
        <w:autoSpaceDE w:val="0"/>
        <w:autoSpaceDN w:val="0"/>
        <w:adjustRightInd w:val="0"/>
        <w:spacing w:after="240" w:line="360" w:lineRule="auto"/>
        <w:jc w:val="both"/>
        <w:rPr>
          <w:bCs/>
        </w:rPr>
      </w:pPr>
      <w:r w:rsidRPr="00783E92">
        <w:rPr>
          <w:bCs/>
        </w:rPr>
        <w:t>Competition is proxied by the Hirshman-Herfindahl index</w:t>
      </w:r>
      <w:r w:rsidR="00C01DFF" w:rsidRPr="00783E92">
        <w:rPr>
          <w:bCs/>
        </w:rPr>
        <w:t xml:space="preserve"> (</w:t>
      </w:r>
      <w:r w:rsidR="00C01DFF" w:rsidRPr="00783E92">
        <w:rPr>
          <w:bCs/>
          <w:i/>
          <w:iCs/>
        </w:rPr>
        <w:t>HH</w:t>
      </w:r>
      <w:r w:rsidR="00C01DFF" w:rsidRPr="00783E92">
        <w:rPr>
          <w:bCs/>
        </w:rPr>
        <w:t>)</w:t>
      </w:r>
      <w:r w:rsidRPr="00783E92">
        <w:rPr>
          <w:bCs/>
        </w:rPr>
        <w:t xml:space="preserve">, which is the sum of the squared shares of firms’ sales in total industry sales, aggregated at 3 digit NACE industry level. Controlling for competition is important because FDI influences innovation through the increased competition too, in which case not controlling for it may lead to biased estimate on FDI </w:t>
      </w:r>
      <w:r>
        <w:rPr>
          <w:bCs/>
        </w:rPr>
        <w:t>spillovers.</w:t>
      </w:r>
    </w:p>
    <w:p w14:paraId="5B100F38" w14:textId="77777777" w:rsidR="00FC548C" w:rsidRPr="00EE05BB" w:rsidRDefault="00FB3205" w:rsidP="00204235">
      <w:pPr>
        <w:widowControl w:val="0"/>
        <w:autoSpaceDE w:val="0"/>
        <w:autoSpaceDN w:val="0"/>
        <w:adjustRightInd w:val="0"/>
        <w:spacing w:after="240" w:line="360" w:lineRule="auto"/>
        <w:jc w:val="both"/>
        <w:rPr>
          <w:bCs/>
        </w:rPr>
      </w:pPr>
      <w:r>
        <w:rPr>
          <w:bCs/>
        </w:rPr>
        <w:t>I</w:t>
      </w:r>
      <w:r w:rsidR="00FC548C">
        <w:rPr>
          <w:bCs/>
        </w:rPr>
        <w:t xml:space="preserve">t is important to note that the three spillover measures enter in </w:t>
      </w:r>
      <w:r w:rsidR="00E24171">
        <w:rPr>
          <w:bCs/>
        </w:rPr>
        <w:t xml:space="preserve">(time) </w:t>
      </w:r>
      <w:r w:rsidR="00FC548C">
        <w:rPr>
          <w:bCs/>
        </w:rPr>
        <w:t>lagged form</w:t>
      </w:r>
      <w:r w:rsidR="00BF4206">
        <w:rPr>
          <w:bCs/>
        </w:rPr>
        <w:t>. This</w:t>
      </w:r>
      <w:r w:rsidR="00C66234">
        <w:rPr>
          <w:bCs/>
        </w:rPr>
        <w:t xml:space="preserve"> is</w:t>
      </w:r>
      <w:r w:rsidR="00FC548C">
        <w:rPr>
          <w:bCs/>
        </w:rPr>
        <w:t xml:space="preserve"> to circumvent the endogeneity issue caused by the fact that foreign firms may target </w:t>
      </w:r>
      <w:r w:rsidR="00BE141A">
        <w:rPr>
          <w:bCs/>
        </w:rPr>
        <w:t xml:space="preserve">more </w:t>
      </w:r>
      <w:r w:rsidR="00FC548C">
        <w:rPr>
          <w:bCs/>
        </w:rPr>
        <w:t xml:space="preserve">productive </w:t>
      </w:r>
      <w:r w:rsidR="00E24171">
        <w:rPr>
          <w:bCs/>
        </w:rPr>
        <w:t xml:space="preserve">and more innovative </w:t>
      </w:r>
      <w:r w:rsidR="00C66234">
        <w:rPr>
          <w:bCs/>
        </w:rPr>
        <w:t xml:space="preserve">local </w:t>
      </w:r>
      <w:r w:rsidR="00FC548C">
        <w:rPr>
          <w:bCs/>
        </w:rPr>
        <w:t>firms</w:t>
      </w:r>
      <w:r w:rsidR="00C66234">
        <w:rPr>
          <w:bCs/>
        </w:rPr>
        <w:t xml:space="preserve"> to </w:t>
      </w:r>
      <w:r w:rsidR="00EE05BB">
        <w:rPr>
          <w:bCs/>
        </w:rPr>
        <w:t>obtain better initial market position. T</w:t>
      </w:r>
      <w:r w:rsidR="00BF4206">
        <w:rPr>
          <w:bCs/>
        </w:rPr>
        <w:t>his can potentially cause positive bias</w:t>
      </w:r>
      <w:r w:rsidR="00E24171">
        <w:rPr>
          <w:bCs/>
        </w:rPr>
        <w:t xml:space="preserve"> on </w:t>
      </w:r>
      <w:r w:rsidR="006A61FD">
        <w:rPr>
          <w:bCs/>
        </w:rPr>
        <w:t xml:space="preserve">the spillovers’ coefficient estimates. </w:t>
      </w:r>
      <w:r w:rsidR="00E24171">
        <w:rPr>
          <w:bCs/>
        </w:rPr>
        <w:t>By lagging the main variables of interest, we attenuate this issue.</w:t>
      </w:r>
    </w:p>
    <w:p w14:paraId="1224B1EF" w14:textId="2EEF18B5" w:rsidR="00E915A4" w:rsidRDefault="00BE141A" w:rsidP="00BE141A">
      <w:pPr>
        <w:widowControl w:val="0"/>
        <w:autoSpaceDE w:val="0"/>
        <w:autoSpaceDN w:val="0"/>
        <w:adjustRightInd w:val="0"/>
        <w:spacing w:line="360" w:lineRule="auto"/>
        <w:jc w:val="both"/>
        <w:rPr>
          <w:bCs/>
        </w:rPr>
      </w:pPr>
      <w:r>
        <w:rPr>
          <w:bCs/>
        </w:rPr>
        <w:t>T</w:t>
      </w:r>
      <w:r w:rsidR="00C714AD">
        <w:rPr>
          <w:bCs/>
        </w:rPr>
        <w:t>he CDM model examines the link between R&amp;D activities</w:t>
      </w:r>
      <w:r w:rsidR="00A45CBD">
        <w:rPr>
          <w:bCs/>
        </w:rPr>
        <w:t xml:space="preserve"> and innovation outcomes</w:t>
      </w:r>
      <w:r w:rsidR="00C714AD">
        <w:rPr>
          <w:bCs/>
        </w:rPr>
        <w:t>. This has led to some criticism regarding its applicability to modelling of</w:t>
      </w:r>
      <w:r w:rsidR="00690465">
        <w:rPr>
          <w:bCs/>
        </w:rPr>
        <w:t xml:space="preserve"> the</w:t>
      </w:r>
      <w:r w:rsidR="00C714AD">
        <w:rPr>
          <w:bCs/>
        </w:rPr>
        <w:t xml:space="preserve"> innovation process in emerging economies. Such criticism is based on the fact that original CDM does not capture non-R&amp;D drivers of productivity which are important in emerging economies (Radosevic and Yoruk, 2016). Our study fills this gap in the literature by adopting a modelling approach that specifically takes into account these additional drivers of innovation recognised as important in </w:t>
      </w:r>
      <w:r w:rsidR="00B47322">
        <w:rPr>
          <w:bCs/>
        </w:rPr>
        <w:t xml:space="preserve">the </w:t>
      </w:r>
      <w:r w:rsidR="00C714AD">
        <w:rPr>
          <w:bCs/>
        </w:rPr>
        <w:t xml:space="preserve">emerging economies literature. We introduce two specifications </w:t>
      </w:r>
      <w:r w:rsidR="00F20338">
        <w:rPr>
          <w:bCs/>
        </w:rPr>
        <w:t>that</w:t>
      </w:r>
      <w:r w:rsidR="00C714AD">
        <w:rPr>
          <w:bCs/>
        </w:rPr>
        <w:t xml:space="preserve"> aim to </w:t>
      </w:r>
      <w:r w:rsidR="00C714AD" w:rsidRPr="00440A4A">
        <w:rPr>
          <w:bCs/>
        </w:rPr>
        <w:t xml:space="preserve">distinguish between two </w:t>
      </w:r>
      <w:r w:rsidR="00A45CBD">
        <w:rPr>
          <w:bCs/>
        </w:rPr>
        <w:t>innovation regimes</w:t>
      </w:r>
      <w:r w:rsidR="00C714AD">
        <w:rPr>
          <w:bCs/>
        </w:rPr>
        <w:t xml:space="preserve">. </w:t>
      </w:r>
      <w:r w:rsidR="002A06F7">
        <w:rPr>
          <w:bCs/>
        </w:rPr>
        <w:t>The first specification (a)</w:t>
      </w:r>
      <w:r w:rsidR="00C714AD">
        <w:rPr>
          <w:bCs/>
        </w:rPr>
        <w:t xml:space="preserve"> uses R&amp;D investment as measure of innovation input while </w:t>
      </w:r>
      <w:r w:rsidR="002A06F7">
        <w:rPr>
          <w:bCs/>
        </w:rPr>
        <w:t>second specification (b)</w:t>
      </w:r>
      <w:r w:rsidR="00C714AD">
        <w:rPr>
          <w:bCs/>
        </w:rPr>
        <w:t xml:space="preserve"> </w:t>
      </w:r>
      <w:r w:rsidR="00C714AD" w:rsidRPr="00440A4A">
        <w:rPr>
          <w:bCs/>
        </w:rPr>
        <w:t>us</w:t>
      </w:r>
      <w:r w:rsidR="00C714AD">
        <w:rPr>
          <w:bCs/>
        </w:rPr>
        <w:t>es</w:t>
      </w:r>
      <w:r w:rsidR="00C714AD" w:rsidRPr="00440A4A">
        <w:rPr>
          <w:bCs/>
        </w:rPr>
        <w:t xml:space="preserve"> investment in other innovative activities</w:t>
      </w:r>
      <w:r w:rsidR="00C714AD">
        <w:rPr>
          <w:bCs/>
        </w:rPr>
        <w:t xml:space="preserve"> that</w:t>
      </w:r>
      <w:r w:rsidR="00C714AD" w:rsidRPr="00440A4A">
        <w:rPr>
          <w:bCs/>
        </w:rPr>
        <w:t xml:space="preserve"> compris</w:t>
      </w:r>
      <w:r w:rsidR="00C714AD">
        <w:rPr>
          <w:bCs/>
        </w:rPr>
        <w:t>e</w:t>
      </w:r>
      <w:r w:rsidR="00C714AD" w:rsidRPr="00440A4A">
        <w:rPr>
          <w:bCs/>
        </w:rPr>
        <w:t xml:space="preserve"> of investment in machinery and equipment and the purchase of know-how and training. Hence, the first measure refers to ‘knowledge creation’ while the latter refers to ‘knowledge use’</w:t>
      </w:r>
      <w:r w:rsidR="008270FC">
        <w:rPr>
          <w:bCs/>
        </w:rPr>
        <w:t>.</w:t>
      </w:r>
      <w:r w:rsidR="00C714AD" w:rsidRPr="00440A4A">
        <w:rPr>
          <w:bCs/>
        </w:rPr>
        <w:t xml:space="preserve"> </w:t>
      </w:r>
      <w:r w:rsidR="008270FC">
        <w:rPr>
          <w:bCs/>
        </w:rPr>
        <w:t xml:space="preserve">This allows us to assess in next stage whether any or both of these regimes contribute to commercialization of existing products and services (as expected among firms that predominantly use knowledge) or the commercialization of new products and services (as expected from knowledge generators). </w:t>
      </w:r>
      <w:r w:rsidR="00C714AD">
        <w:rPr>
          <w:bCs/>
        </w:rPr>
        <w:t xml:space="preserve">Table </w:t>
      </w:r>
      <w:r w:rsidR="002A06F7">
        <w:rPr>
          <w:bCs/>
        </w:rPr>
        <w:t>1</w:t>
      </w:r>
      <w:r w:rsidR="00C714AD">
        <w:rPr>
          <w:bCs/>
        </w:rPr>
        <w:t xml:space="preserve"> provides definitions of dependent variables used for each of the equations in the CDM model. </w:t>
      </w:r>
    </w:p>
    <w:p w14:paraId="24CAE874" w14:textId="77777777" w:rsidR="008210FE" w:rsidRDefault="008210FE" w:rsidP="00BE141A">
      <w:pPr>
        <w:widowControl w:val="0"/>
        <w:autoSpaceDE w:val="0"/>
        <w:autoSpaceDN w:val="0"/>
        <w:adjustRightInd w:val="0"/>
        <w:spacing w:line="360" w:lineRule="auto"/>
        <w:jc w:val="both"/>
        <w:rPr>
          <w:bCs/>
        </w:rPr>
      </w:pPr>
    </w:p>
    <w:p w14:paraId="174480B0" w14:textId="77777777" w:rsidR="00C714AD" w:rsidRDefault="00C714AD" w:rsidP="00C714AD">
      <w:pPr>
        <w:widowControl w:val="0"/>
        <w:autoSpaceDE w:val="0"/>
        <w:autoSpaceDN w:val="0"/>
        <w:adjustRightInd w:val="0"/>
        <w:jc w:val="both"/>
        <w:rPr>
          <w:bCs/>
        </w:rPr>
      </w:pPr>
      <w:r>
        <w:rPr>
          <w:bCs/>
        </w:rPr>
        <w:t xml:space="preserve">Table </w:t>
      </w:r>
      <w:r w:rsidR="002A06F7">
        <w:rPr>
          <w:bCs/>
        </w:rPr>
        <w:t>1</w:t>
      </w:r>
      <w:r>
        <w:rPr>
          <w:bCs/>
        </w:rPr>
        <w:t>. Definitions of dependent variables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31"/>
        <w:gridCol w:w="7927"/>
      </w:tblGrid>
      <w:tr w:rsidR="00C714AD" w14:paraId="1B3B48C3" w14:textId="77777777" w:rsidTr="001C67CF">
        <w:tc>
          <w:tcPr>
            <w:tcW w:w="9067" w:type="dxa"/>
            <w:gridSpan w:val="3"/>
            <w:tcBorders>
              <w:top w:val="single" w:sz="4" w:space="0" w:color="auto"/>
              <w:bottom w:val="single" w:sz="4" w:space="0" w:color="auto"/>
            </w:tcBorders>
          </w:tcPr>
          <w:p w14:paraId="3A098B8C" w14:textId="77777777" w:rsidR="00C714AD" w:rsidRPr="007A7B62" w:rsidRDefault="00C714AD" w:rsidP="00A9248B">
            <w:pPr>
              <w:widowControl w:val="0"/>
              <w:autoSpaceDE w:val="0"/>
              <w:autoSpaceDN w:val="0"/>
              <w:adjustRightInd w:val="0"/>
              <w:jc w:val="center"/>
              <w:rPr>
                <w:b/>
              </w:rPr>
            </w:pPr>
            <w:r w:rsidRPr="007A7B62">
              <w:rPr>
                <w:b/>
              </w:rPr>
              <w:t xml:space="preserve">Specification </w:t>
            </w:r>
            <w:r w:rsidR="000C4784">
              <w:rPr>
                <w:b/>
              </w:rPr>
              <w:t>a</w:t>
            </w:r>
            <w:r w:rsidR="00A9248B">
              <w:rPr>
                <w:b/>
              </w:rPr>
              <w:t>:</w:t>
            </w:r>
            <w:r w:rsidRPr="007A7B62">
              <w:rPr>
                <w:b/>
              </w:rPr>
              <w:t xml:space="preserve"> Innovation input equations</w:t>
            </w:r>
            <w:r w:rsidR="002A06F7">
              <w:rPr>
                <w:b/>
              </w:rPr>
              <w:t xml:space="preserve"> (Equations 1 and 2)</w:t>
            </w:r>
          </w:p>
        </w:tc>
      </w:tr>
      <w:tr w:rsidR="00C714AD" w14:paraId="0A95D4F7" w14:textId="77777777" w:rsidTr="001C67CF">
        <w:tc>
          <w:tcPr>
            <w:tcW w:w="709" w:type="dxa"/>
            <w:tcBorders>
              <w:top w:val="single" w:sz="4" w:space="0" w:color="auto"/>
            </w:tcBorders>
          </w:tcPr>
          <w:p w14:paraId="4C631E95" w14:textId="77777777" w:rsidR="00C714AD" w:rsidRDefault="00C714AD" w:rsidP="001C67CF">
            <w:pPr>
              <w:widowControl w:val="0"/>
              <w:autoSpaceDE w:val="0"/>
              <w:autoSpaceDN w:val="0"/>
              <w:adjustRightInd w:val="0"/>
              <w:jc w:val="both"/>
              <w:rPr>
                <w:bCs/>
              </w:rPr>
            </w:pPr>
            <w:r>
              <w:rPr>
                <w:bCs/>
              </w:rPr>
              <w:t>Eq.1:</w:t>
            </w:r>
          </w:p>
        </w:tc>
        <w:tc>
          <w:tcPr>
            <w:tcW w:w="430" w:type="dxa"/>
            <w:tcBorders>
              <w:top w:val="single" w:sz="4" w:space="0" w:color="auto"/>
            </w:tcBorders>
          </w:tcPr>
          <w:p w14:paraId="11990762" w14:textId="77777777" w:rsidR="00C714AD" w:rsidRDefault="001F2CA9" w:rsidP="001C67CF">
            <w:pPr>
              <w:widowControl w:val="0"/>
              <w:autoSpaceDE w:val="0"/>
              <w:autoSpaceDN w:val="0"/>
              <w:adjustRightInd w:val="0"/>
              <w:jc w:val="both"/>
              <w:rPr>
                <w:bCs/>
              </w:rPr>
            </w:pPr>
            <m:oMathPara>
              <m:oMath>
                <m:sSub>
                  <m:sSubPr>
                    <m:ctrlPr>
                      <w:rPr>
                        <w:rFonts w:ascii="Cambria Math" w:hAnsi="Cambria Math"/>
                        <w:bCs/>
                        <w:i/>
                      </w:rPr>
                    </m:ctrlPr>
                  </m:sSubPr>
                  <m:e>
                    <m:r>
                      <w:rPr>
                        <w:rFonts w:ascii="Cambria Math" w:hAnsi="Cambria Math"/>
                      </w:rPr>
                      <m:t>g</m:t>
                    </m:r>
                  </m:e>
                  <m:sub>
                    <m:r>
                      <w:rPr>
                        <w:rFonts w:ascii="Cambria Math" w:hAnsi="Cambria Math"/>
                      </w:rPr>
                      <m:t>i</m:t>
                    </m:r>
                  </m:sub>
                </m:sSub>
              </m:oMath>
            </m:oMathPara>
          </w:p>
        </w:tc>
        <w:tc>
          <w:tcPr>
            <w:tcW w:w="7928" w:type="dxa"/>
            <w:tcBorders>
              <w:top w:val="single" w:sz="4" w:space="0" w:color="auto"/>
            </w:tcBorders>
          </w:tcPr>
          <w:p w14:paraId="36BCF87E" w14:textId="77777777" w:rsidR="00C714AD" w:rsidRPr="006977D9" w:rsidRDefault="00C714AD" w:rsidP="001C67CF">
            <w:pPr>
              <w:widowControl w:val="0"/>
              <w:autoSpaceDE w:val="0"/>
              <w:autoSpaceDN w:val="0"/>
              <w:adjustRightInd w:val="0"/>
              <w:jc w:val="both"/>
              <w:rPr>
                <w:bCs/>
              </w:rPr>
            </w:pPr>
            <m:oMath>
              <m:r>
                <w:rPr>
                  <w:rFonts w:ascii="Cambria Math" w:hAnsi="Cambria Math"/>
                </w:rPr>
                <m:t>=1</m:t>
              </m:r>
            </m:oMath>
            <w:r>
              <w:rPr>
                <w:bCs/>
              </w:rPr>
              <w:t xml:space="preserve"> if firm invested in R&amp;D </w:t>
            </w:r>
            <w:r w:rsidRPr="00440A4A">
              <w:rPr>
                <w:bCs/>
              </w:rPr>
              <w:t>(external or internal)</w:t>
            </w:r>
            <w:r>
              <w:rPr>
                <w:bCs/>
              </w:rPr>
              <w:t xml:space="preserve">; </w:t>
            </w:r>
            <m:oMath>
              <m:r>
                <w:rPr>
                  <w:rFonts w:ascii="Cambria Math" w:hAnsi="Cambria Math"/>
                </w:rPr>
                <m:t xml:space="preserve">=0 </m:t>
              </m:r>
            </m:oMath>
            <w:r>
              <w:rPr>
                <w:bCs/>
              </w:rPr>
              <w:t>otherwise</w:t>
            </w:r>
          </w:p>
        </w:tc>
      </w:tr>
      <w:tr w:rsidR="00C714AD" w14:paraId="7E3961A9" w14:textId="77777777" w:rsidTr="001C67CF">
        <w:tc>
          <w:tcPr>
            <w:tcW w:w="709" w:type="dxa"/>
            <w:tcBorders>
              <w:bottom w:val="single" w:sz="4" w:space="0" w:color="auto"/>
            </w:tcBorders>
          </w:tcPr>
          <w:p w14:paraId="3117BD61" w14:textId="77777777" w:rsidR="00C714AD" w:rsidRDefault="00C714AD" w:rsidP="001C67CF">
            <w:pPr>
              <w:widowControl w:val="0"/>
              <w:autoSpaceDE w:val="0"/>
              <w:autoSpaceDN w:val="0"/>
              <w:adjustRightInd w:val="0"/>
              <w:jc w:val="both"/>
              <w:rPr>
                <w:bCs/>
              </w:rPr>
            </w:pPr>
            <w:r>
              <w:rPr>
                <w:bCs/>
              </w:rPr>
              <w:t>Eq.2:</w:t>
            </w:r>
          </w:p>
        </w:tc>
        <w:tc>
          <w:tcPr>
            <w:tcW w:w="430" w:type="dxa"/>
            <w:tcBorders>
              <w:bottom w:val="single" w:sz="4" w:space="0" w:color="auto"/>
            </w:tcBorders>
          </w:tcPr>
          <w:p w14:paraId="76C90E2C" w14:textId="77777777" w:rsidR="00C714AD" w:rsidRDefault="001F2CA9" w:rsidP="001C67CF">
            <w:pPr>
              <w:widowControl w:val="0"/>
              <w:autoSpaceDE w:val="0"/>
              <w:autoSpaceDN w:val="0"/>
              <w:adjustRightInd w:val="0"/>
              <w:jc w:val="both"/>
              <w:rPr>
                <w:bCs/>
              </w:rPr>
            </w:pPr>
            <m:oMathPara>
              <m:oMath>
                <m:sSub>
                  <m:sSubPr>
                    <m:ctrlPr>
                      <w:rPr>
                        <w:rFonts w:ascii="Cambria Math" w:hAnsi="Cambria Math"/>
                        <w:bCs/>
                        <w:i/>
                      </w:rPr>
                    </m:ctrlPr>
                  </m:sSubPr>
                  <m:e>
                    <m:r>
                      <w:rPr>
                        <w:rFonts w:ascii="Cambria Math" w:hAnsi="Cambria Math"/>
                      </w:rPr>
                      <m:t>k</m:t>
                    </m:r>
                  </m:e>
                  <m:sub>
                    <m:r>
                      <w:rPr>
                        <w:rFonts w:ascii="Cambria Math" w:hAnsi="Cambria Math"/>
                      </w:rPr>
                      <m:t>i</m:t>
                    </m:r>
                  </m:sub>
                </m:sSub>
              </m:oMath>
            </m:oMathPara>
          </w:p>
        </w:tc>
        <w:tc>
          <w:tcPr>
            <w:tcW w:w="7928" w:type="dxa"/>
            <w:tcBorders>
              <w:bottom w:val="single" w:sz="4" w:space="0" w:color="auto"/>
            </w:tcBorders>
          </w:tcPr>
          <w:p w14:paraId="1A31A952" w14:textId="77777777" w:rsidR="00C714AD" w:rsidRDefault="00C714AD" w:rsidP="001C67CF">
            <w:pPr>
              <w:widowControl w:val="0"/>
              <w:autoSpaceDE w:val="0"/>
              <w:autoSpaceDN w:val="0"/>
              <w:adjustRightInd w:val="0"/>
              <w:jc w:val="both"/>
              <w:rPr>
                <w:bCs/>
              </w:rPr>
            </w:pPr>
            <w:r>
              <w:rPr>
                <w:bCs/>
              </w:rPr>
              <w:t xml:space="preserve">logarithm of </w:t>
            </w:r>
            <w:r w:rsidRPr="00440A4A">
              <w:rPr>
                <w:bCs/>
              </w:rPr>
              <w:t>R&amp;D spending</w:t>
            </w:r>
          </w:p>
        </w:tc>
      </w:tr>
      <w:tr w:rsidR="00C714AD" w14:paraId="00F7994B" w14:textId="77777777" w:rsidTr="001C67CF">
        <w:tc>
          <w:tcPr>
            <w:tcW w:w="9067" w:type="dxa"/>
            <w:gridSpan w:val="3"/>
            <w:tcBorders>
              <w:top w:val="single" w:sz="4" w:space="0" w:color="auto"/>
              <w:bottom w:val="single" w:sz="4" w:space="0" w:color="auto"/>
            </w:tcBorders>
          </w:tcPr>
          <w:p w14:paraId="7A649D68" w14:textId="77777777" w:rsidR="00C714AD" w:rsidRPr="007A7B62" w:rsidRDefault="00C714AD" w:rsidP="00A9248B">
            <w:pPr>
              <w:widowControl w:val="0"/>
              <w:autoSpaceDE w:val="0"/>
              <w:autoSpaceDN w:val="0"/>
              <w:adjustRightInd w:val="0"/>
              <w:jc w:val="center"/>
              <w:rPr>
                <w:b/>
              </w:rPr>
            </w:pPr>
            <w:r w:rsidRPr="007A7B62">
              <w:rPr>
                <w:b/>
              </w:rPr>
              <w:t xml:space="preserve">Specification </w:t>
            </w:r>
            <w:r w:rsidR="000C4784">
              <w:rPr>
                <w:b/>
              </w:rPr>
              <w:t>b</w:t>
            </w:r>
            <w:r w:rsidR="00A9248B">
              <w:rPr>
                <w:b/>
              </w:rPr>
              <w:t>:</w:t>
            </w:r>
            <w:r w:rsidRPr="007A7B62">
              <w:rPr>
                <w:b/>
              </w:rPr>
              <w:t xml:space="preserve"> Innovation input equations</w:t>
            </w:r>
            <w:r w:rsidR="002A06F7">
              <w:rPr>
                <w:b/>
              </w:rPr>
              <w:t xml:space="preserve"> (Equations 1 and 2)</w:t>
            </w:r>
          </w:p>
        </w:tc>
      </w:tr>
      <w:tr w:rsidR="00C714AD" w14:paraId="1638AACF" w14:textId="77777777" w:rsidTr="001C67CF">
        <w:tc>
          <w:tcPr>
            <w:tcW w:w="709" w:type="dxa"/>
            <w:tcBorders>
              <w:top w:val="single" w:sz="4" w:space="0" w:color="auto"/>
            </w:tcBorders>
          </w:tcPr>
          <w:p w14:paraId="35C08520" w14:textId="77777777" w:rsidR="00C714AD" w:rsidRDefault="00C714AD" w:rsidP="001C67CF">
            <w:pPr>
              <w:widowControl w:val="0"/>
              <w:autoSpaceDE w:val="0"/>
              <w:autoSpaceDN w:val="0"/>
              <w:adjustRightInd w:val="0"/>
              <w:jc w:val="both"/>
              <w:rPr>
                <w:bCs/>
              </w:rPr>
            </w:pPr>
            <w:r>
              <w:rPr>
                <w:bCs/>
              </w:rPr>
              <w:t>Eq.1:</w:t>
            </w:r>
          </w:p>
        </w:tc>
        <w:tc>
          <w:tcPr>
            <w:tcW w:w="430" w:type="dxa"/>
            <w:tcBorders>
              <w:top w:val="single" w:sz="4" w:space="0" w:color="auto"/>
            </w:tcBorders>
          </w:tcPr>
          <w:p w14:paraId="35BFDCEA" w14:textId="77777777" w:rsidR="00C714AD" w:rsidRDefault="001F2CA9" w:rsidP="001C67CF">
            <w:pPr>
              <w:widowControl w:val="0"/>
              <w:autoSpaceDE w:val="0"/>
              <w:autoSpaceDN w:val="0"/>
              <w:adjustRightInd w:val="0"/>
              <w:jc w:val="both"/>
              <w:rPr>
                <w:bCs/>
              </w:rPr>
            </w:pPr>
            <m:oMathPara>
              <m:oMath>
                <m:sSub>
                  <m:sSubPr>
                    <m:ctrlPr>
                      <w:rPr>
                        <w:rFonts w:ascii="Cambria Math" w:hAnsi="Cambria Math"/>
                        <w:bCs/>
                        <w:i/>
                      </w:rPr>
                    </m:ctrlPr>
                  </m:sSubPr>
                  <m:e>
                    <m:r>
                      <w:rPr>
                        <w:rFonts w:ascii="Cambria Math" w:hAnsi="Cambria Math"/>
                      </w:rPr>
                      <m:t>g</m:t>
                    </m:r>
                  </m:e>
                  <m:sub>
                    <m:r>
                      <w:rPr>
                        <w:rFonts w:ascii="Cambria Math" w:hAnsi="Cambria Math"/>
                      </w:rPr>
                      <m:t>i</m:t>
                    </m:r>
                  </m:sub>
                </m:sSub>
              </m:oMath>
            </m:oMathPara>
          </w:p>
        </w:tc>
        <w:tc>
          <w:tcPr>
            <w:tcW w:w="7928" w:type="dxa"/>
            <w:tcBorders>
              <w:top w:val="single" w:sz="4" w:space="0" w:color="auto"/>
            </w:tcBorders>
          </w:tcPr>
          <w:p w14:paraId="1C8ADC78" w14:textId="77777777" w:rsidR="00C714AD" w:rsidRDefault="00C714AD" w:rsidP="001C67CF">
            <w:pPr>
              <w:widowControl w:val="0"/>
              <w:autoSpaceDE w:val="0"/>
              <w:autoSpaceDN w:val="0"/>
              <w:adjustRightInd w:val="0"/>
              <w:jc w:val="both"/>
              <w:rPr>
                <w:bCs/>
              </w:rPr>
            </w:pPr>
            <m:oMath>
              <m:r>
                <w:rPr>
                  <w:rFonts w:ascii="Cambria Math" w:hAnsi="Cambria Math"/>
                </w:rPr>
                <m:t>=1</m:t>
              </m:r>
            </m:oMath>
            <w:r>
              <w:rPr>
                <w:bCs/>
              </w:rPr>
              <w:t xml:space="preserve"> if firm </w:t>
            </w:r>
            <w:r w:rsidRPr="00440A4A">
              <w:rPr>
                <w:bCs/>
              </w:rPr>
              <w:t>invest</w:t>
            </w:r>
            <w:r>
              <w:rPr>
                <w:bCs/>
              </w:rPr>
              <w:t>ed</w:t>
            </w:r>
            <w:r w:rsidRPr="00440A4A">
              <w:rPr>
                <w:bCs/>
              </w:rPr>
              <w:t xml:space="preserve"> in machinery, equipment, purchase of know-how and training</w:t>
            </w:r>
            <w:r>
              <w:rPr>
                <w:bCs/>
              </w:rPr>
              <w:t xml:space="preserve">; </w:t>
            </w:r>
            <m:oMath>
              <m:r>
                <w:rPr>
                  <w:rFonts w:ascii="Cambria Math" w:hAnsi="Cambria Math"/>
                </w:rPr>
                <m:t xml:space="preserve">=0 </m:t>
              </m:r>
            </m:oMath>
            <w:r>
              <w:rPr>
                <w:bCs/>
              </w:rPr>
              <w:t>otherwise</w:t>
            </w:r>
          </w:p>
        </w:tc>
      </w:tr>
      <w:tr w:rsidR="00C714AD" w14:paraId="161FD1E3" w14:textId="77777777" w:rsidTr="001C67CF">
        <w:tc>
          <w:tcPr>
            <w:tcW w:w="709" w:type="dxa"/>
            <w:tcBorders>
              <w:bottom w:val="single" w:sz="4" w:space="0" w:color="auto"/>
            </w:tcBorders>
          </w:tcPr>
          <w:p w14:paraId="16FD780E" w14:textId="77777777" w:rsidR="00C714AD" w:rsidRDefault="00C714AD" w:rsidP="001C67CF">
            <w:pPr>
              <w:widowControl w:val="0"/>
              <w:autoSpaceDE w:val="0"/>
              <w:autoSpaceDN w:val="0"/>
              <w:adjustRightInd w:val="0"/>
              <w:jc w:val="both"/>
              <w:rPr>
                <w:bCs/>
              </w:rPr>
            </w:pPr>
            <w:r>
              <w:rPr>
                <w:bCs/>
              </w:rPr>
              <w:t>Eq.2:</w:t>
            </w:r>
          </w:p>
        </w:tc>
        <w:tc>
          <w:tcPr>
            <w:tcW w:w="430" w:type="dxa"/>
            <w:tcBorders>
              <w:bottom w:val="single" w:sz="4" w:space="0" w:color="auto"/>
            </w:tcBorders>
          </w:tcPr>
          <w:p w14:paraId="14F3750D" w14:textId="77777777" w:rsidR="00C714AD" w:rsidRDefault="001F2CA9" w:rsidP="001C67CF">
            <w:pPr>
              <w:widowControl w:val="0"/>
              <w:autoSpaceDE w:val="0"/>
              <w:autoSpaceDN w:val="0"/>
              <w:adjustRightInd w:val="0"/>
              <w:jc w:val="both"/>
              <w:rPr>
                <w:bCs/>
              </w:rPr>
            </w:pPr>
            <m:oMathPara>
              <m:oMath>
                <m:sSub>
                  <m:sSubPr>
                    <m:ctrlPr>
                      <w:rPr>
                        <w:rFonts w:ascii="Cambria Math" w:hAnsi="Cambria Math"/>
                        <w:bCs/>
                        <w:i/>
                      </w:rPr>
                    </m:ctrlPr>
                  </m:sSubPr>
                  <m:e>
                    <m:r>
                      <w:rPr>
                        <w:rFonts w:ascii="Cambria Math" w:hAnsi="Cambria Math"/>
                      </w:rPr>
                      <m:t>k</m:t>
                    </m:r>
                  </m:e>
                  <m:sub>
                    <m:r>
                      <w:rPr>
                        <w:rFonts w:ascii="Cambria Math" w:hAnsi="Cambria Math"/>
                      </w:rPr>
                      <m:t>i</m:t>
                    </m:r>
                  </m:sub>
                </m:sSub>
              </m:oMath>
            </m:oMathPara>
          </w:p>
        </w:tc>
        <w:tc>
          <w:tcPr>
            <w:tcW w:w="7928" w:type="dxa"/>
            <w:tcBorders>
              <w:bottom w:val="single" w:sz="4" w:space="0" w:color="auto"/>
            </w:tcBorders>
          </w:tcPr>
          <w:p w14:paraId="5ADE1D88" w14:textId="77777777" w:rsidR="00C714AD" w:rsidRDefault="00C714AD" w:rsidP="001C67CF">
            <w:pPr>
              <w:widowControl w:val="0"/>
              <w:autoSpaceDE w:val="0"/>
              <w:autoSpaceDN w:val="0"/>
              <w:adjustRightInd w:val="0"/>
              <w:jc w:val="both"/>
              <w:rPr>
                <w:bCs/>
              </w:rPr>
            </w:pPr>
            <w:r>
              <w:rPr>
                <w:bCs/>
              </w:rPr>
              <w:t>logarithm of</w:t>
            </w:r>
            <w:r w:rsidRPr="00440A4A">
              <w:rPr>
                <w:bCs/>
              </w:rPr>
              <w:t xml:space="preserve"> spending</w:t>
            </w:r>
            <w:r>
              <w:rPr>
                <w:bCs/>
              </w:rPr>
              <w:t xml:space="preserve"> </w:t>
            </w:r>
            <w:r w:rsidRPr="00440A4A">
              <w:rPr>
                <w:bCs/>
              </w:rPr>
              <w:t>on machinery, equipment, purchase of know-how and training</w:t>
            </w:r>
          </w:p>
        </w:tc>
      </w:tr>
      <w:tr w:rsidR="00C714AD" w14:paraId="34B86D71" w14:textId="77777777" w:rsidTr="001C67CF">
        <w:tc>
          <w:tcPr>
            <w:tcW w:w="9067" w:type="dxa"/>
            <w:gridSpan w:val="3"/>
            <w:tcBorders>
              <w:top w:val="single" w:sz="4" w:space="0" w:color="auto"/>
              <w:bottom w:val="single" w:sz="4" w:space="0" w:color="auto"/>
            </w:tcBorders>
          </w:tcPr>
          <w:p w14:paraId="5DC39F05" w14:textId="77777777" w:rsidR="00C714AD" w:rsidRPr="007A7B62" w:rsidRDefault="00C714AD" w:rsidP="001C67CF">
            <w:pPr>
              <w:widowControl w:val="0"/>
              <w:autoSpaceDE w:val="0"/>
              <w:autoSpaceDN w:val="0"/>
              <w:adjustRightInd w:val="0"/>
              <w:jc w:val="center"/>
              <w:rPr>
                <w:b/>
              </w:rPr>
            </w:pPr>
            <w:r w:rsidRPr="007A7B62">
              <w:rPr>
                <w:b/>
              </w:rPr>
              <w:t xml:space="preserve">Specification </w:t>
            </w:r>
            <w:r w:rsidR="002A06F7">
              <w:rPr>
                <w:b/>
              </w:rPr>
              <w:t>a</w:t>
            </w:r>
            <w:r w:rsidRPr="007A7B62">
              <w:rPr>
                <w:b/>
              </w:rPr>
              <w:t xml:space="preserve"> &amp; </w:t>
            </w:r>
            <w:r w:rsidR="002A06F7">
              <w:rPr>
                <w:b/>
              </w:rPr>
              <w:t>b</w:t>
            </w:r>
            <w:r w:rsidR="003A4CE2">
              <w:rPr>
                <w:b/>
              </w:rPr>
              <w:t>:</w:t>
            </w:r>
            <w:r w:rsidRPr="007A7B62">
              <w:rPr>
                <w:b/>
              </w:rPr>
              <w:t xml:space="preserve"> Innovation output and productivity equations</w:t>
            </w:r>
            <w:r w:rsidR="00BB433A">
              <w:rPr>
                <w:b/>
              </w:rPr>
              <w:t xml:space="preserve"> (Equations 3 and 4)</w:t>
            </w:r>
            <w:r w:rsidRPr="007A7B62">
              <w:rPr>
                <w:b/>
              </w:rPr>
              <w:t>*</w:t>
            </w:r>
          </w:p>
        </w:tc>
      </w:tr>
      <w:tr w:rsidR="00C714AD" w14:paraId="4DDBFE82" w14:textId="77777777" w:rsidTr="001C67CF">
        <w:tc>
          <w:tcPr>
            <w:tcW w:w="709" w:type="dxa"/>
            <w:tcBorders>
              <w:top w:val="single" w:sz="4" w:space="0" w:color="auto"/>
            </w:tcBorders>
          </w:tcPr>
          <w:p w14:paraId="224B4DBC" w14:textId="77777777" w:rsidR="00C714AD" w:rsidRDefault="00C714AD" w:rsidP="001C67CF">
            <w:pPr>
              <w:widowControl w:val="0"/>
              <w:autoSpaceDE w:val="0"/>
              <w:autoSpaceDN w:val="0"/>
              <w:adjustRightInd w:val="0"/>
              <w:jc w:val="both"/>
              <w:rPr>
                <w:bCs/>
              </w:rPr>
            </w:pPr>
            <w:r>
              <w:rPr>
                <w:bCs/>
              </w:rPr>
              <w:t>Eq.3:</w:t>
            </w:r>
          </w:p>
        </w:tc>
        <w:tc>
          <w:tcPr>
            <w:tcW w:w="430" w:type="dxa"/>
            <w:tcBorders>
              <w:top w:val="single" w:sz="4" w:space="0" w:color="auto"/>
            </w:tcBorders>
          </w:tcPr>
          <w:p w14:paraId="3DF1FC4A" w14:textId="77777777" w:rsidR="00C714AD" w:rsidRDefault="001F2CA9" w:rsidP="001C67CF">
            <w:pPr>
              <w:widowControl w:val="0"/>
              <w:autoSpaceDE w:val="0"/>
              <w:autoSpaceDN w:val="0"/>
              <w:adjustRightInd w:val="0"/>
              <w:jc w:val="both"/>
              <w:rPr>
                <w:bCs/>
              </w:rPr>
            </w:pPr>
            <m:oMathPara>
              <m:oMath>
                <m:sSub>
                  <m:sSubPr>
                    <m:ctrlPr>
                      <w:rPr>
                        <w:rFonts w:ascii="Cambria Math" w:hAnsi="Cambria Math"/>
                        <w:bCs/>
                        <w:i/>
                      </w:rPr>
                    </m:ctrlPr>
                  </m:sSubPr>
                  <m:e>
                    <m:r>
                      <w:rPr>
                        <w:rFonts w:ascii="Cambria Math" w:hAnsi="Cambria Math"/>
                      </w:rPr>
                      <m:t>t</m:t>
                    </m:r>
                  </m:e>
                  <m:sub>
                    <m:r>
                      <w:rPr>
                        <w:rFonts w:ascii="Cambria Math" w:hAnsi="Cambria Math"/>
                      </w:rPr>
                      <m:t>i</m:t>
                    </m:r>
                  </m:sub>
                </m:sSub>
              </m:oMath>
            </m:oMathPara>
          </w:p>
        </w:tc>
        <w:tc>
          <w:tcPr>
            <w:tcW w:w="7928" w:type="dxa"/>
            <w:tcBorders>
              <w:top w:val="single" w:sz="4" w:space="0" w:color="auto"/>
            </w:tcBorders>
          </w:tcPr>
          <w:p w14:paraId="0768784E" w14:textId="77777777" w:rsidR="00C714AD" w:rsidRDefault="00C714AD" w:rsidP="001C67CF">
            <w:pPr>
              <w:widowControl w:val="0"/>
              <w:autoSpaceDE w:val="0"/>
              <w:autoSpaceDN w:val="0"/>
              <w:adjustRightInd w:val="0"/>
              <w:jc w:val="both"/>
              <w:rPr>
                <w:bCs/>
              </w:rPr>
            </w:pPr>
            <w:r>
              <w:rPr>
                <w:bCs/>
              </w:rPr>
              <w:t>l</w:t>
            </w:r>
            <w:r w:rsidRPr="00440A4A">
              <w:rPr>
                <w:bCs/>
              </w:rPr>
              <w:t>og</w:t>
            </w:r>
            <w:r>
              <w:rPr>
                <w:bCs/>
              </w:rPr>
              <w:t>arithm</w:t>
            </w:r>
            <w:r w:rsidRPr="00440A4A">
              <w:rPr>
                <w:bCs/>
              </w:rPr>
              <w:t xml:space="preserve"> of percentage of sales from innovation output</w:t>
            </w:r>
          </w:p>
        </w:tc>
      </w:tr>
      <w:tr w:rsidR="00C714AD" w14:paraId="03DBDCCC" w14:textId="77777777" w:rsidTr="001C67CF">
        <w:tc>
          <w:tcPr>
            <w:tcW w:w="709" w:type="dxa"/>
            <w:tcBorders>
              <w:bottom w:val="single" w:sz="4" w:space="0" w:color="auto"/>
            </w:tcBorders>
          </w:tcPr>
          <w:p w14:paraId="0BBFA795" w14:textId="77777777" w:rsidR="00C714AD" w:rsidRDefault="00C714AD" w:rsidP="001C67CF">
            <w:pPr>
              <w:widowControl w:val="0"/>
              <w:autoSpaceDE w:val="0"/>
              <w:autoSpaceDN w:val="0"/>
              <w:adjustRightInd w:val="0"/>
              <w:jc w:val="both"/>
              <w:rPr>
                <w:bCs/>
              </w:rPr>
            </w:pPr>
            <w:r>
              <w:rPr>
                <w:bCs/>
              </w:rPr>
              <w:t>Eq.4:</w:t>
            </w:r>
          </w:p>
        </w:tc>
        <w:tc>
          <w:tcPr>
            <w:tcW w:w="430" w:type="dxa"/>
            <w:tcBorders>
              <w:bottom w:val="single" w:sz="4" w:space="0" w:color="auto"/>
            </w:tcBorders>
          </w:tcPr>
          <w:p w14:paraId="528CB740" w14:textId="77777777" w:rsidR="00C714AD" w:rsidRDefault="001F2CA9" w:rsidP="001C67CF">
            <w:pPr>
              <w:widowControl w:val="0"/>
              <w:autoSpaceDE w:val="0"/>
              <w:autoSpaceDN w:val="0"/>
              <w:adjustRightInd w:val="0"/>
              <w:jc w:val="both"/>
              <w:rPr>
                <w:bCs/>
              </w:rPr>
            </w:pPr>
            <m:oMathPara>
              <m:oMath>
                <m:sSub>
                  <m:sSubPr>
                    <m:ctrlPr>
                      <w:rPr>
                        <w:rFonts w:ascii="Cambria Math" w:hAnsi="Cambria Math"/>
                        <w:bCs/>
                        <w:i/>
                      </w:rPr>
                    </m:ctrlPr>
                  </m:sSubPr>
                  <m:e>
                    <m:r>
                      <w:rPr>
                        <w:rFonts w:ascii="Cambria Math" w:hAnsi="Cambria Math"/>
                      </w:rPr>
                      <m:t>q</m:t>
                    </m:r>
                  </m:e>
                  <m:sub>
                    <m:r>
                      <w:rPr>
                        <w:rFonts w:ascii="Cambria Math" w:hAnsi="Cambria Math"/>
                      </w:rPr>
                      <m:t>i</m:t>
                    </m:r>
                  </m:sub>
                </m:sSub>
              </m:oMath>
            </m:oMathPara>
          </w:p>
        </w:tc>
        <w:tc>
          <w:tcPr>
            <w:tcW w:w="7928" w:type="dxa"/>
            <w:tcBorders>
              <w:bottom w:val="single" w:sz="4" w:space="0" w:color="auto"/>
            </w:tcBorders>
          </w:tcPr>
          <w:p w14:paraId="7B5EEDF5" w14:textId="77777777" w:rsidR="00C714AD" w:rsidRDefault="00C714AD" w:rsidP="001C67CF">
            <w:pPr>
              <w:widowControl w:val="0"/>
              <w:autoSpaceDE w:val="0"/>
              <w:autoSpaceDN w:val="0"/>
              <w:adjustRightInd w:val="0"/>
              <w:jc w:val="both"/>
              <w:rPr>
                <w:bCs/>
              </w:rPr>
            </w:pPr>
            <w:r w:rsidRPr="00440A4A">
              <w:rPr>
                <w:bCs/>
              </w:rPr>
              <w:t>log</w:t>
            </w:r>
            <w:r>
              <w:rPr>
                <w:bCs/>
              </w:rPr>
              <w:t>arithm</w:t>
            </w:r>
            <w:r w:rsidRPr="00440A4A">
              <w:rPr>
                <w:bCs/>
              </w:rPr>
              <w:t xml:space="preserve"> of sales per employee</w:t>
            </w:r>
            <w:r>
              <w:rPr>
                <w:bCs/>
              </w:rPr>
              <w:t xml:space="preserve"> (</w:t>
            </w:r>
            <w:r w:rsidRPr="00440A4A">
              <w:rPr>
                <w:bCs/>
              </w:rPr>
              <w:t>labour productivity</w:t>
            </w:r>
            <w:r>
              <w:rPr>
                <w:bCs/>
              </w:rPr>
              <w:t>)</w:t>
            </w:r>
          </w:p>
        </w:tc>
      </w:tr>
    </w:tbl>
    <w:p w14:paraId="24B23D47" w14:textId="77777777" w:rsidR="00C714AD" w:rsidRPr="007A7B62" w:rsidRDefault="00C714AD" w:rsidP="00C714AD">
      <w:pPr>
        <w:widowControl w:val="0"/>
        <w:autoSpaceDE w:val="0"/>
        <w:autoSpaceDN w:val="0"/>
        <w:adjustRightInd w:val="0"/>
        <w:jc w:val="both"/>
        <w:rPr>
          <w:bCs/>
          <w:sz w:val="20"/>
          <w:szCs w:val="20"/>
        </w:rPr>
      </w:pPr>
      <w:r w:rsidRPr="007A7B62">
        <w:rPr>
          <w:bCs/>
          <w:sz w:val="20"/>
          <w:szCs w:val="20"/>
        </w:rPr>
        <w:t>* Note that although variable definitions in Equations (3) and (4) are the same for specification</w:t>
      </w:r>
      <w:r w:rsidR="00A9248B">
        <w:rPr>
          <w:bCs/>
          <w:sz w:val="20"/>
          <w:szCs w:val="20"/>
        </w:rPr>
        <w:t>s</w:t>
      </w:r>
      <w:r w:rsidRPr="007A7B62">
        <w:rPr>
          <w:bCs/>
          <w:sz w:val="20"/>
          <w:szCs w:val="20"/>
        </w:rPr>
        <w:t xml:space="preserve"> </w:t>
      </w:r>
      <w:r w:rsidR="005B1ED4">
        <w:rPr>
          <w:bCs/>
          <w:sz w:val="20"/>
          <w:szCs w:val="20"/>
        </w:rPr>
        <w:t>a</w:t>
      </w:r>
      <w:r w:rsidRPr="007A7B62">
        <w:rPr>
          <w:bCs/>
          <w:sz w:val="20"/>
          <w:szCs w:val="20"/>
        </w:rPr>
        <w:t xml:space="preserve"> and </w:t>
      </w:r>
      <w:r w:rsidR="005B1ED4">
        <w:rPr>
          <w:bCs/>
          <w:sz w:val="20"/>
          <w:szCs w:val="20"/>
        </w:rPr>
        <w:t>b</w:t>
      </w:r>
      <w:r w:rsidRPr="007A7B62">
        <w:rPr>
          <w:bCs/>
          <w:sz w:val="20"/>
          <w:szCs w:val="20"/>
        </w:rPr>
        <w:t xml:space="preserve">, different subsample of firms are used during estimations. </w:t>
      </w:r>
    </w:p>
    <w:p w14:paraId="64E584FD" w14:textId="77777777" w:rsidR="00C714AD" w:rsidRDefault="00C714AD" w:rsidP="00C714AD">
      <w:pPr>
        <w:widowControl w:val="0"/>
        <w:autoSpaceDE w:val="0"/>
        <w:autoSpaceDN w:val="0"/>
        <w:adjustRightInd w:val="0"/>
        <w:jc w:val="both"/>
        <w:rPr>
          <w:bCs/>
        </w:rPr>
      </w:pPr>
    </w:p>
    <w:p w14:paraId="542BC097" w14:textId="77777777" w:rsidR="00C714AD" w:rsidRDefault="00C714AD" w:rsidP="00204235">
      <w:pPr>
        <w:widowControl w:val="0"/>
        <w:autoSpaceDE w:val="0"/>
        <w:autoSpaceDN w:val="0"/>
        <w:adjustRightInd w:val="0"/>
        <w:spacing w:after="240" w:line="360" w:lineRule="auto"/>
        <w:jc w:val="both"/>
        <w:rPr>
          <w:bCs/>
        </w:rPr>
      </w:pPr>
      <w:r>
        <w:rPr>
          <w:bCs/>
        </w:rPr>
        <w:t>Turning to the explanatory variable</w:t>
      </w:r>
      <w:r w:rsidR="004833F3">
        <w:rPr>
          <w:bCs/>
        </w:rPr>
        <w:t xml:space="preserve"> vector</w:t>
      </w:r>
      <w:r>
        <w:rPr>
          <w:bCs/>
        </w:rPr>
        <w:t>s</w:t>
      </w:r>
      <w:r w:rsidR="00253509">
        <w:rPr>
          <w:bCs/>
        </w:rPr>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1ij</m:t>
            </m:r>
          </m:sub>
        </m:sSub>
      </m:oMath>
      <w:r w:rsidR="00253509">
        <w:t xml:space="preserve"> to </w:t>
      </w:r>
      <m:oMath>
        <m:sSub>
          <m:sSubPr>
            <m:ctrlPr>
              <w:rPr>
                <w:rFonts w:ascii="Cambria Math" w:hAnsi="Cambria Math"/>
                <w:i/>
              </w:rPr>
            </m:ctrlPr>
          </m:sSubPr>
          <m:e>
            <m:r>
              <w:rPr>
                <w:rFonts w:ascii="Cambria Math" w:hAnsi="Cambria Math"/>
              </w:rPr>
              <m:t>x</m:t>
            </m:r>
          </m:e>
          <m:sub>
            <m:r>
              <w:rPr>
                <w:rFonts w:ascii="Cambria Math" w:hAnsi="Cambria Math"/>
              </w:rPr>
              <m:t>4ij</m:t>
            </m:r>
          </m:sub>
        </m:sSub>
        <m:r>
          <w:rPr>
            <w:rFonts w:ascii="Cambria Math" w:hAnsi="Cambria Math"/>
          </w:rPr>
          <m:t xml:space="preserve"> </m:t>
        </m:r>
      </m:oMath>
      <w:r>
        <w:rPr>
          <w:bCs/>
        </w:rPr>
        <w:t xml:space="preserve">the following variables are included in all equations in the CDM system: logarithm of number of employees in the firm (included as a proxy of firm’s size); </w:t>
      </w:r>
      <w:r w:rsidRPr="00440A4A">
        <w:rPr>
          <w:bCs/>
        </w:rPr>
        <w:t xml:space="preserve">a binary variable </w:t>
      </w:r>
      <w:r>
        <w:rPr>
          <w:bCs/>
        </w:rPr>
        <w:t>taking value</w:t>
      </w:r>
      <w:r w:rsidRPr="00440A4A">
        <w:rPr>
          <w:bCs/>
        </w:rPr>
        <w:t xml:space="preserve"> one if </w:t>
      </w:r>
      <w:r w:rsidR="00094AB8">
        <w:rPr>
          <w:bCs/>
        </w:rPr>
        <w:t xml:space="preserve">the </w:t>
      </w:r>
      <w:r w:rsidRPr="00440A4A">
        <w:rPr>
          <w:bCs/>
        </w:rPr>
        <w:t>firm sells products to the EU and/or a regional market</w:t>
      </w:r>
      <w:r>
        <w:rPr>
          <w:bCs/>
        </w:rPr>
        <w:t xml:space="preserve"> (as </w:t>
      </w:r>
      <w:r w:rsidRPr="00440A4A">
        <w:rPr>
          <w:bCs/>
        </w:rPr>
        <w:t>a measure of international competition)</w:t>
      </w:r>
      <w:r>
        <w:rPr>
          <w:bCs/>
        </w:rPr>
        <w:t>;</w:t>
      </w:r>
      <w:r w:rsidRPr="00440A4A">
        <w:rPr>
          <w:bCs/>
        </w:rPr>
        <w:t xml:space="preserve"> and four </w:t>
      </w:r>
      <w:r>
        <w:rPr>
          <w:bCs/>
        </w:rPr>
        <w:t>dummy variables (</w:t>
      </w:r>
      <w:r w:rsidRPr="00440A4A">
        <w:rPr>
          <w:bCs/>
        </w:rPr>
        <w:t>high-tech, med-high, med-low or low-tech</w:t>
      </w:r>
      <w:r>
        <w:rPr>
          <w:bCs/>
        </w:rPr>
        <w:t>)</w:t>
      </w:r>
      <w:r w:rsidRPr="00440A4A">
        <w:rPr>
          <w:bCs/>
        </w:rPr>
        <w:t xml:space="preserve"> referring to</w:t>
      </w:r>
      <w:r>
        <w:rPr>
          <w:bCs/>
        </w:rPr>
        <w:t xml:space="preserve"> the technology level of the manufacturing sector that the firm operates in</w:t>
      </w:r>
      <w:r w:rsidRPr="00440A4A">
        <w:rPr>
          <w:bCs/>
        </w:rPr>
        <w:t xml:space="preserve">. </w:t>
      </w:r>
      <w:r>
        <w:rPr>
          <w:bCs/>
        </w:rPr>
        <w:t xml:space="preserve">Additional </w:t>
      </w:r>
      <w:r w:rsidR="00BB56F3">
        <w:rPr>
          <w:bCs/>
        </w:rPr>
        <w:t xml:space="preserve">explanatory </w:t>
      </w:r>
      <w:r>
        <w:rPr>
          <w:bCs/>
        </w:rPr>
        <w:t xml:space="preserve">variables included in each equation are as follows: </w:t>
      </w:r>
      <w:r w:rsidR="001B659D">
        <w:rPr>
          <w:bCs/>
        </w:rPr>
        <w:t xml:space="preserve">In </w:t>
      </w:r>
      <w:r w:rsidRPr="00B20192">
        <w:rPr>
          <w:bCs/>
        </w:rPr>
        <w:fldChar w:fldCharType="begin"/>
      </w:r>
      <w:r w:rsidRPr="00B20192">
        <w:rPr>
          <w:bCs/>
        </w:rPr>
        <w:instrText xml:space="preserve"> QUOTE </w:instrText>
      </w:r>
      <w:r w:rsidR="001F2CA9">
        <w:rPr>
          <w:noProof/>
          <w:position w:val="-6"/>
        </w:rPr>
        <w:pict w14:anchorId="27617E7E">
          <v:shape id="_x0000_i1047" type="#_x0000_t75" alt="" style="width:16.65pt;height:16.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9&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23FF&quot;/&gt;&lt;wsp:rsid wsp:val=&quot;00007CE6&quot;/&gt;&lt;wsp:rsid wsp:val=&quot;00012FD3&quot;/&gt;&lt;wsp:rsid wsp:val=&quot;00014DC2&quot;/&gt;&lt;wsp:rsid wsp:val=&quot;00033071&quot;/&gt;&lt;wsp:rsid wsp:val=&quot;000343C2&quot;/&gt;&lt;wsp:rsid wsp:val=&quot;000457F0&quot;/&gt;&lt;wsp:rsid wsp:val=&quot;000508A2&quot;/&gt;&lt;wsp:rsid wsp:val=&quot;00057A50&quot;/&gt;&lt;wsp:rsid wsp:val=&quot;00060836&quot;/&gt;&lt;wsp:rsid wsp:val=&quot;00081C6C&quot;/&gt;&lt;wsp:rsid wsp:val=&quot;000B2B77&quot;/&gt;&lt;wsp:rsid wsp:val=&quot;000B3B10&quot;/&gt;&lt;wsp:rsid wsp:val=&quot;000C52CC&quot;/&gt;&lt;wsp:rsid wsp:val=&quot;000D28D5&quot;/&gt;&lt;wsp:rsid wsp:val=&quot;000E0842&quot;/&gt;&lt;wsp:rsid wsp:val=&quot;000E0D6B&quot;/&gt;&lt;wsp:rsid wsp:val=&quot;00103A5E&quot;/&gt;&lt;wsp:rsid wsp:val=&quot;0011196F&quot;/&gt;&lt;wsp:rsid wsp:val=&quot;001325C8&quot;/&gt;&lt;wsp:rsid wsp:val=&quot;00145E6E&quot;/&gt;&lt;wsp:rsid wsp:val=&quot;001536DF&quot;/&gt;&lt;wsp:rsid wsp:val=&quot;001635C0&quot;/&gt;&lt;wsp:rsid wsp:val=&quot;00167542&quot;/&gt;&lt;wsp:rsid wsp:val=&quot;00170DE0&quot;/&gt;&lt;wsp:rsid wsp:val=&quot;00171140&quot;/&gt;&lt;wsp:rsid wsp:val=&quot;00176CE0&quot;/&gt;&lt;wsp:rsid wsp:val=&quot;00186A4D&quot;/&gt;&lt;wsp:rsid wsp:val=&quot;001C1B16&quot;/&gt;&lt;wsp:rsid wsp:val=&quot;001D4BB1&quot;/&gt;&lt;wsp:rsid wsp:val=&quot;001D75E0&quot;/&gt;&lt;wsp:rsid wsp:val=&quot;001E6358&quot;/&gt;&lt;wsp:rsid wsp:val=&quot;001F77FF&quot;/&gt;&lt;wsp:rsid wsp:val=&quot;00214AB2&quot;/&gt;&lt;wsp:rsid wsp:val=&quot;002423FF&quot;/&gt;&lt;wsp:rsid wsp:val=&quot;00247EF8&quot;/&gt;&lt;wsp:rsid wsp:val=&quot;002504E4&quot;/&gt;&lt;wsp:rsid wsp:val=&quot;002640B4&quot;/&gt;&lt;wsp:rsid wsp:val=&quot;00265517&quot;/&gt;&lt;wsp:rsid wsp:val=&quot;0027001D&quot;/&gt;&lt;wsp:rsid wsp:val=&quot;0027128B&quot;/&gt;&lt;wsp:rsid wsp:val=&quot;00287C73&quot;/&gt;&lt;wsp:rsid wsp:val=&quot;002A6C57&quot;/&gt;&lt;wsp:rsid wsp:val=&quot;002E42DB&quot;/&gt;&lt;wsp:rsid wsp:val=&quot;002E4A8C&quot;/&gt;&lt;wsp:rsid wsp:val=&quot;002E7C7A&quot;/&gt;&lt;wsp:rsid wsp:val=&quot;00310645&quot;/&gt;&lt;wsp:rsid wsp:val=&quot;0031551D&quot;/&gt;&lt;wsp:rsid wsp:val=&quot;00322F43&quot;/&gt;&lt;wsp:rsid wsp:val=&quot;00327ED1&quot;/&gt;&lt;wsp:rsid wsp:val=&quot;00330194&quot;/&gt;&lt;wsp:rsid wsp:val=&quot;00350488&quot;/&gt;&lt;wsp:rsid wsp:val=&quot;00363902&quot;/&gt;&lt;wsp:rsid wsp:val=&quot;00364D2F&quot;/&gt;&lt;wsp:rsid wsp:val=&quot;0037338D&quot;/&gt;&lt;wsp:rsid wsp:val=&quot;00374A92&quot;/&gt;&lt;wsp:rsid wsp:val=&quot;003819F3&quot;/&gt;&lt;wsp:rsid wsp:val=&quot;00387CA6&quot;/&gt;&lt;wsp:rsid wsp:val=&quot;003922AF&quot;/&gt;&lt;wsp:rsid wsp:val=&quot;00393A2C&quot;/&gt;&lt;wsp:rsid wsp:val=&quot;00394DE8&quot;/&gt;&lt;wsp:rsid wsp:val=&quot;003A13CA&quot;/&gt;&lt;wsp:rsid wsp:val=&quot;003A21A2&quot;/&gt;&lt;wsp:rsid wsp:val=&quot;003A69E0&quot;/&gt;&lt;wsp:rsid wsp:val=&quot;003B38B5&quot;/&gt;&lt;wsp:rsid wsp:val=&quot;003B72DF&quot;/&gt;&lt;wsp:rsid wsp:val=&quot;003C039E&quot;/&gt;&lt;wsp:rsid wsp:val=&quot;003C6125&quot;/&gt;&lt;wsp:rsid wsp:val=&quot;003D0FEC&quot;/&gt;&lt;wsp:rsid wsp:val=&quot;003F0219&quot;/&gt;&lt;wsp:rsid wsp:val=&quot;003F1CF8&quot;/&gt;&lt;wsp:rsid wsp:val=&quot;003F2CFB&quot;/&gt;&lt;wsp:rsid wsp:val=&quot;00407C5D&quot;/&gt;&lt;wsp:rsid wsp:val=&quot;00412762&quot;/&gt;&lt;wsp:rsid wsp:val=&quot;00415636&quot;/&gt;&lt;wsp:rsid wsp:val=&quot;00416314&quot;/&gt;&lt;wsp:rsid wsp:val=&quot;00440A4A&quot;/&gt;&lt;wsp:rsid wsp:val=&quot;00444BAA&quot;/&gt;&lt;wsp:rsid wsp:val=&quot;00450935&quot;/&gt;&lt;wsp:rsid wsp:val=&quot;004531B1&quot;/&gt;&lt;wsp:rsid wsp:val=&quot;00470717&quot;/&gt;&lt;wsp:rsid wsp:val=&quot;00472A7F&quot;/&gt;&lt;wsp:rsid wsp:val=&quot;00475EB3&quot;/&gt;&lt;wsp:rsid wsp:val=&quot;00482CC7&quot;/&gt;&lt;wsp:rsid wsp:val=&quot;00487368&quot;/&gt;&lt;wsp:rsid wsp:val=&quot;0049067B&quot;/&gt;&lt;wsp:rsid wsp:val=&quot;004B4535&quot;/&gt;&lt;wsp:rsid wsp:val=&quot;004B4649&quot;/&gt;&lt;wsp:rsid wsp:val=&quot;004E0800&quot;/&gt;&lt;wsp:rsid wsp:val=&quot;004E7BA4&quot;/&gt;&lt;wsp:rsid wsp:val=&quot;00514B45&quot;/&gt;&lt;wsp:rsid wsp:val=&quot;00517F73&quot;/&gt;&lt;wsp:rsid wsp:val=&quot;00521BB6&quot;/&gt;&lt;wsp:rsid wsp:val=&quot;005302D8&quot;/&gt;&lt;wsp:rsid wsp:val=&quot;00545829&quot;/&gt;&lt;wsp:rsid wsp:val=&quot;00547C61&quot;/&gt;&lt;wsp:rsid wsp:val=&quot;00552620&quot;/&gt;&lt;wsp:rsid wsp:val=&quot;00555C18&quot;/&gt;&lt;wsp:rsid wsp:val=&quot;00563EED&quot;/&gt;&lt;wsp:rsid wsp:val=&quot;005752F0&quot;/&gt;&lt;wsp:rsid wsp:val=&quot;0058780C&quot;/&gt;&lt;wsp:rsid wsp:val=&quot;00593A35&quot;/&gt;&lt;wsp:rsid wsp:val=&quot;005942B2&quot;/&gt;&lt;wsp:rsid wsp:val=&quot;005D3787&quot;/&gt;&lt;wsp:rsid wsp:val=&quot;005D4A65&quot;/&gt;&lt;wsp:rsid wsp:val=&quot;005E3BEB&quot;/&gt;&lt;wsp:rsid wsp:val=&quot;005F2E1C&quot;/&gt;&lt;wsp:rsid wsp:val=&quot;00600671&quot;/&gt;&lt;wsp:rsid wsp:val=&quot;006112F8&quot;/&gt;&lt;wsp:rsid wsp:val=&quot;00621E76&quot;/&gt;&lt;wsp:rsid wsp:val=&quot;006410C8&quot;/&gt;&lt;wsp:rsid wsp:val=&quot;00641FE2&quot;/&gt;&lt;wsp:rsid wsp:val=&quot;00651FA6&quot;/&gt;&lt;wsp:rsid wsp:val=&quot;00654FBA&quot;/&gt;&lt;wsp:rsid wsp:val=&quot;00667DBF&quot;/&gt;&lt;wsp:rsid wsp:val=&quot;00671A51&quot;/&gt;&lt;wsp:rsid wsp:val=&quot;00675C51&quot;/&gt;&lt;wsp:rsid wsp:val=&quot;006B0310&quot;/&gt;&lt;wsp:rsid wsp:val=&quot;006B5199&quot;/&gt;&lt;wsp:rsid wsp:val=&quot;006C2167&quot;/&gt;&lt;wsp:rsid wsp:val=&quot;006D755A&quot;/&gt;&lt;wsp:rsid wsp:val=&quot;006F3EB7&quot;/&gt;&lt;wsp:rsid wsp:val=&quot;00720F77&quot;/&gt;&lt;wsp:rsid wsp:val=&quot;007238A2&quot;/&gt;&lt;wsp:rsid wsp:val=&quot;00751C3F&quot;/&gt;&lt;wsp:rsid wsp:val=&quot;00757B07&quot;/&gt;&lt;wsp:rsid wsp:val=&quot;00761F95&quot;/&gt;&lt;wsp:rsid wsp:val=&quot;007A3AA8&quot;/&gt;&lt;wsp:rsid wsp:val=&quot;007A54F7&quot;/&gt;&lt;wsp:rsid wsp:val=&quot;007B294E&quot;/&gt;&lt;wsp:rsid wsp:val=&quot;007B7D71&quot;/&gt;&lt;wsp:rsid wsp:val=&quot;007D494B&quot;/&gt;&lt;wsp:rsid wsp:val=&quot;007F390E&quot;/&gt;&lt;wsp:rsid wsp:val=&quot;008111E1&quot;/&gt;&lt;wsp:rsid wsp:val=&quot;008164F3&quot;/&gt;&lt;wsp:rsid wsp:val=&quot;00817360&quot;/&gt;&lt;wsp:rsid wsp:val=&quot;0083733C&quot;/&gt;&lt;wsp:rsid wsp:val=&quot;008418D1&quot;/&gt;&lt;wsp:rsid wsp:val=&quot;008442E5&quot;/&gt;&lt;wsp:rsid wsp:val=&quot;00855CD6&quot;/&gt;&lt;wsp:rsid wsp:val=&quot;00867361&quot;/&gt;&lt;wsp:rsid wsp:val=&quot;008778EB&quot;/&gt;&lt;wsp:rsid wsp:val=&quot;00895425&quot;/&gt;&lt;wsp:rsid wsp:val=&quot;008A7E22&quot;/&gt;&lt;wsp:rsid wsp:val=&quot;008B7C3C&quot;/&gt;&lt;wsp:rsid wsp:val=&quot;0092305E&quot;/&gt;&lt;wsp:rsid wsp:val=&quot;00924099&quot;/&gt;&lt;wsp:rsid wsp:val=&quot;009254DF&quot;/&gt;&lt;wsp:rsid wsp:val=&quot;00932550&quot;/&gt;&lt;wsp:rsid wsp:val=&quot;00960DE8&quot;/&gt;&lt;wsp:rsid wsp:val=&quot;009863B2&quot;/&gt;&lt;wsp:rsid wsp:val=&quot;0099544E&quot;/&gt;&lt;wsp:rsid wsp:val=&quot;009A18AB&quot;/&gt;&lt;wsp:rsid wsp:val=&quot;009A5253&quot;/&gt;&lt;wsp:rsid wsp:val=&quot;009C5795&quot;/&gt;&lt;wsp:rsid wsp:val=&quot;009D0159&quot;/&gt;&lt;wsp:rsid wsp:val=&quot;009E046C&quot;/&gt;&lt;wsp:rsid wsp:val=&quot;009E47B5&quot;/&gt;&lt;wsp:rsid wsp:val=&quot;009F203A&quot;/&gt;&lt;wsp:rsid wsp:val=&quot;00A06577&quot;/&gt;&lt;wsp:rsid wsp:val=&quot;00A1375B&quot;/&gt;&lt;wsp:rsid wsp:val=&quot;00A178FC&quot;/&gt;&lt;wsp:rsid wsp:val=&quot;00A206C4&quot;/&gt;&lt;wsp:rsid wsp:val=&quot;00A240AB&quot;/&gt;&lt;wsp:rsid wsp:val=&quot;00A360DE&quot;/&gt;&lt;wsp:rsid wsp:val=&quot;00A37966&quot;/&gt;&lt;wsp:rsid wsp:val=&quot;00A41F7A&quot;/&gt;&lt;wsp:rsid wsp:val=&quot;00A472CA&quot;/&gt;&lt;wsp:rsid wsp:val=&quot;00A47AA9&quot;/&gt;&lt;wsp:rsid wsp:val=&quot;00A55CF9&quot;/&gt;&lt;wsp:rsid wsp:val=&quot;00A562FA&quot;/&gt;&lt;wsp:rsid wsp:val=&quot;00A66249&quot;/&gt;&lt;wsp:rsid wsp:val=&quot;00A70439&quot;/&gt;&lt;wsp:rsid wsp:val=&quot;00A91EE2&quot;/&gt;&lt;wsp:rsid wsp:val=&quot;00A923F2&quot;/&gt;&lt;wsp:rsid wsp:val=&quot;00A93231&quot;/&gt;&lt;wsp:rsid wsp:val=&quot;00AA6A77&quot;/&gt;&lt;wsp:rsid wsp:val=&quot;00AB2958&quot;/&gt;&lt;wsp:rsid wsp:val=&quot;00AB6C92&quot;/&gt;&lt;wsp:rsid wsp:val=&quot;00AF2B9C&quot;/&gt;&lt;wsp:rsid wsp:val=&quot;00B126ED&quot;/&gt;&lt;wsp:rsid wsp:val=&quot;00B20192&quot;/&gt;&lt;wsp:rsid wsp:val=&quot;00B30FBC&quot;/&gt;&lt;wsp:rsid wsp:val=&quot;00B402FB&quot;/&gt;&lt;wsp:rsid wsp:val=&quot;00B4033C&quot;/&gt;&lt;wsp:rsid wsp:val=&quot;00B50EBF&quot;/&gt;&lt;wsp:rsid wsp:val=&quot;00B55F62&quot;/&gt;&lt;wsp:rsid wsp:val=&quot;00B83E3B&quot;/&gt;&lt;wsp:rsid wsp:val=&quot;00B93CDB&quot;/&gt;&lt;wsp:rsid wsp:val=&quot;00BA2AED&quot;/&gt;&lt;wsp:rsid wsp:val=&quot;00BA5064&quot;/&gt;&lt;wsp:rsid wsp:val=&quot;00BA6ED3&quot;/&gt;&lt;wsp:rsid wsp:val=&quot;00BC33C0&quot;/&gt;&lt;wsp:rsid wsp:val=&quot;00BF4780&quot;/&gt;&lt;wsp:rsid wsp:val=&quot;00BF66C5&quot;/&gt;&lt;wsp:rsid wsp:val=&quot;00C00685&quot;/&gt;&lt;wsp:rsid wsp:val=&quot;00C104E5&quot;/&gt;&lt;wsp:rsid wsp:val=&quot;00C130AD&quot;/&gt;&lt;wsp:rsid wsp:val=&quot;00C167B6&quot;/&gt;&lt;wsp:rsid wsp:val=&quot;00C22EB4&quot;/&gt;&lt;wsp:rsid wsp:val=&quot;00C33DB0&quot;/&gt;&lt;wsp:rsid wsp:val=&quot;00C44F2F&quot;/&gt;&lt;wsp:rsid wsp:val=&quot;00C459C2&quot;/&gt;&lt;wsp:rsid wsp:val=&quot;00C60526&quot;/&gt;&lt;wsp:rsid wsp:val=&quot;00C71581&quot;/&gt;&lt;wsp:rsid wsp:val=&quot;00C84C33&quot;/&gt;&lt;wsp:rsid wsp:val=&quot;00C93852&quot;/&gt;&lt;wsp:rsid wsp:val=&quot;00CA3767&quot;/&gt;&lt;wsp:rsid wsp:val=&quot;00CE11C3&quot;/&gt;&lt;wsp:rsid wsp:val=&quot;00CE3363&quot;/&gt;&lt;wsp:rsid wsp:val=&quot;00CF0C4C&quot;/&gt;&lt;wsp:rsid wsp:val=&quot;00CF4582&quot;/&gt;&lt;wsp:rsid wsp:val=&quot;00D069A5&quot;/&gt;&lt;wsp:rsid wsp:val=&quot;00D36625&quot;/&gt;&lt;wsp:rsid wsp:val=&quot;00D37DBB&quot;/&gt;&lt;wsp:rsid wsp:val=&quot;00D40D96&quot;/&gt;&lt;wsp:rsid wsp:val=&quot;00D43F56&quot;/&gt;&lt;wsp:rsid wsp:val=&quot;00D448F5&quot;/&gt;&lt;wsp:rsid wsp:val=&quot;00D55AE3&quot;/&gt;&lt;wsp:rsid wsp:val=&quot;00D60E3F&quot;/&gt;&lt;wsp:rsid wsp:val=&quot;00D80163&quot;/&gt;&lt;wsp:rsid wsp:val=&quot;00D92691&quot;/&gt;&lt;wsp:rsid wsp:val=&quot;00DB6C48&quot;/&gt;&lt;wsp:rsid wsp:val=&quot;00DC70DE&quot;/&gt;&lt;wsp:rsid wsp:val=&quot;00DE277B&quot;/&gt;&lt;wsp:rsid wsp:val=&quot;00E2143A&quot;/&gt;&lt;wsp:rsid wsp:val=&quot;00E32ED6&quot;/&gt;&lt;wsp:rsid wsp:val=&quot;00E42A1B&quot;/&gt;&lt;wsp:rsid wsp:val=&quot;00E4638C&quot;/&gt;&lt;wsp:rsid wsp:val=&quot;00E55485&quot;/&gt;&lt;wsp:rsid wsp:val=&quot;00E6110F&quot;/&gt;&lt;wsp:rsid wsp:val=&quot;00E7044A&quot;/&gt;&lt;wsp:rsid wsp:val=&quot;00E715DE&quot;/&gt;&lt;wsp:rsid wsp:val=&quot;00E7793F&quot;/&gt;&lt;wsp:rsid wsp:val=&quot;00ED0BD2&quot;/&gt;&lt;wsp:rsid wsp:val=&quot;00ED4F05&quot;/&gt;&lt;wsp:rsid wsp:val=&quot;00ED5F38&quot;/&gt;&lt;wsp:rsid wsp:val=&quot;00EF4806&quot;/&gt;&lt;wsp:rsid wsp:val=&quot;00F033B7&quot;/&gt;&lt;wsp:rsid wsp:val=&quot;00F05164&quot;/&gt;&lt;wsp:rsid wsp:val=&quot;00F10522&quot;/&gt;&lt;wsp:rsid wsp:val=&quot;00F314BA&quot;/&gt;&lt;wsp:rsid wsp:val=&quot;00F315FE&quot;/&gt;&lt;wsp:rsid wsp:val=&quot;00F32A9C&quot;/&gt;&lt;wsp:rsid wsp:val=&quot;00F52F60&quot;/&gt;&lt;wsp:rsid wsp:val=&quot;00F60341&quot;/&gt;&lt;wsp:rsid wsp:val=&quot;00F67040&quot;/&gt;&lt;wsp:rsid wsp:val=&quot;00F725CD&quot;/&gt;&lt;wsp:rsid wsp:val=&quot;00F72C97&quot;/&gt;&lt;wsp:rsid wsp:val=&quot;00F93648&quot;/&gt;&lt;wsp:rsid wsp:val=&quot;00F948F5&quot;/&gt;&lt;wsp:rsid wsp:val=&quot;00F952DD&quot;/&gt;&lt;wsp:rsid wsp:val=&quot;00FB59F0&quot;/&gt;&lt;wsp:rsid wsp:val=&quot;00FB59FA&quot;/&gt;&lt;wsp:rsid wsp:val=&quot;00FC50F8&quot;/&gt;&lt;wsp:rsid wsp:val=&quot;00FD2187&quot;/&gt;&lt;wsp:rsid wsp:val=&quot;00FD7B74&quot;/&gt;&lt;wsp:rsid wsp:val=&quot;00FF72CE&quot;/&gt;&lt;/wsp:rsids&gt;&lt;/w:docPr&gt;&lt;w:body&gt;&lt;wx:sect&gt;&lt;w:p wsp:rsidR=&quot;00000000&quot; wsp:rsidRDefault=&quot;00C130AD&quot; wsp:rsidP=&quot;00C130AD&quot;&gt;&lt;m:oMathPara&gt;&lt;m:oMath&gt;&lt;m:sSub&gt;&lt;m:sSubPr&gt;&lt;m:ctrlPr&gt;&lt;aml:annotation aml:id=&quot;0&quot; w:type=&quot;Word.Deletion&quot; aml:author=&quot;Mehtap Hisarciklilar&quot; aml:createdate=&quot;2020-05-18T15:00:00Z&quot;&gt;&lt;aml:content&gt;&lt;w:rPr&gt;&lt;w:rFonts w:ascii=&quot;Cambria Math&quot; w:h-ansi=&quot;Cambria Math&quot;/&gt;&lt;wx:font wx:val=&quot;Cambria Math&quot;/&gt;&lt;w:b-cs/&gt;&lt;w:i/&gt;&lt;/w:rPr&gt;&lt;/aml:content&gt;&lt;/aml:annotation&gt;&lt;/m:ctrlPr&gt;&lt;/m:sSubPr&gt;&lt;m:e&gt;&lt;aml:annotation aml:id=&quot;1&quot; w:type=&quot;Word.Deletion&quot; aml:author=&quot;Mehtap Hisarciklilar&quot; aml:createdate=&quot;2020-05-18T15:00:00Z&quot;&gt;&lt;aml:content&gt;&lt;m:r&gt;&lt;w:rPr&gt;&lt;w:rFonts w:ascii=&quot;Cambria Math&quot; w:h-ansi=&quot;Cambria Math&quot;/&gt;&lt;wx:font wx:val=&quot;Cambria Math&quot;/&gt;&lt;w:i/&gt;&lt;/w:rPr&gt;&lt;m:t&gt;x&lt;/m:t&gt;&lt;/m:r&gt;&lt;/aml:content&gt;&lt;/aml:annotation&gt;&lt;/m:e&gt;&lt;m:sub&gt;&lt;aml:annotation aml:id=&quot;2&quot; w:type=&quot;Word.Deletion&quot; aml:author=&quot;Mehtap Hisarciklilar&quot; aml:createdate=&quot;2020-05-18T15:00:00Z&quot;&gt;&lt;aml:content&gt;&lt;m:r&gt;&lt;w:rPr&gt;&lt;w:rFonts w:ascii=&quot;Cambria Math&quot; w:h-ansi=&quot;Cambria Math&quot;/&gt;&lt;wx:font wx:val=&quot;Cambria Math&quot;/&gt;&lt;w:i/&gt;&lt;/w:rPr&gt;&lt;m:t&gt;1i&lt;/m:t&gt;&lt;/m:r&gt;&lt;/aml:content&gt;&lt;/aml:annotation&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B20192">
        <w:rPr>
          <w:bCs/>
        </w:rPr>
        <w:instrText xml:space="preserve"> </w:instrText>
      </w:r>
      <w:r w:rsidRPr="00B20192">
        <w:rPr>
          <w:bCs/>
        </w:rPr>
        <w:fldChar w:fldCharType="end"/>
      </w:r>
      <w:r w:rsidRPr="00440A4A">
        <w:rPr>
          <w:bCs/>
        </w:rPr>
        <w:t xml:space="preserve">Equation (1) </w:t>
      </w:r>
      <m:oMath>
        <m:sSub>
          <m:sSubPr>
            <m:ctrlPr>
              <w:rPr>
                <w:rFonts w:ascii="Cambria Math" w:hAnsi="Cambria Math"/>
                <w:i/>
              </w:rPr>
            </m:ctrlPr>
          </m:sSubPr>
          <m:e>
            <m:r>
              <w:rPr>
                <w:rFonts w:ascii="Cambria Math" w:hAnsi="Cambria Math"/>
              </w:rPr>
              <m:t>x</m:t>
            </m:r>
          </m:e>
          <m:sub>
            <m:r>
              <w:rPr>
                <w:rFonts w:ascii="Cambria Math" w:hAnsi="Cambria Math"/>
              </w:rPr>
              <m:t>1ij</m:t>
            </m:r>
          </m:sub>
        </m:sSub>
        <m:r>
          <w:rPr>
            <w:rFonts w:ascii="Cambria Math" w:hAnsi="Cambria Math"/>
          </w:rPr>
          <m:t xml:space="preserve"> </m:t>
        </m:r>
      </m:oMath>
      <w:r w:rsidRPr="00440A4A">
        <w:rPr>
          <w:bCs/>
        </w:rPr>
        <w:t>contain</w:t>
      </w:r>
      <w:r>
        <w:rPr>
          <w:bCs/>
        </w:rPr>
        <w:t xml:space="preserve">s </w:t>
      </w:r>
      <w:r w:rsidRPr="00440A4A">
        <w:rPr>
          <w:bCs/>
        </w:rPr>
        <w:t>two variables referring to detrimental factors preventing firms from achieving their goals due to lack of knowledge</w:t>
      </w:r>
      <w:r>
        <w:rPr>
          <w:rStyle w:val="FootnoteReference"/>
          <w:bCs/>
        </w:rPr>
        <w:footnoteReference w:id="7"/>
      </w:r>
      <w:r w:rsidRPr="00440A4A">
        <w:rPr>
          <w:bCs/>
        </w:rPr>
        <w:t xml:space="preserve"> and market factors</w:t>
      </w:r>
      <w:r w:rsidRPr="00440A4A">
        <w:rPr>
          <w:bCs/>
          <w:vertAlign w:val="superscript"/>
        </w:rPr>
        <w:footnoteReference w:id="8"/>
      </w:r>
      <w:r>
        <w:rPr>
          <w:bCs/>
        </w:rPr>
        <w:t xml:space="preserve">; </w:t>
      </w:r>
      <w:r w:rsidR="001B659D">
        <w:rPr>
          <w:bCs/>
        </w:rPr>
        <w:t xml:space="preserve">In </w:t>
      </w:r>
      <w:r w:rsidRPr="003D0FEC">
        <w:rPr>
          <w:bCs/>
        </w:rPr>
        <w:t xml:space="preserve">Equation (2) </w:t>
      </w:r>
      <m:oMath>
        <m:sSub>
          <m:sSubPr>
            <m:ctrlPr>
              <w:rPr>
                <w:rFonts w:ascii="Cambria Math" w:hAnsi="Cambria Math"/>
                <w:i/>
              </w:rPr>
            </m:ctrlPr>
          </m:sSubPr>
          <m:e>
            <m:r>
              <w:rPr>
                <w:rFonts w:ascii="Cambria Math" w:hAnsi="Cambria Math"/>
              </w:rPr>
              <m:t>x</m:t>
            </m:r>
          </m:e>
          <m:sub>
            <m:r>
              <w:rPr>
                <w:rFonts w:ascii="Cambria Math" w:hAnsi="Cambria Math"/>
              </w:rPr>
              <m:t>2ij</m:t>
            </m:r>
          </m:sub>
        </m:sSub>
        <m:r>
          <w:rPr>
            <w:rFonts w:ascii="Cambria Math" w:hAnsi="Cambria Math"/>
          </w:rPr>
          <m:t xml:space="preserve"> </m:t>
        </m:r>
      </m:oMath>
      <w:r>
        <w:rPr>
          <w:bCs/>
        </w:rPr>
        <w:t>includes</w:t>
      </w:r>
      <w:r w:rsidRPr="003D0FEC">
        <w:rPr>
          <w:bCs/>
        </w:rPr>
        <w:t xml:space="preserve"> three dummy variables referring to the level of education of employees</w:t>
      </w:r>
      <w:r w:rsidR="00587CC6">
        <w:rPr>
          <w:bCs/>
        </w:rPr>
        <w:t xml:space="preserve"> (the three dummies take value one </w:t>
      </w:r>
      <w:r w:rsidR="00253476">
        <w:rPr>
          <w:bCs/>
        </w:rPr>
        <w:t xml:space="preserve">if </w:t>
      </w:r>
      <w:r w:rsidR="00587CC6">
        <w:rPr>
          <w:bCs/>
        </w:rPr>
        <w:t>25-49%, 50-74% and 75-100% of employe</w:t>
      </w:r>
      <w:r w:rsidR="00A5492D">
        <w:rPr>
          <w:bCs/>
        </w:rPr>
        <w:t>e</w:t>
      </w:r>
      <w:r w:rsidR="00587CC6">
        <w:rPr>
          <w:bCs/>
        </w:rPr>
        <w:t>s with the university degree)</w:t>
      </w:r>
      <w:r w:rsidR="000D75A5">
        <w:rPr>
          <w:bCs/>
        </w:rPr>
        <w:t>,</w:t>
      </w:r>
      <w:r w:rsidRPr="003D0FEC">
        <w:rPr>
          <w:bCs/>
        </w:rPr>
        <w:t xml:space="preserve"> a dummy </w:t>
      </w:r>
      <w:r>
        <w:rPr>
          <w:bCs/>
        </w:rPr>
        <w:t>variable taking value</w:t>
      </w:r>
      <w:r w:rsidRPr="003D0FEC">
        <w:rPr>
          <w:bCs/>
        </w:rPr>
        <w:t xml:space="preserve"> one </w:t>
      </w:r>
      <w:r>
        <w:rPr>
          <w:bCs/>
        </w:rPr>
        <w:t xml:space="preserve">for </w:t>
      </w:r>
      <w:r w:rsidRPr="003D0FEC">
        <w:rPr>
          <w:bCs/>
        </w:rPr>
        <w:t>firm</w:t>
      </w:r>
      <w:r>
        <w:rPr>
          <w:bCs/>
        </w:rPr>
        <w:t>s</w:t>
      </w:r>
      <w:r w:rsidRPr="003D0FEC">
        <w:rPr>
          <w:bCs/>
        </w:rPr>
        <w:t xml:space="preserve"> produc</w:t>
      </w:r>
      <w:r>
        <w:rPr>
          <w:bCs/>
        </w:rPr>
        <w:t>ing</w:t>
      </w:r>
      <w:r w:rsidRPr="003D0FEC">
        <w:rPr>
          <w:bCs/>
        </w:rPr>
        <w:t xml:space="preserve"> innovation through cooperation with external partners</w:t>
      </w:r>
      <w:r>
        <w:rPr>
          <w:bCs/>
        </w:rPr>
        <w:t>,</w:t>
      </w:r>
      <w:r w:rsidRPr="003D0FEC">
        <w:rPr>
          <w:bCs/>
        </w:rPr>
        <w:t xml:space="preserve"> three dummy variables indicating subsidies sourced from local authorities, EU authorities and governmental authorities</w:t>
      </w:r>
      <w:r>
        <w:rPr>
          <w:bCs/>
        </w:rPr>
        <w:t xml:space="preserve">; </w:t>
      </w:r>
      <w:r w:rsidR="001B659D">
        <w:rPr>
          <w:bCs/>
        </w:rPr>
        <w:t xml:space="preserve">In </w:t>
      </w:r>
      <w:r w:rsidRPr="003D0FEC">
        <w:rPr>
          <w:bCs/>
        </w:rPr>
        <w:t xml:space="preserve">Equation (3) </w:t>
      </w:r>
      <m:oMath>
        <m:sSub>
          <m:sSubPr>
            <m:ctrlPr>
              <w:rPr>
                <w:rFonts w:ascii="Cambria Math" w:hAnsi="Cambria Math"/>
                <w:i/>
              </w:rPr>
            </m:ctrlPr>
          </m:sSubPr>
          <m:e>
            <m:r>
              <w:rPr>
                <w:rFonts w:ascii="Cambria Math" w:hAnsi="Cambria Math"/>
              </w:rPr>
              <m:t>x</m:t>
            </m:r>
          </m:e>
          <m:sub>
            <m:r>
              <w:rPr>
                <w:rFonts w:ascii="Cambria Math" w:hAnsi="Cambria Math"/>
              </w:rPr>
              <m:t>3ij</m:t>
            </m:r>
          </m:sub>
        </m:sSub>
      </m:oMath>
      <w:r w:rsidR="00A1491C">
        <w:t xml:space="preserve"> </w:t>
      </w:r>
      <w:r w:rsidRPr="003D0FEC">
        <w:rPr>
          <w:bCs/>
        </w:rPr>
        <w:t>includes labour productivity</w:t>
      </w:r>
      <w:r w:rsidR="00D45772">
        <w:rPr>
          <w:bCs/>
        </w:rPr>
        <w:t xml:space="preserve"> (total revenue divided by number of employee</w:t>
      </w:r>
      <w:r w:rsidR="004833F3">
        <w:rPr>
          <w:bCs/>
        </w:rPr>
        <w:t>s</w:t>
      </w:r>
      <w:r w:rsidR="00D45772">
        <w:rPr>
          <w:bCs/>
        </w:rPr>
        <w:t>)</w:t>
      </w:r>
      <w:r w:rsidRPr="003D0FEC">
        <w:rPr>
          <w:bCs/>
        </w:rPr>
        <w:t>, a dummy variable showing whether the firm is a member of a group, three dummy variables referring to the level of education of employees</w:t>
      </w:r>
      <w:r>
        <w:rPr>
          <w:bCs/>
        </w:rPr>
        <w:t>;</w:t>
      </w:r>
      <w:r w:rsidRPr="003D0FEC">
        <w:rPr>
          <w:bCs/>
        </w:rPr>
        <w:t xml:space="preserve"> </w:t>
      </w:r>
      <w:r w:rsidR="001B659D">
        <w:rPr>
          <w:bCs/>
        </w:rPr>
        <w:t xml:space="preserve">In </w:t>
      </w:r>
      <w:r w:rsidRPr="003D0FEC">
        <w:rPr>
          <w:bCs/>
        </w:rPr>
        <w:t xml:space="preserve">Equation (4) </w:t>
      </w:r>
      <m:oMath>
        <m:sSub>
          <m:sSubPr>
            <m:ctrlPr>
              <w:rPr>
                <w:rFonts w:ascii="Cambria Math" w:hAnsi="Cambria Math"/>
                <w:i/>
              </w:rPr>
            </m:ctrlPr>
          </m:sSubPr>
          <m:e>
            <m:r>
              <w:rPr>
                <w:rFonts w:ascii="Cambria Math" w:hAnsi="Cambria Math"/>
              </w:rPr>
              <m:t>x</m:t>
            </m:r>
          </m:e>
          <m:sub>
            <m:r>
              <w:rPr>
                <w:rFonts w:ascii="Cambria Math" w:hAnsi="Cambria Math"/>
              </w:rPr>
              <m:t>4ij</m:t>
            </m:r>
          </m:sub>
        </m:sSub>
      </m:oMath>
      <w:r w:rsidR="001B659D">
        <w:t xml:space="preserve"> </w:t>
      </w:r>
      <w:r w:rsidRPr="003D0FEC">
        <w:rPr>
          <w:bCs/>
        </w:rPr>
        <w:t>includes innovation output</w:t>
      </w:r>
      <w:r w:rsidR="004833F3">
        <w:rPr>
          <w:bCs/>
        </w:rPr>
        <w:t xml:space="preserve"> and</w:t>
      </w:r>
      <w:r w:rsidRPr="003D0FEC">
        <w:rPr>
          <w:bCs/>
        </w:rPr>
        <w:t xml:space="preserve"> the three </w:t>
      </w:r>
      <w:r w:rsidR="004833F3">
        <w:rPr>
          <w:bCs/>
        </w:rPr>
        <w:t xml:space="preserve">education dummies as </w:t>
      </w:r>
      <w:r w:rsidRPr="003D0FEC">
        <w:rPr>
          <w:bCs/>
        </w:rPr>
        <w:t xml:space="preserve">human capital controls. </w:t>
      </w:r>
    </w:p>
    <w:p w14:paraId="2D88432A" w14:textId="4E3B6C40" w:rsidR="00896EEA" w:rsidRDefault="00C714AD" w:rsidP="008210FE">
      <w:pPr>
        <w:widowControl w:val="0"/>
        <w:autoSpaceDE w:val="0"/>
        <w:autoSpaceDN w:val="0"/>
        <w:adjustRightInd w:val="0"/>
        <w:spacing w:after="240" w:line="360" w:lineRule="auto"/>
        <w:jc w:val="both"/>
        <w:rPr>
          <w:b/>
          <w:bCs/>
        </w:rPr>
      </w:pPr>
      <w:r>
        <w:rPr>
          <w:bCs/>
        </w:rPr>
        <w:t>Additionally, w</w:t>
      </w:r>
      <w:r w:rsidRPr="00440A4A">
        <w:rPr>
          <w:bCs/>
        </w:rPr>
        <w:t>hat is common to the vectors of control variables</w:t>
      </w:r>
      <w:r>
        <w:rPr>
          <w:bCs/>
        </w:rPr>
        <w:t xml:space="preserve"> in Equations </w:t>
      </w:r>
      <w:r w:rsidR="007729D7">
        <w:rPr>
          <w:bCs/>
        </w:rPr>
        <w:t>(</w:t>
      </w:r>
      <w:r>
        <w:rPr>
          <w:bCs/>
        </w:rPr>
        <w:t>2</w:t>
      </w:r>
      <w:r w:rsidR="007729D7">
        <w:rPr>
          <w:bCs/>
        </w:rPr>
        <w:t>)</w:t>
      </w:r>
      <w:r>
        <w:rPr>
          <w:bCs/>
        </w:rPr>
        <w:t xml:space="preserve"> to </w:t>
      </w:r>
      <w:r w:rsidR="007729D7">
        <w:rPr>
          <w:bCs/>
        </w:rPr>
        <w:t>(</w:t>
      </w:r>
      <w:r>
        <w:rPr>
          <w:bCs/>
        </w:rPr>
        <w:t>4</w:t>
      </w:r>
      <w:r w:rsidR="007729D7">
        <w:rPr>
          <w:bCs/>
        </w:rPr>
        <w:t>)</w:t>
      </w:r>
      <w:r>
        <w:rPr>
          <w:bCs/>
        </w:rPr>
        <w:t xml:space="preserve"> </w:t>
      </w:r>
      <w:r w:rsidRPr="00440A4A">
        <w:rPr>
          <w:bCs/>
        </w:rPr>
        <w:t>is a dummy variable referring to firms that do some other innovative activities (</w:t>
      </w:r>
      <w:r w:rsidRPr="00440A4A">
        <w:rPr>
          <w:bCs/>
          <w:i/>
        </w:rPr>
        <w:t>innov_other</w:t>
      </w:r>
      <w:r w:rsidRPr="00440A4A">
        <w:rPr>
          <w:bCs/>
        </w:rPr>
        <w:t>) in addition to R&amp;D (</w:t>
      </w:r>
      <w:r>
        <w:rPr>
          <w:bCs/>
        </w:rPr>
        <w:t xml:space="preserve">in Specification </w:t>
      </w:r>
      <w:r w:rsidR="005D27D3">
        <w:rPr>
          <w:bCs/>
        </w:rPr>
        <w:t>a</w:t>
      </w:r>
      <w:r w:rsidRPr="00440A4A">
        <w:rPr>
          <w:bCs/>
        </w:rPr>
        <w:t>) and a dummy referring to firms that do R&amp;D (</w:t>
      </w:r>
      <w:r w:rsidRPr="00440A4A">
        <w:rPr>
          <w:bCs/>
          <w:i/>
        </w:rPr>
        <w:t>innov_rd</w:t>
      </w:r>
      <w:r w:rsidRPr="00440A4A">
        <w:rPr>
          <w:bCs/>
        </w:rPr>
        <w:t xml:space="preserve">) in addition to </w:t>
      </w:r>
      <w:r w:rsidR="008210FE">
        <w:rPr>
          <w:bCs/>
        </w:rPr>
        <w:t>spending on machinery and equipment and training</w:t>
      </w:r>
      <w:r w:rsidRPr="00440A4A">
        <w:rPr>
          <w:bCs/>
        </w:rPr>
        <w:t xml:space="preserve"> (</w:t>
      </w:r>
      <w:r>
        <w:rPr>
          <w:bCs/>
        </w:rPr>
        <w:t xml:space="preserve">in Specification </w:t>
      </w:r>
      <w:r w:rsidR="005D27D3">
        <w:rPr>
          <w:bCs/>
        </w:rPr>
        <w:t>b</w:t>
      </w:r>
      <w:r w:rsidR="00CE27F5">
        <w:rPr>
          <w:bCs/>
        </w:rPr>
        <w:t>)</w:t>
      </w:r>
      <w:r w:rsidRPr="00440A4A">
        <w:rPr>
          <w:bCs/>
        </w:rPr>
        <w:t xml:space="preserve">. Thereby, we control for the effect of firms that engage in both – </w:t>
      </w:r>
      <w:r w:rsidRPr="003C6125">
        <w:rPr>
          <w:bCs/>
        </w:rPr>
        <w:t>knowledge creation and knowledge use.</w:t>
      </w:r>
    </w:p>
    <w:p w14:paraId="5F8561B8" w14:textId="77777777" w:rsidR="00B55F62" w:rsidRDefault="003D0FEC" w:rsidP="00204235">
      <w:pPr>
        <w:widowControl w:val="0"/>
        <w:autoSpaceDE w:val="0"/>
        <w:autoSpaceDN w:val="0"/>
        <w:adjustRightInd w:val="0"/>
        <w:spacing w:after="240" w:line="360" w:lineRule="auto"/>
        <w:jc w:val="both"/>
        <w:rPr>
          <w:b/>
          <w:bCs/>
        </w:rPr>
      </w:pPr>
      <w:r>
        <w:rPr>
          <w:b/>
          <w:bCs/>
        </w:rPr>
        <w:t xml:space="preserve">4. </w:t>
      </w:r>
      <w:r w:rsidRPr="003D0FEC">
        <w:rPr>
          <w:b/>
          <w:bCs/>
        </w:rPr>
        <w:t>Results</w:t>
      </w:r>
    </w:p>
    <w:p w14:paraId="1B02CA47" w14:textId="75271D41" w:rsidR="00C03980" w:rsidRDefault="00A76D2E" w:rsidP="008210FE">
      <w:pPr>
        <w:widowControl w:val="0"/>
        <w:autoSpaceDE w:val="0"/>
        <w:autoSpaceDN w:val="0"/>
        <w:adjustRightInd w:val="0"/>
        <w:spacing w:after="240" w:line="360" w:lineRule="auto"/>
        <w:jc w:val="both"/>
      </w:pPr>
      <w:r>
        <w:t>Table 2 presents e</w:t>
      </w:r>
      <w:r w:rsidR="00812B54">
        <w:t xml:space="preserve">stimation results for the first two equations of the CDM </w:t>
      </w:r>
      <w:r>
        <w:t>approach</w:t>
      </w:r>
      <w:r w:rsidR="00812B54">
        <w:t xml:space="preserve"> that model inputs into the innovation process </w:t>
      </w:r>
      <w:r>
        <w:t>while Table 3 presents results for the last two equat</w:t>
      </w:r>
      <w:r w:rsidR="00B36C61">
        <w:t>i</w:t>
      </w:r>
      <w:r>
        <w:t>ons, which, respectively, model the innovation output and productivity. As explained in the previous section,</w:t>
      </w:r>
      <w:r w:rsidR="00F37C5A">
        <w:t xml:space="preserve"> each of these equations are estimated for two subsamples of firms: </w:t>
      </w:r>
      <w:r w:rsidR="00E01434">
        <w:t xml:space="preserve">firms that are predominantly </w:t>
      </w:r>
      <w:r w:rsidR="00F37C5A">
        <w:t xml:space="preserve">knowledge creators and </w:t>
      </w:r>
      <w:r w:rsidR="00E01434">
        <w:t xml:space="preserve">firms that are predominantly </w:t>
      </w:r>
      <w:r w:rsidR="00F37C5A">
        <w:t xml:space="preserve">knowledge users. The former subsample includes firms that </w:t>
      </w:r>
      <w:r w:rsidR="003165A8">
        <w:t xml:space="preserve">engage in knowledge generation innovation regime by </w:t>
      </w:r>
      <w:r w:rsidR="00F37C5A">
        <w:t>invest</w:t>
      </w:r>
      <w:r w:rsidR="003165A8">
        <w:t>ing</w:t>
      </w:r>
      <w:r w:rsidR="00E01434">
        <w:t xml:space="preserve"> mainly</w:t>
      </w:r>
      <w:r w:rsidR="00F37C5A">
        <w:t xml:space="preserve"> in R&amp;D while th</w:t>
      </w:r>
      <w:r w:rsidR="00B36C61">
        <w:t xml:space="preserve">e latter includes firms that </w:t>
      </w:r>
      <w:r w:rsidR="003165A8">
        <w:t>engage in knowledge use</w:t>
      </w:r>
      <w:r w:rsidR="0012006F">
        <w:t xml:space="preserve"> mainly</w:t>
      </w:r>
      <w:r w:rsidR="003165A8">
        <w:t xml:space="preserve"> innovation regime through </w:t>
      </w:r>
      <w:r w:rsidR="00B36C61">
        <w:t xml:space="preserve">investment in machinery and </w:t>
      </w:r>
      <w:r w:rsidR="00AA613E">
        <w:t>equipment</w:t>
      </w:r>
      <w:r w:rsidR="00B36C61">
        <w:t xml:space="preserve"> and purchase of know-how</w:t>
      </w:r>
      <w:r w:rsidR="00AA613E">
        <w:t>.</w:t>
      </w:r>
      <w:r>
        <w:t xml:space="preserve"> </w:t>
      </w:r>
      <w:r w:rsidR="000A332C">
        <w:t xml:space="preserve">For expositional convenience </w:t>
      </w:r>
      <w:r w:rsidR="008210FE">
        <w:t xml:space="preserve">the </w:t>
      </w:r>
      <w:r w:rsidR="000A332C">
        <w:t xml:space="preserve">results for main variables of interest are presented in </w:t>
      </w:r>
      <w:r w:rsidR="008210FE">
        <w:t>Table 2</w:t>
      </w:r>
      <w:r w:rsidR="000A332C">
        <w:t xml:space="preserve"> while </w:t>
      </w:r>
      <w:r w:rsidR="008210FE">
        <w:t xml:space="preserve">the </w:t>
      </w:r>
      <w:r w:rsidR="000A332C">
        <w:t xml:space="preserve">full </w:t>
      </w:r>
      <w:r w:rsidR="008210FE">
        <w:t xml:space="preserve">estimation </w:t>
      </w:r>
      <w:r w:rsidR="000A332C">
        <w:t xml:space="preserve">results can be found in the appendix. </w:t>
      </w:r>
    </w:p>
    <w:p w14:paraId="5516D7FD" w14:textId="77777777" w:rsidR="00204235" w:rsidRPr="008F2BD6" w:rsidRDefault="003444D5" w:rsidP="008F2BD6">
      <w:pPr>
        <w:widowControl w:val="0"/>
        <w:autoSpaceDE w:val="0"/>
        <w:autoSpaceDN w:val="0"/>
        <w:adjustRightInd w:val="0"/>
        <w:spacing w:after="240" w:line="360" w:lineRule="auto"/>
        <w:jc w:val="both"/>
      </w:pPr>
      <w:r w:rsidRPr="001F1AC1">
        <w:t xml:space="preserve">The results </w:t>
      </w:r>
      <w:r w:rsidR="00C03980">
        <w:t xml:space="preserve">in </w:t>
      </w:r>
      <w:r w:rsidRPr="001F1AC1">
        <w:t xml:space="preserve">Table </w:t>
      </w:r>
      <w:r w:rsidR="000B21C5">
        <w:t>2</w:t>
      </w:r>
      <w:r w:rsidRPr="001F1AC1">
        <w:t xml:space="preserve"> </w:t>
      </w:r>
      <w:r w:rsidR="00FC7F71">
        <w:t xml:space="preserve">(marginal effects) </w:t>
      </w:r>
      <w:r w:rsidRPr="001F1AC1">
        <w:t>show positive horizontal spillover effects in the earl</w:t>
      </w:r>
      <w:r w:rsidR="003A752C">
        <w:t>ier</w:t>
      </w:r>
      <w:r w:rsidRPr="001F1AC1">
        <w:t xml:space="preserve"> stage</w:t>
      </w:r>
      <w:r w:rsidR="003A752C">
        <w:t>s</w:t>
      </w:r>
      <w:r w:rsidRPr="001F1AC1">
        <w:t xml:space="preserve"> of </w:t>
      </w:r>
      <w:r w:rsidR="00C03980">
        <w:t xml:space="preserve">the </w:t>
      </w:r>
      <w:r w:rsidRPr="001F1AC1">
        <w:t xml:space="preserve">innovation process, in both </w:t>
      </w:r>
      <w:r w:rsidR="00C03980">
        <w:t>subsamples</w:t>
      </w:r>
      <w:r w:rsidR="00C03980" w:rsidRPr="001F1AC1">
        <w:t xml:space="preserve"> </w:t>
      </w:r>
      <w:r w:rsidRPr="001F1AC1">
        <w:t>though the effect is larger (stronger) on firms that invest in knowledge use (</w:t>
      </w:r>
      <w:r w:rsidR="00C03980">
        <w:t>Specification b</w:t>
      </w:r>
      <w:r w:rsidRPr="001F1AC1">
        <w:t>) than on firms that invest in knowledge creation (</w:t>
      </w:r>
      <w:r w:rsidR="00C03980">
        <w:t>Specification a</w:t>
      </w:r>
      <w:r w:rsidRPr="001F1AC1">
        <w:t>).</w:t>
      </w:r>
      <w:r w:rsidRPr="001F1AC1">
        <w:rPr>
          <w:rStyle w:val="FootnoteReference"/>
        </w:rPr>
        <w:footnoteReference w:id="9"/>
      </w:r>
      <w:r w:rsidRPr="001F1AC1">
        <w:t xml:space="preserve"> The positive effect from horizontal spillover on</w:t>
      </w:r>
      <w:r w:rsidR="00CB062F">
        <w:t xml:space="preserve"> the likelihood of</w:t>
      </w:r>
      <w:r w:rsidRPr="001F1AC1">
        <w:t xml:space="preserve"> firms doing innovation through knowledge use is </w:t>
      </w:r>
      <w:r w:rsidR="00FF2841">
        <w:t xml:space="preserve">around </w:t>
      </w:r>
      <w:r w:rsidRPr="001F1AC1">
        <w:t xml:space="preserve">three times as high as the positive effect on those conducting R&amp;D. Likewise, </w:t>
      </w:r>
      <w:r w:rsidR="003A752C">
        <w:t xml:space="preserve">the presence of </w:t>
      </w:r>
      <w:r w:rsidRPr="001F1AC1">
        <w:t>foreign rival firm</w:t>
      </w:r>
      <w:r w:rsidR="003A752C">
        <w:t>s</w:t>
      </w:r>
      <w:r w:rsidRPr="001F1AC1">
        <w:t xml:space="preserve"> induces further spending on </w:t>
      </w:r>
      <w:r w:rsidR="003C67EF" w:rsidRPr="001F1AC1">
        <w:t xml:space="preserve">R&amp;D </w:t>
      </w:r>
      <w:r w:rsidR="003C67EF">
        <w:t xml:space="preserve">and </w:t>
      </w:r>
      <w:r w:rsidRPr="001F1AC1">
        <w:t xml:space="preserve">other </w:t>
      </w:r>
      <w:r w:rsidR="003C67EF">
        <w:t xml:space="preserve">innovation </w:t>
      </w:r>
      <w:r w:rsidRPr="001F1AC1">
        <w:t>activities (</w:t>
      </w:r>
      <w:r w:rsidR="003A752C">
        <w:t>E</w:t>
      </w:r>
      <w:r w:rsidRPr="001F1AC1">
        <w:t xml:space="preserve">q. 2), but the </w:t>
      </w:r>
      <w:r w:rsidR="003C67EF">
        <w:t>latter</w:t>
      </w:r>
      <w:r w:rsidRPr="001F1AC1">
        <w:t xml:space="preserve"> effect is approximately four times </w:t>
      </w:r>
      <w:r w:rsidR="00AC0E5B">
        <w:t>larger</w:t>
      </w:r>
      <w:r w:rsidRPr="001F1AC1">
        <w:t>, as judging by the</w:t>
      </w:r>
      <w:r w:rsidR="00AC0E5B">
        <w:t xml:space="preserve"> size of the</w:t>
      </w:r>
      <w:r w:rsidRPr="001F1AC1">
        <w:t xml:space="preserve"> coefficient estimate. If foreign rivals’ presence increase</w:t>
      </w:r>
      <w:r w:rsidR="003C67EF">
        <w:t>s</w:t>
      </w:r>
      <w:r w:rsidRPr="001F1AC1">
        <w:t xml:space="preserve"> by 0.01 unit the R&amp;D spending increases by 0.5% but spending on other innovative activities increase</w:t>
      </w:r>
      <w:r w:rsidR="003C67EF">
        <w:t>s</w:t>
      </w:r>
      <w:r w:rsidRPr="001F1AC1">
        <w:t xml:space="preserve"> by 2.1%.</w:t>
      </w:r>
    </w:p>
    <w:p w14:paraId="6868E8B6" w14:textId="77777777" w:rsidR="00204235" w:rsidRPr="008210FE" w:rsidRDefault="00204235" w:rsidP="008210FE">
      <w:pPr>
        <w:widowControl w:val="0"/>
        <w:autoSpaceDE w:val="0"/>
        <w:autoSpaceDN w:val="0"/>
        <w:adjustRightInd w:val="0"/>
        <w:spacing w:after="120"/>
        <w:jc w:val="both"/>
      </w:pPr>
      <w:r w:rsidRPr="008210FE">
        <w:t xml:space="preserve">Table 2. Type II Tobit estimation results for Equations 1 and 2 </w:t>
      </w:r>
      <w:r w:rsidR="008210FE" w:rsidRPr="008210FE">
        <w:t>(marginal effects)</w:t>
      </w:r>
    </w:p>
    <w:tbl>
      <w:tblPr>
        <w:tblStyle w:val="TableGrid"/>
        <w:tblW w:w="0" w:type="auto"/>
        <w:jc w:val="center"/>
        <w:tblLook w:val="04A0" w:firstRow="1" w:lastRow="0" w:firstColumn="1" w:lastColumn="0" w:noHBand="0" w:noVBand="1"/>
      </w:tblPr>
      <w:tblGrid>
        <w:gridCol w:w="2156"/>
        <w:gridCol w:w="1628"/>
        <w:gridCol w:w="1799"/>
        <w:gridCol w:w="1628"/>
        <w:gridCol w:w="1799"/>
      </w:tblGrid>
      <w:tr w:rsidR="00FA5885" w:rsidRPr="00204235" w14:paraId="1D254052" w14:textId="77777777" w:rsidTr="00FA5885">
        <w:trPr>
          <w:jc w:val="center"/>
        </w:trPr>
        <w:tc>
          <w:tcPr>
            <w:tcW w:w="0" w:type="auto"/>
          </w:tcPr>
          <w:p w14:paraId="1BB48C39" w14:textId="77777777" w:rsidR="00204235" w:rsidRPr="00204235" w:rsidRDefault="00204235" w:rsidP="00204235">
            <w:pPr>
              <w:widowControl w:val="0"/>
              <w:autoSpaceDE w:val="0"/>
              <w:autoSpaceDN w:val="0"/>
              <w:adjustRightInd w:val="0"/>
              <w:jc w:val="center"/>
              <w:rPr>
                <w:sz w:val="20"/>
                <w:szCs w:val="20"/>
              </w:rPr>
            </w:pPr>
          </w:p>
        </w:tc>
        <w:tc>
          <w:tcPr>
            <w:tcW w:w="0" w:type="auto"/>
            <w:gridSpan w:val="4"/>
          </w:tcPr>
          <w:p w14:paraId="78743514" w14:textId="77777777" w:rsidR="00204235" w:rsidRPr="00204235" w:rsidRDefault="00204235" w:rsidP="00204235">
            <w:pPr>
              <w:widowControl w:val="0"/>
              <w:autoSpaceDE w:val="0"/>
              <w:autoSpaceDN w:val="0"/>
              <w:adjustRightInd w:val="0"/>
              <w:jc w:val="center"/>
              <w:rPr>
                <w:sz w:val="20"/>
                <w:szCs w:val="20"/>
              </w:rPr>
            </w:pPr>
            <w:r w:rsidRPr="00204235">
              <w:rPr>
                <w:sz w:val="20"/>
                <w:szCs w:val="20"/>
              </w:rPr>
              <w:t>Innovation regime</w:t>
            </w:r>
          </w:p>
        </w:tc>
      </w:tr>
      <w:tr w:rsidR="00FA5885" w:rsidRPr="00204235" w14:paraId="69B8DA21" w14:textId="77777777" w:rsidTr="00FA5885">
        <w:trPr>
          <w:jc w:val="center"/>
        </w:trPr>
        <w:tc>
          <w:tcPr>
            <w:tcW w:w="0" w:type="auto"/>
          </w:tcPr>
          <w:p w14:paraId="39214D9A" w14:textId="77777777" w:rsidR="00204235" w:rsidRPr="00204235" w:rsidRDefault="00204235" w:rsidP="00204235">
            <w:pPr>
              <w:widowControl w:val="0"/>
              <w:autoSpaceDE w:val="0"/>
              <w:autoSpaceDN w:val="0"/>
              <w:adjustRightInd w:val="0"/>
              <w:jc w:val="center"/>
              <w:rPr>
                <w:sz w:val="20"/>
                <w:szCs w:val="20"/>
              </w:rPr>
            </w:pPr>
          </w:p>
        </w:tc>
        <w:tc>
          <w:tcPr>
            <w:tcW w:w="0" w:type="auto"/>
            <w:gridSpan w:val="2"/>
          </w:tcPr>
          <w:p w14:paraId="4DAACF2E" w14:textId="77777777" w:rsidR="00204235" w:rsidRPr="00204235" w:rsidRDefault="00204235" w:rsidP="00204235">
            <w:pPr>
              <w:widowControl w:val="0"/>
              <w:autoSpaceDE w:val="0"/>
              <w:autoSpaceDN w:val="0"/>
              <w:adjustRightInd w:val="0"/>
              <w:jc w:val="center"/>
              <w:rPr>
                <w:sz w:val="20"/>
                <w:szCs w:val="20"/>
              </w:rPr>
            </w:pPr>
            <w:r w:rsidRPr="00204235">
              <w:rPr>
                <w:sz w:val="20"/>
                <w:szCs w:val="20"/>
              </w:rPr>
              <w:t>Knowledge creators</w:t>
            </w:r>
          </w:p>
        </w:tc>
        <w:tc>
          <w:tcPr>
            <w:tcW w:w="0" w:type="auto"/>
            <w:gridSpan w:val="2"/>
          </w:tcPr>
          <w:p w14:paraId="2CDB076E" w14:textId="77777777" w:rsidR="00204235" w:rsidRPr="00204235" w:rsidRDefault="00204235" w:rsidP="00204235">
            <w:pPr>
              <w:widowControl w:val="0"/>
              <w:autoSpaceDE w:val="0"/>
              <w:autoSpaceDN w:val="0"/>
              <w:adjustRightInd w:val="0"/>
              <w:jc w:val="center"/>
              <w:rPr>
                <w:sz w:val="20"/>
                <w:szCs w:val="20"/>
              </w:rPr>
            </w:pPr>
            <w:r w:rsidRPr="00204235">
              <w:rPr>
                <w:sz w:val="20"/>
                <w:szCs w:val="20"/>
              </w:rPr>
              <w:t>Knowledge users</w:t>
            </w:r>
          </w:p>
        </w:tc>
      </w:tr>
      <w:tr w:rsidR="00FA5885" w:rsidRPr="00204235" w14:paraId="11D1BE86" w14:textId="77777777" w:rsidTr="00FA5885">
        <w:trPr>
          <w:jc w:val="center"/>
        </w:trPr>
        <w:tc>
          <w:tcPr>
            <w:tcW w:w="0" w:type="auto"/>
          </w:tcPr>
          <w:p w14:paraId="739515A7" w14:textId="77777777" w:rsidR="00FA5885" w:rsidRDefault="00FA5885" w:rsidP="00FA5885">
            <w:pPr>
              <w:widowControl w:val="0"/>
              <w:autoSpaceDE w:val="0"/>
              <w:autoSpaceDN w:val="0"/>
              <w:adjustRightInd w:val="0"/>
              <w:jc w:val="center"/>
              <w:rPr>
                <w:sz w:val="20"/>
                <w:szCs w:val="20"/>
              </w:rPr>
            </w:pPr>
          </w:p>
        </w:tc>
        <w:tc>
          <w:tcPr>
            <w:tcW w:w="0" w:type="auto"/>
          </w:tcPr>
          <w:p w14:paraId="396C9690" w14:textId="77777777" w:rsidR="00FA5885" w:rsidRPr="00204235" w:rsidRDefault="00FA5885" w:rsidP="00FA5885">
            <w:pPr>
              <w:widowControl w:val="0"/>
              <w:autoSpaceDE w:val="0"/>
              <w:autoSpaceDN w:val="0"/>
              <w:adjustRightInd w:val="0"/>
              <w:jc w:val="center"/>
              <w:rPr>
                <w:sz w:val="20"/>
                <w:szCs w:val="20"/>
              </w:rPr>
            </w:pPr>
            <w:r>
              <w:rPr>
                <w:sz w:val="20"/>
                <w:szCs w:val="20"/>
              </w:rPr>
              <w:t>Decision to innovate</w:t>
            </w:r>
          </w:p>
        </w:tc>
        <w:tc>
          <w:tcPr>
            <w:tcW w:w="0" w:type="auto"/>
          </w:tcPr>
          <w:p w14:paraId="15D8E590" w14:textId="77777777" w:rsidR="00FA5885" w:rsidRPr="00204235" w:rsidRDefault="00FA5885" w:rsidP="00FA5885">
            <w:pPr>
              <w:widowControl w:val="0"/>
              <w:autoSpaceDE w:val="0"/>
              <w:autoSpaceDN w:val="0"/>
              <w:adjustRightInd w:val="0"/>
              <w:jc w:val="center"/>
              <w:rPr>
                <w:sz w:val="20"/>
                <w:szCs w:val="20"/>
              </w:rPr>
            </w:pPr>
            <w:r>
              <w:rPr>
                <w:sz w:val="20"/>
                <w:szCs w:val="20"/>
              </w:rPr>
              <w:t>Innovation investment</w:t>
            </w:r>
          </w:p>
        </w:tc>
        <w:tc>
          <w:tcPr>
            <w:tcW w:w="0" w:type="auto"/>
          </w:tcPr>
          <w:p w14:paraId="3CEB7139" w14:textId="77777777" w:rsidR="00FA5885" w:rsidRPr="00204235" w:rsidRDefault="00FA5885" w:rsidP="00FA5885">
            <w:pPr>
              <w:widowControl w:val="0"/>
              <w:autoSpaceDE w:val="0"/>
              <w:autoSpaceDN w:val="0"/>
              <w:adjustRightInd w:val="0"/>
              <w:jc w:val="center"/>
              <w:rPr>
                <w:sz w:val="20"/>
                <w:szCs w:val="20"/>
              </w:rPr>
            </w:pPr>
            <w:r>
              <w:rPr>
                <w:sz w:val="20"/>
                <w:szCs w:val="20"/>
              </w:rPr>
              <w:t>Decision to innovate</w:t>
            </w:r>
          </w:p>
        </w:tc>
        <w:tc>
          <w:tcPr>
            <w:tcW w:w="0" w:type="auto"/>
          </w:tcPr>
          <w:p w14:paraId="2F635C1E" w14:textId="77777777" w:rsidR="00FA5885" w:rsidRPr="00204235" w:rsidRDefault="00FA5885" w:rsidP="00FA5885">
            <w:pPr>
              <w:widowControl w:val="0"/>
              <w:autoSpaceDE w:val="0"/>
              <w:autoSpaceDN w:val="0"/>
              <w:adjustRightInd w:val="0"/>
              <w:jc w:val="center"/>
              <w:rPr>
                <w:sz w:val="20"/>
                <w:szCs w:val="20"/>
              </w:rPr>
            </w:pPr>
            <w:r>
              <w:rPr>
                <w:sz w:val="20"/>
                <w:szCs w:val="20"/>
              </w:rPr>
              <w:t>Innovation investment</w:t>
            </w:r>
          </w:p>
        </w:tc>
      </w:tr>
      <w:tr w:rsidR="00FA5885" w:rsidRPr="00204235" w14:paraId="6CF58E48" w14:textId="77777777" w:rsidTr="00FA5885">
        <w:trPr>
          <w:jc w:val="center"/>
        </w:trPr>
        <w:tc>
          <w:tcPr>
            <w:tcW w:w="0" w:type="auto"/>
          </w:tcPr>
          <w:p w14:paraId="3686C311" w14:textId="77777777" w:rsidR="00204235" w:rsidRPr="00204235" w:rsidRDefault="00FA5885" w:rsidP="00FA5885">
            <w:pPr>
              <w:widowControl w:val="0"/>
              <w:autoSpaceDE w:val="0"/>
              <w:autoSpaceDN w:val="0"/>
              <w:adjustRightInd w:val="0"/>
              <w:rPr>
                <w:sz w:val="20"/>
                <w:szCs w:val="20"/>
              </w:rPr>
            </w:pPr>
            <w:r>
              <w:rPr>
                <w:sz w:val="20"/>
                <w:szCs w:val="20"/>
              </w:rPr>
              <w:t>Horizontal spillovers</w:t>
            </w:r>
          </w:p>
        </w:tc>
        <w:tc>
          <w:tcPr>
            <w:tcW w:w="0" w:type="auto"/>
          </w:tcPr>
          <w:p w14:paraId="6AF63957" w14:textId="77777777" w:rsidR="00204235" w:rsidRDefault="00FA5885" w:rsidP="00FA5885">
            <w:pPr>
              <w:widowControl w:val="0"/>
              <w:autoSpaceDE w:val="0"/>
              <w:autoSpaceDN w:val="0"/>
              <w:adjustRightInd w:val="0"/>
              <w:jc w:val="center"/>
              <w:rPr>
                <w:sz w:val="20"/>
                <w:szCs w:val="20"/>
              </w:rPr>
            </w:pPr>
            <w:r>
              <w:rPr>
                <w:sz w:val="20"/>
                <w:szCs w:val="20"/>
              </w:rPr>
              <w:t>0.077**</w:t>
            </w:r>
          </w:p>
          <w:p w14:paraId="0302BA77" w14:textId="77777777" w:rsidR="00FA5885" w:rsidRPr="00204235" w:rsidRDefault="00FA5885" w:rsidP="00FA5885">
            <w:pPr>
              <w:widowControl w:val="0"/>
              <w:autoSpaceDE w:val="0"/>
              <w:autoSpaceDN w:val="0"/>
              <w:adjustRightInd w:val="0"/>
              <w:jc w:val="center"/>
              <w:rPr>
                <w:sz w:val="20"/>
                <w:szCs w:val="20"/>
              </w:rPr>
            </w:pPr>
            <w:r>
              <w:rPr>
                <w:sz w:val="20"/>
                <w:szCs w:val="20"/>
              </w:rPr>
              <w:t>(0.0341)</w:t>
            </w:r>
          </w:p>
        </w:tc>
        <w:tc>
          <w:tcPr>
            <w:tcW w:w="0" w:type="auto"/>
          </w:tcPr>
          <w:p w14:paraId="1AB82473" w14:textId="77777777" w:rsidR="00204235" w:rsidRDefault="00FA5885" w:rsidP="00FA5885">
            <w:pPr>
              <w:widowControl w:val="0"/>
              <w:autoSpaceDE w:val="0"/>
              <w:autoSpaceDN w:val="0"/>
              <w:adjustRightInd w:val="0"/>
              <w:jc w:val="center"/>
              <w:rPr>
                <w:sz w:val="20"/>
                <w:szCs w:val="20"/>
              </w:rPr>
            </w:pPr>
            <w:r>
              <w:rPr>
                <w:sz w:val="20"/>
                <w:szCs w:val="20"/>
              </w:rPr>
              <w:t>0.460**</w:t>
            </w:r>
          </w:p>
          <w:p w14:paraId="255B129E" w14:textId="77777777" w:rsidR="00FA5885" w:rsidRPr="00204235" w:rsidRDefault="00FA5885" w:rsidP="00FA5885">
            <w:pPr>
              <w:widowControl w:val="0"/>
              <w:autoSpaceDE w:val="0"/>
              <w:autoSpaceDN w:val="0"/>
              <w:adjustRightInd w:val="0"/>
              <w:jc w:val="center"/>
              <w:rPr>
                <w:sz w:val="20"/>
                <w:szCs w:val="20"/>
              </w:rPr>
            </w:pPr>
            <w:r>
              <w:rPr>
                <w:sz w:val="20"/>
                <w:szCs w:val="20"/>
              </w:rPr>
              <w:t>(0.223)</w:t>
            </w:r>
          </w:p>
        </w:tc>
        <w:tc>
          <w:tcPr>
            <w:tcW w:w="0" w:type="auto"/>
          </w:tcPr>
          <w:p w14:paraId="31E602C7" w14:textId="77777777" w:rsidR="00204235" w:rsidRDefault="00FA5885" w:rsidP="00FA5885">
            <w:pPr>
              <w:widowControl w:val="0"/>
              <w:autoSpaceDE w:val="0"/>
              <w:autoSpaceDN w:val="0"/>
              <w:adjustRightInd w:val="0"/>
              <w:jc w:val="center"/>
              <w:rPr>
                <w:sz w:val="20"/>
                <w:szCs w:val="20"/>
              </w:rPr>
            </w:pPr>
            <w:r>
              <w:rPr>
                <w:sz w:val="20"/>
                <w:szCs w:val="20"/>
              </w:rPr>
              <w:t>0.242***</w:t>
            </w:r>
          </w:p>
          <w:p w14:paraId="60055BCA" w14:textId="77777777" w:rsidR="00FA5885" w:rsidRPr="00204235" w:rsidRDefault="00FA5885" w:rsidP="00FA5885">
            <w:pPr>
              <w:widowControl w:val="0"/>
              <w:autoSpaceDE w:val="0"/>
              <w:autoSpaceDN w:val="0"/>
              <w:adjustRightInd w:val="0"/>
              <w:jc w:val="center"/>
              <w:rPr>
                <w:sz w:val="20"/>
                <w:szCs w:val="20"/>
              </w:rPr>
            </w:pPr>
            <w:r>
              <w:rPr>
                <w:sz w:val="20"/>
                <w:szCs w:val="20"/>
              </w:rPr>
              <w:t>(0.039)</w:t>
            </w:r>
          </w:p>
        </w:tc>
        <w:tc>
          <w:tcPr>
            <w:tcW w:w="0" w:type="auto"/>
          </w:tcPr>
          <w:p w14:paraId="489F49DF" w14:textId="77777777" w:rsidR="00204235" w:rsidRDefault="00FA5885" w:rsidP="00FA5885">
            <w:pPr>
              <w:widowControl w:val="0"/>
              <w:autoSpaceDE w:val="0"/>
              <w:autoSpaceDN w:val="0"/>
              <w:adjustRightInd w:val="0"/>
              <w:jc w:val="center"/>
              <w:rPr>
                <w:sz w:val="20"/>
                <w:szCs w:val="20"/>
              </w:rPr>
            </w:pPr>
            <w:r>
              <w:rPr>
                <w:sz w:val="20"/>
                <w:szCs w:val="20"/>
              </w:rPr>
              <w:t>2.102***</w:t>
            </w:r>
          </w:p>
          <w:p w14:paraId="21E1C2A9" w14:textId="77777777" w:rsidR="00FA5885" w:rsidRPr="00204235" w:rsidRDefault="00FA5885" w:rsidP="00FA5885">
            <w:pPr>
              <w:widowControl w:val="0"/>
              <w:autoSpaceDE w:val="0"/>
              <w:autoSpaceDN w:val="0"/>
              <w:adjustRightInd w:val="0"/>
              <w:jc w:val="center"/>
              <w:rPr>
                <w:sz w:val="20"/>
                <w:szCs w:val="20"/>
              </w:rPr>
            </w:pPr>
            <w:r>
              <w:rPr>
                <w:sz w:val="20"/>
                <w:szCs w:val="20"/>
              </w:rPr>
              <w:t>(0.334)</w:t>
            </w:r>
          </w:p>
        </w:tc>
      </w:tr>
      <w:tr w:rsidR="00FA5885" w:rsidRPr="00204235" w14:paraId="0557D526" w14:textId="77777777" w:rsidTr="00FA5885">
        <w:trPr>
          <w:jc w:val="center"/>
        </w:trPr>
        <w:tc>
          <w:tcPr>
            <w:tcW w:w="0" w:type="auto"/>
          </w:tcPr>
          <w:p w14:paraId="23604589" w14:textId="77777777" w:rsidR="00204235" w:rsidRPr="00204235" w:rsidRDefault="00FA5885" w:rsidP="00FA5885">
            <w:pPr>
              <w:widowControl w:val="0"/>
              <w:autoSpaceDE w:val="0"/>
              <w:autoSpaceDN w:val="0"/>
              <w:adjustRightInd w:val="0"/>
              <w:rPr>
                <w:sz w:val="20"/>
                <w:szCs w:val="20"/>
              </w:rPr>
            </w:pPr>
            <w:r>
              <w:rPr>
                <w:sz w:val="20"/>
                <w:szCs w:val="20"/>
              </w:rPr>
              <w:t>Forward vertical spillovers</w:t>
            </w:r>
          </w:p>
        </w:tc>
        <w:tc>
          <w:tcPr>
            <w:tcW w:w="0" w:type="auto"/>
          </w:tcPr>
          <w:p w14:paraId="3F586978" w14:textId="77777777" w:rsidR="00204235" w:rsidRDefault="00FA5885" w:rsidP="00FA5885">
            <w:pPr>
              <w:widowControl w:val="0"/>
              <w:autoSpaceDE w:val="0"/>
              <w:autoSpaceDN w:val="0"/>
              <w:adjustRightInd w:val="0"/>
              <w:jc w:val="center"/>
              <w:rPr>
                <w:sz w:val="20"/>
                <w:szCs w:val="20"/>
              </w:rPr>
            </w:pPr>
            <w:r>
              <w:rPr>
                <w:sz w:val="20"/>
                <w:szCs w:val="20"/>
              </w:rPr>
              <w:t>-0.074</w:t>
            </w:r>
          </w:p>
          <w:p w14:paraId="3DD2EC1F" w14:textId="77777777" w:rsidR="00FA5885" w:rsidRPr="00204235" w:rsidRDefault="00FA5885" w:rsidP="00FA5885">
            <w:pPr>
              <w:widowControl w:val="0"/>
              <w:autoSpaceDE w:val="0"/>
              <w:autoSpaceDN w:val="0"/>
              <w:adjustRightInd w:val="0"/>
              <w:jc w:val="center"/>
              <w:rPr>
                <w:sz w:val="20"/>
                <w:szCs w:val="20"/>
              </w:rPr>
            </w:pPr>
            <w:r>
              <w:rPr>
                <w:sz w:val="20"/>
                <w:szCs w:val="20"/>
              </w:rPr>
              <w:t>(0.311)</w:t>
            </w:r>
          </w:p>
        </w:tc>
        <w:tc>
          <w:tcPr>
            <w:tcW w:w="0" w:type="auto"/>
          </w:tcPr>
          <w:p w14:paraId="5FB93EB2" w14:textId="77777777" w:rsidR="00204235" w:rsidRDefault="00FA5885" w:rsidP="00FA5885">
            <w:pPr>
              <w:widowControl w:val="0"/>
              <w:autoSpaceDE w:val="0"/>
              <w:autoSpaceDN w:val="0"/>
              <w:adjustRightInd w:val="0"/>
              <w:jc w:val="center"/>
              <w:rPr>
                <w:sz w:val="20"/>
                <w:szCs w:val="20"/>
              </w:rPr>
            </w:pPr>
            <w:r>
              <w:rPr>
                <w:sz w:val="20"/>
                <w:szCs w:val="20"/>
              </w:rPr>
              <w:t>1.260</w:t>
            </w:r>
          </w:p>
          <w:p w14:paraId="60A71FE8" w14:textId="77777777" w:rsidR="00FA5885" w:rsidRPr="00204235" w:rsidRDefault="00FA5885" w:rsidP="00FA5885">
            <w:pPr>
              <w:widowControl w:val="0"/>
              <w:autoSpaceDE w:val="0"/>
              <w:autoSpaceDN w:val="0"/>
              <w:adjustRightInd w:val="0"/>
              <w:jc w:val="center"/>
              <w:rPr>
                <w:sz w:val="20"/>
                <w:szCs w:val="20"/>
              </w:rPr>
            </w:pPr>
            <w:r>
              <w:rPr>
                <w:sz w:val="20"/>
                <w:szCs w:val="20"/>
              </w:rPr>
              <w:t>(2.047)</w:t>
            </w:r>
          </w:p>
        </w:tc>
        <w:tc>
          <w:tcPr>
            <w:tcW w:w="0" w:type="auto"/>
          </w:tcPr>
          <w:p w14:paraId="0680010B" w14:textId="77777777" w:rsidR="00204235" w:rsidRDefault="00FA5885" w:rsidP="00FA5885">
            <w:pPr>
              <w:widowControl w:val="0"/>
              <w:autoSpaceDE w:val="0"/>
              <w:autoSpaceDN w:val="0"/>
              <w:adjustRightInd w:val="0"/>
              <w:jc w:val="center"/>
              <w:rPr>
                <w:sz w:val="20"/>
                <w:szCs w:val="20"/>
              </w:rPr>
            </w:pPr>
            <w:r>
              <w:rPr>
                <w:sz w:val="20"/>
                <w:szCs w:val="20"/>
              </w:rPr>
              <w:t>1.396***</w:t>
            </w:r>
          </w:p>
          <w:p w14:paraId="77B4BCD6" w14:textId="77777777" w:rsidR="00FA5885" w:rsidRPr="00204235" w:rsidRDefault="00FA5885" w:rsidP="00FA5885">
            <w:pPr>
              <w:widowControl w:val="0"/>
              <w:autoSpaceDE w:val="0"/>
              <w:autoSpaceDN w:val="0"/>
              <w:adjustRightInd w:val="0"/>
              <w:jc w:val="center"/>
              <w:rPr>
                <w:sz w:val="20"/>
                <w:szCs w:val="20"/>
              </w:rPr>
            </w:pPr>
            <w:r>
              <w:rPr>
                <w:sz w:val="20"/>
                <w:szCs w:val="20"/>
              </w:rPr>
              <w:t>(0.351)</w:t>
            </w:r>
          </w:p>
        </w:tc>
        <w:tc>
          <w:tcPr>
            <w:tcW w:w="0" w:type="auto"/>
          </w:tcPr>
          <w:p w14:paraId="6BBD66A2" w14:textId="77777777" w:rsidR="00204235" w:rsidRDefault="00FA5885" w:rsidP="00FA5885">
            <w:pPr>
              <w:widowControl w:val="0"/>
              <w:autoSpaceDE w:val="0"/>
              <w:autoSpaceDN w:val="0"/>
              <w:adjustRightInd w:val="0"/>
              <w:jc w:val="center"/>
              <w:rPr>
                <w:sz w:val="20"/>
                <w:szCs w:val="20"/>
              </w:rPr>
            </w:pPr>
            <w:r>
              <w:rPr>
                <w:sz w:val="20"/>
                <w:szCs w:val="20"/>
              </w:rPr>
              <w:t>9.814***</w:t>
            </w:r>
          </w:p>
          <w:p w14:paraId="5C174FA8" w14:textId="77777777" w:rsidR="00FA5885" w:rsidRPr="00204235" w:rsidRDefault="00FA5885" w:rsidP="00FA5885">
            <w:pPr>
              <w:widowControl w:val="0"/>
              <w:autoSpaceDE w:val="0"/>
              <w:autoSpaceDN w:val="0"/>
              <w:adjustRightInd w:val="0"/>
              <w:jc w:val="center"/>
              <w:rPr>
                <w:sz w:val="20"/>
                <w:szCs w:val="20"/>
              </w:rPr>
            </w:pPr>
            <w:r>
              <w:rPr>
                <w:sz w:val="20"/>
                <w:szCs w:val="20"/>
              </w:rPr>
              <w:t>(2.961)</w:t>
            </w:r>
          </w:p>
        </w:tc>
      </w:tr>
      <w:tr w:rsidR="00FA5885" w:rsidRPr="00204235" w14:paraId="5577C289" w14:textId="77777777" w:rsidTr="00FA5885">
        <w:trPr>
          <w:jc w:val="center"/>
        </w:trPr>
        <w:tc>
          <w:tcPr>
            <w:tcW w:w="0" w:type="auto"/>
          </w:tcPr>
          <w:p w14:paraId="1598C29D" w14:textId="77777777" w:rsidR="00204235" w:rsidRPr="00204235" w:rsidRDefault="00FA5885" w:rsidP="00FA5885">
            <w:pPr>
              <w:widowControl w:val="0"/>
              <w:autoSpaceDE w:val="0"/>
              <w:autoSpaceDN w:val="0"/>
              <w:adjustRightInd w:val="0"/>
              <w:rPr>
                <w:sz w:val="20"/>
                <w:szCs w:val="20"/>
              </w:rPr>
            </w:pPr>
            <w:r>
              <w:rPr>
                <w:sz w:val="20"/>
                <w:szCs w:val="20"/>
              </w:rPr>
              <w:t>Backward vertical spillovers</w:t>
            </w:r>
          </w:p>
        </w:tc>
        <w:tc>
          <w:tcPr>
            <w:tcW w:w="0" w:type="auto"/>
          </w:tcPr>
          <w:p w14:paraId="206EB02B" w14:textId="77777777" w:rsidR="00204235" w:rsidRDefault="00FA5885" w:rsidP="00FA5885">
            <w:pPr>
              <w:widowControl w:val="0"/>
              <w:autoSpaceDE w:val="0"/>
              <w:autoSpaceDN w:val="0"/>
              <w:adjustRightInd w:val="0"/>
              <w:jc w:val="center"/>
              <w:rPr>
                <w:sz w:val="20"/>
                <w:szCs w:val="20"/>
              </w:rPr>
            </w:pPr>
            <w:r>
              <w:rPr>
                <w:sz w:val="20"/>
                <w:szCs w:val="20"/>
              </w:rPr>
              <w:t>-3.537***</w:t>
            </w:r>
          </w:p>
          <w:p w14:paraId="51691EC3" w14:textId="77777777" w:rsidR="00FA5885" w:rsidRPr="00204235" w:rsidRDefault="00FA5885" w:rsidP="00FA5885">
            <w:pPr>
              <w:widowControl w:val="0"/>
              <w:autoSpaceDE w:val="0"/>
              <w:autoSpaceDN w:val="0"/>
              <w:adjustRightInd w:val="0"/>
              <w:jc w:val="center"/>
              <w:rPr>
                <w:sz w:val="20"/>
                <w:szCs w:val="20"/>
              </w:rPr>
            </w:pPr>
            <w:r>
              <w:rPr>
                <w:sz w:val="20"/>
                <w:szCs w:val="20"/>
              </w:rPr>
              <w:t>(0.399)</w:t>
            </w:r>
          </w:p>
        </w:tc>
        <w:tc>
          <w:tcPr>
            <w:tcW w:w="0" w:type="auto"/>
          </w:tcPr>
          <w:p w14:paraId="48CE0112" w14:textId="77777777" w:rsidR="00204235" w:rsidRDefault="00FA5885" w:rsidP="00FA5885">
            <w:pPr>
              <w:widowControl w:val="0"/>
              <w:autoSpaceDE w:val="0"/>
              <w:autoSpaceDN w:val="0"/>
              <w:adjustRightInd w:val="0"/>
              <w:jc w:val="center"/>
              <w:rPr>
                <w:sz w:val="20"/>
                <w:szCs w:val="20"/>
              </w:rPr>
            </w:pPr>
            <w:r>
              <w:rPr>
                <w:sz w:val="20"/>
                <w:szCs w:val="20"/>
              </w:rPr>
              <w:t>-30.50***</w:t>
            </w:r>
          </w:p>
          <w:p w14:paraId="220BEE67" w14:textId="77777777" w:rsidR="00FA5885" w:rsidRPr="00204235" w:rsidRDefault="00FA5885" w:rsidP="00FA5885">
            <w:pPr>
              <w:widowControl w:val="0"/>
              <w:autoSpaceDE w:val="0"/>
              <w:autoSpaceDN w:val="0"/>
              <w:adjustRightInd w:val="0"/>
              <w:jc w:val="center"/>
              <w:rPr>
                <w:sz w:val="20"/>
                <w:szCs w:val="20"/>
              </w:rPr>
            </w:pPr>
            <w:r>
              <w:rPr>
                <w:sz w:val="20"/>
                <w:szCs w:val="20"/>
              </w:rPr>
              <w:t>(2.742)</w:t>
            </w:r>
          </w:p>
        </w:tc>
        <w:tc>
          <w:tcPr>
            <w:tcW w:w="0" w:type="auto"/>
          </w:tcPr>
          <w:p w14:paraId="3EC5973F" w14:textId="77777777" w:rsidR="00204235" w:rsidRDefault="00FA5885" w:rsidP="00FA5885">
            <w:pPr>
              <w:widowControl w:val="0"/>
              <w:autoSpaceDE w:val="0"/>
              <w:autoSpaceDN w:val="0"/>
              <w:adjustRightInd w:val="0"/>
              <w:jc w:val="center"/>
              <w:rPr>
                <w:sz w:val="20"/>
                <w:szCs w:val="20"/>
              </w:rPr>
            </w:pPr>
            <w:r>
              <w:rPr>
                <w:sz w:val="20"/>
                <w:szCs w:val="20"/>
              </w:rPr>
              <w:t>-4.623***</w:t>
            </w:r>
          </w:p>
          <w:p w14:paraId="3D481DB5" w14:textId="77777777" w:rsidR="00FA5885" w:rsidRPr="00204235" w:rsidRDefault="00FA5885" w:rsidP="00FA5885">
            <w:pPr>
              <w:widowControl w:val="0"/>
              <w:autoSpaceDE w:val="0"/>
              <w:autoSpaceDN w:val="0"/>
              <w:adjustRightInd w:val="0"/>
              <w:jc w:val="center"/>
              <w:rPr>
                <w:sz w:val="20"/>
                <w:szCs w:val="20"/>
              </w:rPr>
            </w:pPr>
            <w:r>
              <w:rPr>
                <w:sz w:val="20"/>
                <w:szCs w:val="20"/>
              </w:rPr>
              <w:t>(0.458)</w:t>
            </w:r>
          </w:p>
        </w:tc>
        <w:tc>
          <w:tcPr>
            <w:tcW w:w="0" w:type="auto"/>
          </w:tcPr>
          <w:p w14:paraId="12A89015" w14:textId="77777777" w:rsidR="00204235" w:rsidRDefault="00FA5885" w:rsidP="00FA5885">
            <w:pPr>
              <w:widowControl w:val="0"/>
              <w:autoSpaceDE w:val="0"/>
              <w:autoSpaceDN w:val="0"/>
              <w:adjustRightInd w:val="0"/>
              <w:jc w:val="center"/>
              <w:rPr>
                <w:sz w:val="20"/>
                <w:szCs w:val="20"/>
              </w:rPr>
            </w:pPr>
            <w:r>
              <w:rPr>
                <w:sz w:val="20"/>
                <w:szCs w:val="20"/>
              </w:rPr>
              <w:t>-41.87***</w:t>
            </w:r>
          </w:p>
          <w:p w14:paraId="67AC3B9C" w14:textId="77777777" w:rsidR="00FA5885" w:rsidRPr="00204235" w:rsidRDefault="00FA5885" w:rsidP="00FA5885">
            <w:pPr>
              <w:widowControl w:val="0"/>
              <w:autoSpaceDE w:val="0"/>
              <w:autoSpaceDN w:val="0"/>
              <w:adjustRightInd w:val="0"/>
              <w:jc w:val="center"/>
              <w:rPr>
                <w:sz w:val="20"/>
                <w:szCs w:val="20"/>
              </w:rPr>
            </w:pPr>
            <w:r>
              <w:rPr>
                <w:sz w:val="20"/>
                <w:szCs w:val="20"/>
              </w:rPr>
              <w:t>(3.900)</w:t>
            </w:r>
          </w:p>
        </w:tc>
      </w:tr>
      <w:tr w:rsidR="00FA5885" w:rsidRPr="00204235" w14:paraId="4218AEDB" w14:textId="77777777" w:rsidTr="00FA5885">
        <w:trPr>
          <w:jc w:val="center"/>
        </w:trPr>
        <w:tc>
          <w:tcPr>
            <w:tcW w:w="0" w:type="auto"/>
          </w:tcPr>
          <w:p w14:paraId="6E6EED10" w14:textId="77777777" w:rsidR="00204235" w:rsidRPr="00204235" w:rsidRDefault="00FA5885" w:rsidP="00204235">
            <w:pPr>
              <w:widowControl w:val="0"/>
              <w:autoSpaceDE w:val="0"/>
              <w:autoSpaceDN w:val="0"/>
              <w:adjustRightInd w:val="0"/>
              <w:jc w:val="both"/>
              <w:rPr>
                <w:sz w:val="20"/>
                <w:szCs w:val="20"/>
              </w:rPr>
            </w:pPr>
            <w:r>
              <w:rPr>
                <w:sz w:val="20"/>
                <w:szCs w:val="20"/>
              </w:rPr>
              <w:t>Market concentration</w:t>
            </w:r>
          </w:p>
        </w:tc>
        <w:tc>
          <w:tcPr>
            <w:tcW w:w="0" w:type="auto"/>
          </w:tcPr>
          <w:p w14:paraId="30898336" w14:textId="77777777" w:rsidR="00204235" w:rsidRDefault="00FA5885" w:rsidP="00FA5885">
            <w:pPr>
              <w:widowControl w:val="0"/>
              <w:autoSpaceDE w:val="0"/>
              <w:autoSpaceDN w:val="0"/>
              <w:adjustRightInd w:val="0"/>
              <w:jc w:val="center"/>
              <w:rPr>
                <w:sz w:val="20"/>
                <w:szCs w:val="20"/>
              </w:rPr>
            </w:pPr>
            <w:r>
              <w:rPr>
                <w:sz w:val="20"/>
                <w:szCs w:val="20"/>
              </w:rPr>
              <w:t>-0.062</w:t>
            </w:r>
          </w:p>
          <w:p w14:paraId="267B86F6" w14:textId="77777777" w:rsidR="00FA5885" w:rsidRPr="00204235" w:rsidRDefault="00FA5885" w:rsidP="00FA5885">
            <w:pPr>
              <w:widowControl w:val="0"/>
              <w:autoSpaceDE w:val="0"/>
              <w:autoSpaceDN w:val="0"/>
              <w:adjustRightInd w:val="0"/>
              <w:jc w:val="center"/>
              <w:rPr>
                <w:sz w:val="20"/>
                <w:szCs w:val="20"/>
              </w:rPr>
            </w:pPr>
            <w:r>
              <w:rPr>
                <w:sz w:val="20"/>
                <w:szCs w:val="20"/>
              </w:rPr>
              <w:t>(0.040)</w:t>
            </w:r>
          </w:p>
        </w:tc>
        <w:tc>
          <w:tcPr>
            <w:tcW w:w="0" w:type="auto"/>
          </w:tcPr>
          <w:p w14:paraId="6BF544C3" w14:textId="77777777" w:rsidR="00204235" w:rsidRDefault="00FA5885" w:rsidP="00FA5885">
            <w:pPr>
              <w:widowControl w:val="0"/>
              <w:autoSpaceDE w:val="0"/>
              <w:autoSpaceDN w:val="0"/>
              <w:adjustRightInd w:val="0"/>
              <w:jc w:val="center"/>
              <w:rPr>
                <w:sz w:val="20"/>
                <w:szCs w:val="20"/>
              </w:rPr>
            </w:pPr>
            <w:r>
              <w:rPr>
                <w:sz w:val="20"/>
                <w:szCs w:val="20"/>
              </w:rPr>
              <w:t>-0.523*</w:t>
            </w:r>
          </w:p>
          <w:p w14:paraId="3B5BCBED" w14:textId="77777777" w:rsidR="00FA5885" w:rsidRPr="00204235" w:rsidRDefault="00FA5885" w:rsidP="00FA5885">
            <w:pPr>
              <w:widowControl w:val="0"/>
              <w:autoSpaceDE w:val="0"/>
              <w:autoSpaceDN w:val="0"/>
              <w:adjustRightInd w:val="0"/>
              <w:jc w:val="center"/>
              <w:rPr>
                <w:sz w:val="20"/>
                <w:szCs w:val="20"/>
              </w:rPr>
            </w:pPr>
            <w:r>
              <w:rPr>
                <w:sz w:val="20"/>
                <w:szCs w:val="20"/>
              </w:rPr>
              <w:t>(0.278)</w:t>
            </w:r>
          </w:p>
        </w:tc>
        <w:tc>
          <w:tcPr>
            <w:tcW w:w="0" w:type="auto"/>
          </w:tcPr>
          <w:p w14:paraId="4BAB09E8" w14:textId="77777777" w:rsidR="00204235" w:rsidRDefault="00FA5885" w:rsidP="00FA5885">
            <w:pPr>
              <w:widowControl w:val="0"/>
              <w:autoSpaceDE w:val="0"/>
              <w:autoSpaceDN w:val="0"/>
              <w:adjustRightInd w:val="0"/>
              <w:jc w:val="center"/>
              <w:rPr>
                <w:sz w:val="20"/>
                <w:szCs w:val="20"/>
              </w:rPr>
            </w:pPr>
            <w:r>
              <w:rPr>
                <w:sz w:val="20"/>
                <w:szCs w:val="20"/>
              </w:rPr>
              <w:t>-0.092</w:t>
            </w:r>
          </w:p>
          <w:p w14:paraId="7BA7D5B4" w14:textId="77777777" w:rsidR="00FA5885" w:rsidRPr="00204235" w:rsidRDefault="00FA5885" w:rsidP="00FA5885">
            <w:pPr>
              <w:widowControl w:val="0"/>
              <w:autoSpaceDE w:val="0"/>
              <w:autoSpaceDN w:val="0"/>
              <w:adjustRightInd w:val="0"/>
              <w:jc w:val="center"/>
              <w:rPr>
                <w:sz w:val="20"/>
                <w:szCs w:val="20"/>
              </w:rPr>
            </w:pPr>
            <w:r>
              <w:rPr>
                <w:sz w:val="20"/>
                <w:szCs w:val="20"/>
              </w:rPr>
              <w:t>(0.048)</w:t>
            </w:r>
          </w:p>
        </w:tc>
        <w:tc>
          <w:tcPr>
            <w:tcW w:w="0" w:type="auto"/>
          </w:tcPr>
          <w:p w14:paraId="70BE6515" w14:textId="77777777" w:rsidR="00204235" w:rsidRDefault="00FA5885" w:rsidP="00FA5885">
            <w:pPr>
              <w:widowControl w:val="0"/>
              <w:autoSpaceDE w:val="0"/>
              <w:autoSpaceDN w:val="0"/>
              <w:adjustRightInd w:val="0"/>
              <w:jc w:val="center"/>
              <w:rPr>
                <w:sz w:val="20"/>
                <w:szCs w:val="20"/>
              </w:rPr>
            </w:pPr>
            <w:r>
              <w:rPr>
                <w:sz w:val="20"/>
                <w:szCs w:val="20"/>
              </w:rPr>
              <w:t>-0.888*</w:t>
            </w:r>
          </w:p>
          <w:p w14:paraId="5338B8DC" w14:textId="77777777" w:rsidR="00FA5885" w:rsidRPr="00204235" w:rsidRDefault="00FA5885" w:rsidP="00FA5885">
            <w:pPr>
              <w:widowControl w:val="0"/>
              <w:autoSpaceDE w:val="0"/>
              <w:autoSpaceDN w:val="0"/>
              <w:adjustRightInd w:val="0"/>
              <w:jc w:val="center"/>
              <w:rPr>
                <w:sz w:val="20"/>
                <w:szCs w:val="20"/>
              </w:rPr>
            </w:pPr>
            <w:r>
              <w:rPr>
                <w:sz w:val="20"/>
                <w:szCs w:val="20"/>
              </w:rPr>
              <w:t>(0.456)</w:t>
            </w:r>
          </w:p>
        </w:tc>
      </w:tr>
      <w:tr w:rsidR="00FA5885" w:rsidRPr="00204235" w14:paraId="71FC16CA" w14:textId="77777777" w:rsidTr="00FA5885">
        <w:trPr>
          <w:jc w:val="center"/>
        </w:trPr>
        <w:tc>
          <w:tcPr>
            <w:tcW w:w="0" w:type="auto"/>
          </w:tcPr>
          <w:p w14:paraId="47F8E6B8" w14:textId="77777777" w:rsidR="00204235" w:rsidRPr="00204235" w:rsidRDefault="00FA5885" w:rsidP="00204235">
            <w:pPr>
              <w:widowControl w:val="0"/>
              <w:autoSpaceDE w:val="0"/>
              <w:autoSpaceDN w:val="0"/>
              <w:adjustRightInd w:val="0"/>
              <w:jc w:val="both"/>
              <w:rPr>
                <w:sz w:val="20"/>
                <w:szCs w:val="20"/>
              </w:rPr>
            </w:pPr>
            <w:r>
              <w:rPr>
                <w:sz w:val="20"/>
                <w:szCs w:val="20"/>
              </w:rPr>
              <w:t>Observations</w:t>
            </w:r>
          </w:p>
        </w:tc>
        <w:tc>
          <w:tcPr>
            <w:tcW w:w="0" w:type="auto"/>
          </w:tcPr>
          <w:p w14:paraId="32B7EE8C" w14:textId="77777777" w:rsidR="00204235" w:rsidRPr="00204235" w:rsidRDefault="00FA5885" w:rsidP="00FA5885">
            <w:pPr>
              <w:widowControl w:val="0"/>
              <w:autoSpaceDE w:val="0"/>
              <w:autoSpaceDN w:val="0"/>
              <w:adjustRightInd w:val="0"/>
              <w:jc w:val="center"/>
              <w:rPr>
                <w:sz w:val="20"/>
                <w:szCs w:val="20"/>
              </w:rPr>
            </w:pPr>
            <w:r>
              <w:rPr>
                <w:sz w:val="20"/>
                <w:szCs w:val="20"/>
              </w:rPr>
              <w:t>8676</w:t>
            </w:r>
          </w:p>
        </w:tc>
        <w:tc>
          <w:tcPr>
            <w:tcW w:w="0" w:type="auto"/>
          </w:tcPr>
          <w:p w14:paraId="55473232" w14:textId="77777777" w:rsidR="00204235" w:rsidRPr="00204235" w:rsidRDefault="00FA5885" w:rsidP="00FA5885">
            <w:pPr>
              <w:widowControl w:val="0"/>
              <w:autoSpaceDE w:val="0"/>
              <w:autoSpaceDN w:val="0"/>
              <w:adjustRightInd w:val="0"/>
              <w:jc w:val="center"/>
              <w:rPr>
                <w:sz w:val="20"/>
                <w:szCs w:val="20"/>
              </w:rPr>
            </w:pPr>
            <w:r>
              <w:rPr>
                <w:sz w:val="20"/>
                <w:szCs w:val="20"/>
              </w:rPr>
              <w:t>2259</w:t>
            </w:r>
          </w:p>
        </w:tc>
        <w:tc>
          <w:tcPr>
            <w:tcW w:w="0" w:type="auto"/>
          </w:tcPr>
          <w:p w14:paraId="275D90FE" w14:textId="77777777" w:rsidR="00204235" w:rsidRPr="00204235" w:rsidRDefault="00FA5885" w:rsidP="00FA5885">
            <w:pPr>
              <w:widowControl w:val="0"/>
              <w:autoSpaceDE w:val="0"/>
              <w:autoSpaceDN w:val="0"/>
              <w:adjustRightInd w:val="0"/>
              <w:jc w:val="center"/>
              <w:rPr>
                <w:sz w:val="20"/>
                <w:szCs w:val="20"/>
              </w:rPr>
            </w:pPr>
            <w:r>
              <w:rPr>
                <w:sz w:val="20"/>
                <w:szCs w:val="20"/>
              </w:rPr>
              <w:t>8676</w:t>
            </w:r>
          </w:p>
        </w:tc>
        <w:tc>
          <w:tcPr>
            <w:tcW w:w="0" w:type="auto"/>
          </w:tcPr>
          <w:p w14:paraId="4B90182B" w14:textId="77777777" w:rsidR="00204235" w:rsidRPr="00204235" w:rsidRDefault="00FA5885" w:rsidP="00FA5885">
            <w:pPr>
              <w:widowControl w:val="0"/>
              <w:autoSpaceDE w:val="0"/>
              <w:autoSpaceDN w:val="0"/>
              <w:adjustRightInd w:val="0"/>
              <w:jc w:val="center"/>
              <w:rPr>
                <w:sz w:val="20"/>
                <w:szCs w:val="20"/>
              </w:rPr>
            </w:pPr>
            <w:r>
              <w:rPr>
                <w:sz w:val="20"/>
                <w:szCs w:val="20"/>
              </w:rPr>
              <w:t>3150</w:t>
            </w:r>
          </w:p>
        </w:tc>
      </w:tr>
    </w:tbl>
    <w:p w14:paraId="6F03362C" w14:textId="77777777" w:rsidR="00FA5885" w:rsidRDefault="00BC33C0" w:rsidP="007B2AAB">
      <w:pPr>
        <w:jc w:val="both"/>
        <w:rPr>
          <w:rFonts w:cs="Calibri"/>
          <w:sz w:val="16"/>
          <w:szCs w:val="16"/>
        </w:rPr>
      </w:pPr>
      <w:r w:rsidRPr="005603DB">
        <w:rPr>
          <w:rFonts w:ascii="Times New Roman" w:hAnsi="Times New Roman"/>
          <w:sz w:val="20"/>
          <w:szCs w:val="20"/>
        </w:rPr>
        <w:t xml:space="preserve">Note: </w:t>
      </w:r>
      <w:r w:rsidR="00F1788F" w:rsidRPr="00F1788F">
        <w:rPr>
          <w:rFonts w:cs="Calibri"/>
          <w:sz w:val="16"/>
          <w:szCs w:val="16"/>
        </w:rPr>
        <w:t>* p&lt;0.1, ** p&lt;0.05, *** p&lt;0.01</w:t>
      </w:r>
      <w:r w:rsidR="00F1788F">
        <w:rPr>
          <w:rFonts w:cs="Calibri"/>
          <w:sz w:val="16"/>
          <w:szCs w:val="16"/>
        </w:rPr>
        <w:t xml:space="preserve">; </w:t>
      </w:r>
      <w:r w:rsidR="00FA5885">
        <w:rPr>
          <w:rFonts w:cs="Calibri"/>
          <w:sz w:val="16"/>
          <w:szCs w:val="16"/>
        </w:rPr>
        <w:t xml:space="preserve">Detailed specifications and model diagnostics available in Online appendix. Standard errors in parentheses. Decision to innovate and innovation investment in knowledge creation regime refer to investment in R&amp;D. Decision to innovate and innovation investment in knowledge use regime refer to investment in machinery, equipment, software, training and know-how. </w:t>
      </w:r>
    </w:p>
    <w:p w14:paraId="69421A50" w14:textId="77777777" w:rsidR="007B2AAB" w:rsidRPr="007B2AAB" w:rsidRDefault="007B2AAB" w:rsidP="007B2AAB">
      <w:pPr>
        <w:jc w:val="both"/>
        <w:rPr>
          <w:sz w:val="20"/>
          <w:szCs w:val="20"/>
        </w:rPr>
      </w:pPr>
    </w:p>
    <w:p w14:paraId="27F8514C" w14:textId="1DE172B4" w:rsidR="00ED0BD2" w:rsidRPr="001F1AC1" w:rsidRDefault="005603DB" w:rsidP="008F2BD6">
      <w:pPr>
        <w:widowControl w:val="0"/>
        <w:autoSpaceDE w:val="0"/>
        <w:autoSpaceDN w:val="0"/>
        <w:adjustRightInd w:val="0"/>
        <w:spacing w:after="240" w:line="360" w:lineRule="auto"/>
        <w:jc w:val="both"/>
      </w:pPr>
      <w:r>
        <w:t>T</w:t>
      </w:r>
      <w:r w:rsidR="0053516D" w:rsidRPr="001F1AC1">
        <w:t>he</w:t>
      </w:r>
      <w:r w:rsidR="00506BAE">
        <w:t xml:space="preserve"> market</w:t>
      </w:r>
      <w:r w:rsidR="00CA37ED" w:rsidRPr="001F1AC1">
        <w:t xml:space="preserve"> competition effects are positive</w:t>
      </w:r>
      <w:r w:rsidR="003C4067" w:rsidRPr="001F1AC1">
        <w:t xml:space="preserve"> </w:t>
      </w:r>
      <w:r w:rsidR="00497C53" w:rsidRPr="001F1AC1">
        <w:t>i</w:t>
      </w:r>
      <w:r w:rsidR="003C4067" w:rsidRPr="001F1AC1">
        <w:t>n the early</w:t>
      </w:r>
      <w:r w:rsidR="00CA37ED" w:rsidRPr="001F1AC1">
        <w:t xml:space="preserve"> </w:t>
      </w:r>
      <w:r w:rsidR="003444D5" w:rsidRPr="001F1AC1">
        <w:t>phase</w:t>
      </w:r>
      <w:r w:rsidR="00CA37ED" w:rsidRPr="001F1AC1">
        <w:t xml:space="preserve"> </w:t>
      </w:r>
      <w:r w:rsidR="00A94A87" w:rsidRPr="001F1AC1">
        <w:t>of</w:t>
      </w:r>
      <w:r w:rsidR="00AB6E5C">
        <w:t xml:space="preserve"> the</w:t>
      </w:r>
      <w:r w:rsidR="00A94A87" w:rsidRPr="001F1AC1">
        <w:t xml:space="preserve"> innovation</w:t>
      </w:r>
      <w:r w:rsidR="003444D5" w:rsidRPr="001F1AC1">
        <w:t xml:space="preserve"> process</w:t>
      </w:r>
      <w:r w:rsidR="00BD1810">
        <w:t xml:space="preserve"> for both knowledge using and knowledge generating firms</w:t>
      </w:r>
      <w:r w:rsidR="008210FE">
        <w:t>.</w:t>
      </w:r>
      <w:r w:rsidR="00BD1810">
        <w:rPr>
          <w:rStyle w:val="FootnoteReference"/>
        </w:rPr>
        <w:footnoteReference w:id="10"/>
      </w:r>
      <w:r w:rsidR="003C4067" w:rsidRPr="001F1AC1">
        <w:t xml:space="preserve">. </w:t>
      </w:r>
      <w:r w:rsidR="0053516D" w:rsidRPr="001F1AC1">
        <w:rPr>
          <w:rFonts w:eastAsia="Times New Roman" w:cs="TimesNewRomanPSMT"/>
        </w:rPr>
        <w:t xml:space="preserve">Vertical spillovers have different impacts, depending on whether foreign firm is a supplier or a customer. </w:t>
      </w:r>
      <w:r w:rsidR="00ED0BD2" w:rsidRPr="001F1AC1">
        <w:t xml:space="preserve">Forward spillovers </w:t>
      </w:r>
      <w:r w:rsidR="004D3DBE">
        <w:t>(from</w:t>
      </w:r>
      <w:r w:rsidR="00CC214D">
        <w:t xml:space="preserve"> foreign</w:t>
      </w:r>
      <w:r w:rsidR="004D3DBE">
        <w:t xml:space="preserve"> customers) </w:t>
      </w:r>
      <w:r w:rsidR="00ED0BD2" w:rsidRPr="001F1AC1">
        <w:t>have positive and significant effect only for firms that invest in knowledge use</w:t>
      </w:r>
      <w:r w:rsidR="00CC214D">
        <w:t xml:space="preserve"> (</w:t>
      </w:r>
      <w:r w:rsidR="009D408F">
        <w:t>Specification b</w:t>
      </w:r>
      <w:r w:rsidR="00CC214D">
        <w:t>)</w:t>
      </w:r>
      <w:r w:rsidR="00ED0BD2" w:rsidRPr="001F1AC1">
        <w:t xml:space="preserve"> but not for firms that invest in knowledge creation </w:t>
      </w:r>
      <w:r w:rsidR="00CC214D">
        <w:t>(</w:t>
      </w:r>
      <w:r w:rsidR="009D408F">
        <w:t>Specification a</w:t>
      </w:r>
      <w:r w:rsidR="00CC214D">
        <w:t>)</w:t>
      </w:r>
      <w:r w:rsidR="00ED0BD2" w:rsidRPr="001F1AC1">
        <w:t>. Backward spillovers (foreign firm</w:t>
      </w:r>
      <w:r w:rsidR="003A752C">
        <w:t>s’</w:t>
      </w:r>
      <w:r w:rsidR="00ED0BD2" w:rsidRPr="001F1AC1">
        <w:t xml:space="preserve"> presence in downstream sector) are negative and significant in both </w:t>
      </w:r>
      <w:r w:rsidR="00934840" w:rsidRPr="001F1AC1">
        <w:t>m</w:t>
      </w:r>
      <w:r w:rsidR="00ED0BD2" w:rsidRPr="001F1AC1">
        <w:t>odels</w:t>
      </w:r>
      <w:r w:rsidR="0053516D" w:rsidRPr="001F1AC1">
        <w:t xml:space="preserve">, irrespective of the </w:t>
      </w:r>
      <w:r w:rsidR="004D3DBE">
        <w:t>innovation regime.</w:t>
      </w:r>
      <w:r w:rsidR="00CC214D">
        <w:t xml:space="preserve"> </w:t>
      </w:r>
      <w:r w:rsidR="00ED0BD2" w:rsidRPr="001F1AC1">
        <w:t>The results of the estimation of Equations 3 and 4</w:t>
      </w:r>
      <w:r w:rsidR="0053516D" w:rsidRPr="001F1AC1">
        <w:t xml:space="preserve"> </w:t>
      </w:r>
      <w:r w:rsidR="00E34F0F" w:rsidRPr="001F1AC1">
        <w:t>(</w:t>
      </w:r>
      <w:r w:rsidR="0053516D" w:rsidRPr="001F1AC1">
        <w:t>which refer to innovation output and productivity</w:t>
      </w:r>
      <w:r w:rsidR="00ED0BD2" w:rsidRPr="001F1AC1">
        <w:t>,</w:t>
      </w:r>
      <w:r w:rsidR="003444D5" w:rsidRPr="001F1AC1">
        <w:t xml:space="preserve"> respectively</w:t>
      </w:r>
      <w:r w:rsidR="00E34F0F" w:rsidRPr="001F1AC1">
        <w:t>)</w:t>
      </w:r>
      <w:r w:rsidR="00ED0BD2" w:rsidRPr="001F1AC1">
        <w:t xml:space="preserve"> for firms that </w:t>
      </w:r>
      <w:r w:rsidR="004D3DBE">
        <w:t>follow knowledge generation innovation regime</w:t>
      </w:r>
      <w:r w:rsidR="00ED0BD2" w:rsidRPr="001F1AC1">
        <w:t xml:space="preserve"> (</w:t>
      </w:r>
      <w:r w:rsidR="006F5AFD">
        <w:t>Specification a</w:t>
      </w:r>
      <w:r w:rsidR="0053516D" w:rsidRPr="001F1AC1">
        <w:t xml:space="preserve"> </w:t>
      </w:r>
      <w:r w:rsidR="00ED0BD2" w:rsidRPr="001F1AC1">
        <w:t xml:space="preserve">- columns I and II) and firms that </w:t>
      </w:r>
      <w:r w:rsidR="004D3DBE">
        <w:t>follow knowledge use innovation regime</w:t>
      </w:r>
      <w:r w:rsidR="00ED0BD2" w:rsidRPr="001F1AC1">
        <w:t xml:space="preserve"> (</w:t>
      </w:r>
      <w:r w:rsidR="006F5AFD">
        <w:t>Specification b</w:t>
      </w:r>
      <w:r w:rsidR="00ED0BD2" w:rsidRPr="001F1AC1">
        <w:t xml:space="preserve"> – columns III and IV) are presented in Table </w:t>
      </w:r>
      <w:r w:rsidR="000B21C5">
        <w:t>3</w:t>
      </w:r>
      <w:r w:rsidR="00ED0BD2" w:rsidRPr="001F1AC1">
        <w:t>.</w:t>
      </w:r>
    </w:p>
    <w:p w14:paraId="7C53891A" w14:textId="77777777" w:rsidR="00FD2187" w:rsidRDefault="00FD2187" w:rsidP="00FD2187">
      <w:pPr>
        <w:jc w:val="both"/>
        <w:rPr>
          <w:rFonts w:eastAsia="Times New Roman"/>
        </w:rPr>
      </w:pPr>
      <w:r w:rsidRPr="001F1AC1">
        <w:rPr>
          <w:rFonts w:eastAsia="Times New Roman"/>
          <w:b/>
        </w:rPr>
        <w:t xml:space="preserve">Table </w:t>
      </w:r>
      <w:r w:rsidR="000B21C5">
        <w:rPr>
          <w:rFonts w:eastAsia="Times New Roman"/>
          <w:b/>
        </w:rPr>
        <w:t>3</w:t>
      </w:r>
      <w:r w:rsidRPr="001F1AC1">
        <w:rPr>
          <w:rFonts w:eastAsia="Times New Roman"/>
          <w:b/>
        </w:rPr>
        <w:t>.</w:t>
      </w:r>
      <w:r w:rsidRPr="001F1AC1">
        <w:rPr>
          <w:rFonts w:eastAsia="Times New Roman"/>
        </w:rPr>
        <w:t xml:space="preserve"> 3SLS estimation</w:t>
      </w:r>
      <w:r w:rsidR="00BF4659">
        <w:rPr>
          <w:rFonts w:eastAsia="Times New Roman"/>
        </w:rPr>
        <w:t xml:space="preserve"> results for</w:t>
      </w:r>
      <w:r w:rsidRPr="001F1AC1">
        <w:rPr>
          <w:rFonts w:eastAsia="Times New Roman"/>
        </w:rPr>
        <w:t xml:space="preserve"> Equations 3 and 4</w:t>
      </w:r>
    </w:p>
    <w:tbl>
      <w:tblPr>
        <w:tblStyle w:val="TableGrid"/>
        <w:tblW w:w="0" w:type="auto"/>
        <w:jc w:val="center"/>
        <w:tblLook w:val="04A0" w:firstRow="1" w:lastRow="0" w:firstColumn="1" w:lastColumn="0" w:noHBand="0" w:noVBand="1"/>
      </w:tblPr>
      <w:tblGrid>
        <w:gridCol w:w="3156"/>
        <w:gridCol w:w="1731"/>
        <w:gridCol w:w="1196"/>
        <w:gridCol w:w="1731"/>
        <w:gridCol w:w="1196"/>
      </w:tblGrid>
      <w:tr w:rsidR="00FC2083" w:rsidRPr="00204235" w14:paraId="461DDD7C" w14:textId="77777777" w:rsidTr="006C42D8">
        <w:trPr>
          <w:jc w:val="center"/>
        </w:trPr>
        <w:tc>
          <w:tcPr>
            <w:tcW w:w="0" w:type="auto"/>
          </w:tcPr>
          <w:p w14:paraId="2BBFA900" w14:textId="77777777" w:rsidR="00FC2083" w:rsidRPr="00204235" w:rsidRDefault="00FC2083" w:rsidP="006C42D8">
            <w:pPr>
              <w:widowControl w:val="0"/>
              <w:autoSpaceDE w:val="0"/>
              <w:autoSpaceDN w:val="0"/>
              <w:adjustRightInd w:val="0"/>
              <w:jc w:val="center"/>
              <w:rPr>
                <w:sz w:val="20"/>
                <w:szCs w:val="20"/>
              </w:rPr>
            </w:pPr>
          </w:p>
        </w:tc>
        <w:tc>
          <w:tcPr>
            <w:tcW w:w="0" w:type="auto"/>
            <w:gridSpan w:val="4"/>
          </w:tcPr>
          <w:p w14:paraId="72C336E5" w14:textId="77777777" w:rsidR="00FC2083" w:rsidRPr="00204235" w:rsidRDefault="00FC2083" w:rsidP="006C42D8">
            <w:pPr>
              <w:widowControl w:val="0"/>
              <w:autoSpaceDE w:val="0"/>
              <w:autoSpaceDN w:val="0"/>
              <w:adjustRightInd w:val="0"/>
              <w:jc w:val="center"/>
              <w:rPr>
                <w:sz w:val="20"/>
                <w:szCs w:val="20"/>
              </w:rPr>
            </w:pPr>
            <w:r w:rsidRPr="00204235">
              <w:rPr>
                <w:sz w:val="20"/>
                <w:szCs w:val="20"/>
              </w:rPr>
              <w:t>Innovation regime</w:t>
            </w:r>
          </w:p>
        </w:tc>
      </w:tr>
      <w:tr w:rsidR="00FC2083" w:rsidRPr="00204235" w14:paraId="510D68F8" w14:textId="77777777" w:rsidTr="006C42D8">
        <w:trPr>
          <w:jc w:val="center"/>
        </w:trPr>
        <w:tc>
          <w:tcPr>
            <w:tcW w:w="0" w:type="auto"/>
          </w:tcPr>
          <w:p w14:paraId="02C6C647" w14:textId="77777777" w:rsidR="00FC2083" w:rsidRPr="00204235" w:rsidRDefault="00FC2083" w:rsidP="006C42D8">
            <w:pPr>
              <w:widowControl w:val="0"/>
              <w:autoSpaceDE w:val="0"/>
              <w:autoSpaceDN w:val="0"/>
              <w:adjustRightInd w:val="0"/>
              <w:jc w:val="center"/>
              <w:rPr>
                <w:sz w:val="20"/>
                <w:szCs w:val="20"/>
              </w:rPr>
            </w:pPr>
          </w:p>
        </w:tc>
        <w:tc>
          <w:tcPr>
            <w:tcW w:w="0" w:type="auto"/>
            <w:gridSpan w:val="2"/>
          </w:tcPr>
          <w:p w14:paraId="1EB1384F" w14:textId="77777777" w:rsidR="00FC2083" w:rsidRPr="00204235" w:rsidRDefault="00FC2083" w:rsidP="006C42D8">
            <w:pPr>
              <w:widowControl w:val="0"/>
              <w:autoSpaceDE w:val="0"/>
              <w:autoSpaceDN w:val="0"/>
              <w:adjustRightInd w:val="0"/>
              <w:jc w:val="center"/>
              <w:rPr>
                <w:sz w:val="20"/>
                <w:szCs w:val="20"/>
              </w:rPr>
            </w:pPr>
            <w:r w:rsidRPr="00204235">
              <w:rPr>
                <w:sz w:val="20"/>
                <w:szCs w:val="20"/>
              </w:rPr>
              <w:t>Knowledge creators</w:t>
            </w:r>
          </w:p>
        </w:tc>
        <w:tc>
          <w:tcPr>
            <w:tcW w:w="0" w:type="auto"/>
            <w:gridSpan w:val="2"/>
          </w:tcPr>
          <w:p w14:paraId="0FC9F01E" w14:textId="77777777" w:rsidR="00FC2083" w:rsidRPr="00204235" w:rsidRDefault="00FC2083" w:rsidP="006C42D8">
            <w:pPr>
              <w:widowControl w:val="0"/>
              <w:autoSpaceDE w:val="0"/>
              <w:autoSpaceDN w:val="0"/>
              <w:adjustRightInd w:val="0"/>
              <w:jc w:val="center"/>
              <w:rPr>
                <w:sz w:val="20"/>
                <w:szCs w:val="20"/>
              </w:rPr>
            </w:pPr>
            <w:r w:rsidRPr="00204235">
              <w:rPr>
                <w:sz w:val="20"/>
                <w:szCs w:val="20"/>
              </w:rPr>
              <w:t>Knowledge users</w:t>
            </w:r>
          </w:p>
        </w:tc>
      </w:tr>
      <w:tr w:rsidR="00FC2083" w:rsidRPr="00204235" w14:paraId="6111B15C" w14:textId="77777777" w:rsidTr="006C42D8">
        <w:trPr>
          <w:jc w:val="center"/>
        </w:trPr>
        <w:tc>
          <w:tcPr>
            <w:tcW w:w="0" w:type="auto"/>
          </w:tcPr>
          <w:p w14:paraId="0A80C32B" w14:textId="77777777" w:rsidR="00FC2083" w:rsidRDefault="00FC2083" w:rsidP="006C42D8">
            <w:pPr>
              <w:widowControl w:val="0"/>
              <w:autoSpaceDE w:val="0"/>
              <w:autoSpaceDN w:val="0"/>
              <w:adjustRightInd w:val="0"/>
              <w:jc w:val="center"/>
              <w:rPr>
                <w:sz w:val="20"/>
                <w:szCs w:val="20"/>
              </w:rPr>
            </w:pPr>
          </w:p>
        </w:tc>
        <w:tc>
          <w:tcPr>
            <w:tcW w:w="0" w:type="auto"/>
          </w:tcPr>
          <w:p w14:paraId="08CC10A2" w14:textId="77777777" w:rsidR="00FC2083" w:rsidRPr="00204235" w:rsidRDefault="00FC2083" w:rsidP="006C42D8">
            <w:pPr>
              <w:widowControl w:val="0"/>
              <w:autoSpaceDE w:val="0"/>
              <w:autoSpaceDN w:val="0"/>
              <w:adjustRightInd w:val="0"/>
              <w:jc w:val="center"/>
              <w:rPr>
                <w:sz w:val="20"/>
                <w:szCs w:val="20"/>
              </w:rPr>
            </w:pPr>
            <w:r>
              <w:rPr>
                <w:sz w:val="20"/>
                <w:szCs w:val="20"/>
              </w:rPr>
              <w:t>Sales from new products</w:t>
            </w:r>
          </w:p>
        </w:tc>
        <w:tc>
          <w:tcPr>
            <w:tcW w:w="0" w:type="auto"/>
          </w:tcPr>
          <w:p w14:paraId="17A6B952" w14:textId="77777777" w:rsidR="00FC2083" w:rsidRPr="00204235" w:rsidRDefault="00FC2083" w:rsidP="006C42D8">
            <w:pPr>
              <w:widowControl w:val="0"/>
              <w:autoSpaceDE w:val="0"/>
              <w:autoSpaceDN w:val="0"/>
              <w:adjustRightInd w:val="0"/>
              <w:jc w:val="center"/>
              <w:rPr>
                <w:sz w:val="20"/>
                <w:szCs w:val="20"/>
              </w:rPr>
            </w:pPr>
            <w:r>
              <w:rPr>
                <w:sz w:val="20"/>
                <w:szCs w:val="20"/>
              </w:rPr>
              <w:t>Productivity</w:t>
            </w:r>
          </w:p>
        </w:tc>
        <w:tc>
          <w:tcPr>
            <w:tcW w:w="0" w:type="auto"/>
          </w:tcPr>
          <w:p w14:paraId="7220478B" w14:textId="77777777" w:rsidR="00FC2083" w:rsidRPr="00204235" w:rsidRDefault="00FC2083" w:rsidP="006C42D8">
            <w:pPr>
              <w:widowControl w:val="0"/>
              <w:autoSpaceDE w:val="0"/>
              <w:autoSpaceDN w:val="0"/>
              <w:adjustRightInd w:val="0"/>
              <w:jc w:val="center"/>
              <w:rPr>
                <w:sz w:val="20"/>
                <w:szCs w:val="20"/>
              </w:rPr>
            </w:pPr>
            <w:r>
              <w:rPr>
                <w:sz w:val="20"/>
                <w:szCs w:val="20"/>
              </w:rPr>
              <w:t>Sales from new products</w:t>
            </w:r>
          </w:p>
        </w:tc>
        <w:tc>
          <w:tcPr>
            <w:tcW w:w="0" w:type="auto"/>
          </w:tcPr>
          <w:p w14:paraId="5B6587A5" w14:textId="77777777" w:rsidR="00FC2083" w:rsidRPr="00204235" w:rsidRDefault="00FC2083" w:rsidP="006C42D8">
            <w:pPr>
              <w:widowControl w:val="0"/>
              <w:autoSpaceDE w:val="0"/>
              <w:autoSpaceDN w:val="0"/>
              <w:adjustRightInd w:val="0"/>
              <w:jc w:val="center"/>
              <w:rPr>
                <w:sz w:val="20"/>
                <w:szCs w:val="20"/>
              </w:rPr>
            </w:pPr>
            <w:r>
              <w:rPr>
                <w:sz w:val="20"/>
                <w:szCs w:val="20"/>
              </w:rPr>
              <w:t>Productivity</w:t>
            </w:r>
          </w:p>
        </w:tc>
      </w:tr>
      <w:tr w:rsidR="00FC2083" w:rsidRPr="00204235" w14:paraId="70BBC9B8" w14:textId="77777777" w:rsidTr="006C42D8">
        <w:trPr>
          <w:jc w:val="center"/>
        </w:trPr>
        <w:tc>
          <w:tcPr>
            <w:tcW w:w="0" w:type="auto"/>
          </w:tcPr>
          <w:p w14:paraId="7ECE1040" w14:textId="77777777" w:rsidR="00FC2083" w:rsidRPr="00204235" w:rsidRDefault="00FC2083" w:rsidP="006C42D8">
            <w:pPr>
              <w:widowControl w:val="0"/>
              <w:autoSpaceDE w:val="0"/>
              <w:autoSpaceDN w:val="0"/>
              <w:adjustRightInd w:val="0"/>
              <w:rPr>
                <w:sz w:val="20"/>
                <w:szCs w:val="20"/>
              </w:rPr>
            </w:pPr>
            <w:r>
              <w:rPr>
                <w:sz w:val="20"/>
                <w:szCs w:val="20"/>
              </w:rPr>
              <w:t>Horizontal spillovers</w:t>
            </w:r>
          </w:p>
        </w:tc>
        <w:tc>
          <w:tcPr>
            <w:tcW w:w="0" w:type="auto"/>
          </w:tcPr>
          <w:p w14:paraId="425274CA" w14:textId="77777777" w:rsidR="00FC2083" w:rsidRDefault="00FC2083" w:rsidP="006C42D8">
            <w:pPr>
              <w:widowControl w:val="0"/>
              <w:autoSpaceDE w:val="0"/>
              <w:autoSpaceDN w:val="0"/>
              <w:adjustRightInd w:val="0"/>
              <w:jc w:val="center"/>
              <w:rPr>
                <w:sz w:val="20"/>
                <w:szCs w:val="20"/>
              </w:rPr>
            </w:pPr>
            <w:r>
              <w:rPr>
                <w:sz w:val="20"/>
                <w:szCs w:val="20"/>
              </w:rPr>
              <w:t>-1.111***</w:t>
            </w:r>
          </w:p>
          <w:p w14:paraId="705747DD" w14:textId="77777777" w:rsidR="00FC2083" w:rsidRPr="00204235" w:rsidRDefault="00FC2083" w:rsidP="006C42D8">
            <w:pPr>
              <w:widowControl w:val="0"/>
              <w:autoSpaceDE w:val="0"/>
              <w:autoSpaceDN w:val="0"/>
              <w:adjustRightInd w:val="0"/>
              <w:jc w:val="center"/>
              <w:rPr>
                <w:sz w:val="20"/>
                <w:szCs w:val="20"/>
              </w:rPr>
            </w:pPr>
            <w:r>
              <w:rPr>
                <w:sz w:val="20"/>
                <w:szCs w:val="20"/>
              </w:rPr>
              <w:t>(0.276)</w:t>
            </w:r>
          </w:p>
        </w:tc>
        <w:tc>
          <w:tcPr>
            <w:tcW w:w="0" w:type="auto"/>
          </w:tcPr>
          <w:p w14:paraId="5F6CEB5C" w14:textId="77777777" w:rsidR="00FC2083" w:rsidRDefault="00FC2083" w:rsidP="006C42D8">
            <w:pPr>
              <w:widowControl w:val="0"/>
              <w:autoSpaceDE w:val="0"/>
              <w:autoSpaceDN w:val="0"/>
              <w:adjustRightInd w:val="0"/>
              <w:jc w:val="center"/>
              <w:rPr>
                <w:sz w:val="20"/>
                <w:szCs w:val="20"/>
              </w:rPr>
            </w:pPr>
            <w:r>
              <w:rPr>
                <w:sz w:val="20"/>
                <w:szCs w:val="20"/>
              </w:rPr>
              <w:t>2.212</w:t>
            </w:r>
          </w:p>
          <w:p w14:paraId="708E0ED9" w14:textId="77777777" w:rsidR="00FC2083" w:rsidRPr="00204235" w:rsidRDefault="00FC2083" w:rsidP="006C42D8">
            <w:pPr>
              <w:widowControl w:val="0"/>
              <w:autoSpaceDE w:val="0"/>
              <w:autoSpaceDN w:val="0"/>
              <w:adjustRightInd w:val="0"/>
              <w:jc w:val="center"/>
              <w:rPr>
                <w:sz w:val="20"/>
                <w:szCs w:val="20"/>
              </w:rPr>
            </w:pPr>
            <w:r>
              <w:rPr>
                <w:sz w:val="20"/>
                <w:szCs w:val="20"/>
              </w:rPr>
              <w:t>(5.190)</w:t>
            </w:r>
          </w:p>
        </w:tc>
        <w:tc>
          <w:tcPr>
            <w:tcW w:w="0" w:type="auto"/>
          </w:tcPr>
          <w:p w14:paraId="14DC804A" w14:textId="77777777" w:rsidR="00FC2083" w:rsidRDefault="00FC2083" w:rsidP="006C42D8">
            <w:pPr>
              <w:widowControl w:val="0"/>
              <w:autoSpaceDE w:val="0"/>
              <w:autoSpaceDN w:val="0"/>
              <w:adjustRightInd w:val="0"/>
              <w:jc w:val="center"/>
              <w:rPr>
                <w:sz w:val="20"/>
                <w:szCs w:val="20"/>
              </w:rPr>
            </w:pPr>
            <w:r>
              <w:rPr>
                <w:sz w:val="20"/>
                <w:szCs w:val="20"/>
              </w:rPr>
              <w:t>-1.235***</w:t>
            </w:r>
          </w:p>
          <w:p w14:paraId="6A324842" w14:textId="77777777" w:rsidR="00FC2083" w:rsidRPr="00204235" w:rsidRDefault="00FC2083" w:rsidP="006C42D8">
            <w:pPr>
              <w:widowControl w:val="0"/>
              <w:autoSpaceDE w:val="0"/>
              <w:autoSpaceDN w:val="0"/>
              <w:adjustRightInd w:val="0"/>
              <w:jc w:val="center"/>
              <w:rPr>
                <w:sz w:val="20"/>
                <w:szCs w:val="20"/>
              </w:rPr>
            </w:pPr>
            <w:r>
              <w:rPr>
                <w:sz w:val="20"/>
                <w:szCs w:val="20"/>
              </w:rPr>
              <w:t>(0.270)</w:t>
            </w:r>
          </w:p>
        </w:tc>
        <w:tc>
          <w:tcPr>
            <w:tcW w:w="0" w:type="auto"/>
          </w:tcPr>
          <w:p w14:paraId="260B00B7" w14:textId="77777777" w:rsidR="00FC2083" w:rsidRDefault="00FC2083" w:rsidP="006C42D8">
            <w:pPr>
              <w:widowControl w:val="0"/>
              <w:autoSpaceDE w:val="0"/>
              <w:autoSpaceDN w:val="0"/>
              <w:adjustRightInd w:val="0"/>
              <w:jc w:val="center"/>
              <w:rPr>
                <w:sz w:val="20"/>
                <w:szCs w:val="20"/>
              </w:rPr>
            </w:pPr>
            <w:r>
              <w:rPr>
                <w:sz w:val="20"/>
                <w:szCs w:val="20"/>
              </w:rPr>
              <w:t>3.837***</w:t>
            </w:r>
          </w:p>
          <w:p w14:paraId="0F27462C" w14:textId="77777777" w:rsidR="00FC2083" w:rsidRPr="00204235" w:rsidRDefault="00FC2083" w:rsidP="006C42D8">
            <w:pPr>
              <w:widowControl w:val="0"/>
              <w:autoSpaceDE w:val="0"/>
              <w:autoSpaceDN w:val="0"/>
              <w:adjustRightInd w:val="0"/>
              <w:jc w:val="center"/>
              <w:rPr>
                <w:sz w:val="20"/>
                <w:szCs w:val="20"/>
              </w:rPr>
            </w:pPr>
            <w:r>
              <w:rPr>
                <w:sz w:val="20"/>
                <w:szCs w:val="20"/>
              </w:rPr>
              <w:t>(1.471)</w:t>
            </w:r>
          </w:p>
        </w:tc>
      </w:tr>
      <w:tr w:rsidR="00FC2083" w:rsidRPr="00204235" w14:paraId="4EF6CD2E" w14:textId="77777777" w:rsidTr="006C42D8">
        <w:trPr>
          <w:jc w:val="center"/>
        </w:trPr>
        <w:tc>
          <w:tcPr>
            <w:tcW w:w="0" w:type="auto"/>
          </w:tcPr>
          <w:p w14:paraId="6F367979" w14:textId="77777777" w:rsidR="00FC2083" w:rsidRPr="00204235" w:rsidRDefault="00FC2083" w:rsidP="006C42D8">
            <w:pPr>
              <w:widowControl w:val="0"/>
              <w:autoSpaceDE w:val="0"/>
              <w:autoSpaceDN w:val="0"/>
              <w:adjustRightInd w:val="0"/>
              <w:rPr>
                <w:sz w:val="20"/>
                <w:szCs w:val="20"/>
              </w:rPr>
            </w:pPr>
            <w:r>
              <w:rPr>
                <w:sz w:val="20"/>
                <w:szCs w:val="20"/>
              </w:rPr>
              <w:t>Forward vertical spillovers</w:t>
            </w:r>
          </w:p>
        </w:tc>
        <w:tc>
          <w:tcPr>
            <w:tcW w:w="0" w:type="auto"/>
          </w:tcPr>
          <w:p w14:paraId="17DF0AE0" w14:textId="77777777" w:rsidR="00FC2083" w:rsidRDefault="00FC2083" w:rsidP="006C42D8">
            <w:pPr>
              <w:widowControl w:val="0"/>
              <w:autoSpaceDE w:val="0"/>
              <w:autoSpaceDN w:val="0"/>
              <w:adjustRightInd w:val="0"/>
              <w:jc w:val="center"/>
              <w:rPr>
                <w:sz w:val="20"/>
                <w:szCs w:val="20"/>
              </w:rPr>
            </w:pPr>
            <w:r>
              <w:rPr>
                <w:sz w:val="20"/>
                <w:szCs w:val="20"/>
              </w:rPr>
              <w:t>0.651</w:t>
            </w:r>
          </w:p>
          <w:p w14:paraId="62B0E6D9" w14:textId="77777777" w:rsidR="00FC2083" w:rsidRPr="00204235" w:rsidRDefault="00FC2083" w:rsidP="006C42D8">
            <w:pPr>
              <w:widowControl w:val="0"/>
              <w:autoSpaceDE w:val="0"/>
              <w:autoSpaceDN w:val="0"/>
              <w:adjustRightInd w:val="0"/>
              <w:jc w:val="center"/>
              <w:rPr>
                <w:sz w:val="20"/>
                <w:szCs w:val="20"/>
              </w:rPr>
            </w:pPr>
            <w:r>
              <w:rPr>
                <w:sz w:val="20"/>
                <w:szCs w:val="20"/>
              </w:rPr>
              <w:t>(2.893)</w:t>
            </w:r>
          </w:p>
        </w:tc>
        <w:tc>
          <w:tcPr>
            <w:tcW w:w="0" w:type="auto"/>
          </w:tcPr>
          <w:p w14:paraId="37950ADE" w14:textId="77777777" w:rsidR="00FC2083" w:rsidRDefault="00FC2083" w:rsidP="006C42D8">
            <w:pPr>
              <w:widowControl w:val="0"/>
              <w:autoSpaceDE w:val="0"/>
              <w:autoSpaceDN w:val="0"/>
              <w:adjustRightInd w:val="0"/>
              <w:jc w:val="center"/>
              <w:rPr>
                <w:sz w:val="20"/>
                <w:szCs w:val="20"/>
              </w:rPr>
            </w:pPr>
            <w:r>
              <w:rPr>
                <w:sz w:val="20"/>
                <w:szCs w:val="20"/>
              </w:rPr>
              <w:t>-17.24</w:t>
            </w:r>
          </w:p>
          <w:p w14:paraId="6BCEC009" w14:textId="77777777" w:rsidR="00FC2083" w:rsidRPr="00204235" w:rsidRDefault="00FC2083" w:rsidP="006C42D8">
            <w:pPr>
              <w:widowControl w:val="0"/>
              <w:autoSpaceDE w:val="0"/>
              <w:autoSpaceDN w:val="0"/>
              <w:adjustRightInd w:val="0"/>
              <w:jc w:val="center"/>
              <w:rPr>
                <w:sz w:val="20"/>
                <w:szCs w:val="20"/>
              </w:rPr>
            </w:pPr>
            <w:r>
              <w:rPr>
                <w:sz w:val="20"/>
                <w:szCs w:val="20"/>
              </w:rPr>
              <w:t>(36.42)</w:t>
            </w:r>
          </w:p>
        </w:tc>
        <w:tc>
          <w:tcPr>
            <w:tcW w:w="0" w:type="auto"/>
          </w:tcPr>
          <w:p w14:paraId="75AA0DDB" w14:textId="77777777" w:rsidR="00FC2083" w:rsidRDefault="00FC2083" w:rsidP="006C42D8">
            <w:pPr>
              <w:widowControl w:val="0"/>
              <w:autoSpaceDE w:val="0"/>
              <w:autoSpaceDN w:val="0"/>
              <w:adjustRightInd w:val="0"/>
              <w:jc w:val="center"/>
              <w:rPr>
                <w:sz w:val="20"/>
                <w:szCs w:val="20"/>
              </w:rPr>
            </w:pPr>
            <w:r>
              <w:rPr>
                <w:sz w:val="20"/>
                <w:szCs w:val="20"/>
              </w:rPr>
              <w:t>0.223</w:t>
            </w:r>
          </w:p>
          <w:p w14:paraId="17E27CAD" w14:textId="77777777" w:rsidR="00FC2083" w:rsidRPr="00204235" w:rsidRDefault="00FC2083" w:rsidP="006C42D8">
            <w:pPr>
              <w:widowControl w:val="0"/>
              <w:autoSpaceDE w:val="0"/>
              <w:autoSpaceDN w:val="0"/>
              <w:adjustRightInd w:val="0"/>
              <w:jc w:val="center"/>
              <w:rPr>
                <w:sz w:val="20"/>
                <w:szCs w:val="20"/>
              </w:rPr>
            </w:pPr>
            <w:r>
              <w:rPr>
                <w:sz w:val="20"/>
                <w:szCs w:val="20"/>
              </w:rPr>
              <w:t>(2.008)</w:t>
            </w:r>
          </w:p>
        </w:tc>
        <w:tc>
          <w:tcPr>
            <w:tcW w:w="0" w:type="auto"/>
          </w:tcPr>
          <w:p w14:paraId="66D5C4E6" w14:textId="77777777" w:rsidR="00FC2083" w:rsidRDefault="00FC2083" w:rsidP="006C42D8">
            <w:pPr>
              <w:widowControl w:val="0"/>
              <w:autoSpaceDE w:val="0"/>
              <w:autoSpaceDN w:val="0"/>
              <w:adjustRightInd w:val="0"/>
              <w:jc w:val="center"/>
              <w:rPr>
                <w:sz w:val="20"/>
                <w:szCs w:val="20"/>
              </w:rPr>
            </w:pPr>
            <w:r>
              <w:rPr>
                <w:sz w:val="20"/>
                <w:szCs w:val="20"/>
              </w:rPr>
              <w:t>-5.033</w:t>
            </w:r>
          </w:p>
          <w:p w14:paraId="31EF9368" w14:textId="77777777" w:rsidR="00FC2083" w:rsidRPr="00204235" w:rsidRDefault="00FC2083" w:rsidP="006C42D8">
            <w:pPr>
              <w:widowControl w:val="0"/>
              <w:autoSpaceDE w:val="0"/>
              <w:autoSpaceDN w:val="0"/>
              <w:adjustRightInd w:val="0"/>
              <w:jc w:val="center"/>
              <w:rPr>
                <w:sz w:val="20"/>
                <w:szCs w:val="20"/>
              </w:rPr>
            </w:pPr>
            <w:r>
              <w:rPr>
                <w:sz w:val="20"/>
                <w:szCs w:val="20"/>
              </w:rPr>
              <w:t>(6.530)</w:t>
            </w:r>
          </w:p>
        </w:tc>
      </w:tr>
      <w:tr w:rsidR="00FC2083" w:rsidRPr="00204235" w14:paraId="3598A304" w14:textId="77777777" w:rsidTr="006C42D8">
        <w:trPr>
          <w:jc w:val="center"/>
        </w:trPr>
        <w:tc>
          <w:tcPr>
            <w:tcW w:w="0" w:type="auto"/>
          </w:tcPr>
          <w:p w14:paraId="6D2A33BA" w14:textId="77777777" w:rsidR="00FC2083" w:rsidRPr="00204235" w:rsidRDefault="00FC2083" w:rsidP="006C42D8">
            <w:pPr>
              <w:widowControl w:val="0"/>
              <w:autoSpaceDE w:val="0"/>
              <w:autoSpaceDN w:val="0"/>
              <w:adjustRightInd w:val="0"/>
              <w:rPr>
                <w:sz w:val="20"/>
                <w:szCs w:val="20"/>
              </w:rPr>
            </w:pPr>
            <w:r>
              <w:rPr>
                <w:sz w:val="20"/>
                <w:szCs w:val="20"/>
              </w:rPr>
              <w:t>Backward vertical spillovers</w:t>
            </w:r>
          </w:p>
        </w:tc>
        <w:tc>
          <w:tcPr>
            <w:tcW w:w="0" w:type="auto"/>
          </w:tcPr>
          <w:p w14:paraId="070F547E" w14:textId="77777777" w:rsidR="00FC2083" w:rsidRDefault="00FC2083" w:rsidP="006C42D8">
            <w:pPr>
              <w:widowControl w:val="0"/>
              <w:autoSpaceDE w:val="0"/>
              <w:autoSpaceDN w:val="0"/>
              <w:adjustRightInd w:val="0"/>
              <w:jc w:val="center"/>
              <w:rPr>
                <w:sz w:val="20"/>
                <w:szCs w:val="20"/>
              </w:rPr>
            </w:pPr>
            <w:r>
              <w:rPr>
                <w:sz w:val="20"/>
                <w:szCs w:val="20"/>
              </w:rPr>
              <w:t>-11.25</w:t>
            </w:r>
          </w:p>
          <w:p w14:paraId="72292B3B" w14:textId="77777777" w:rsidR="00FC2083" w:rsidRPr="00204235" w:rsidRDefault="00FC2083" w:rsidP="006C42D8">
            <w:pPr>
              <w:widowControl w:val="0"/>
              <w:autoSpaceDE w:val="0"/>
              <w:autoSpaceDN w:val="0"/>
              <w:adjustRightInd w:val="0"/>
              <w:jc w:val="center"/>
              <w:rPr>
                <w:sz w:val="20"/>
                <w:szCs w:val="20"/>
              </w:rPr>
            </w:pPr>
            <w:r>
              <w:rPr>
                <w:sz w:val="20"/>
                <w:szCs w:val="20"/>
              </w:rPr>
              <w:t>(8.452)</w:t>
            </w:r>
          </w:p>
        </w:tc>
        <w:tc>
          <w:tcPr>
            <w:tcW w:w="0" w:type="auto"/>
          </w:tcPr>
          <w:p w14:paraId="306C5EE3" w14:textId="77777777" w:rsidR="00FC2083" w:rsidRDefault="00FC2083" w:rsidP="006C42D8">
            <w:pPr>
              <w:widowControl w:val="0"/>
              <w:autoSpaceDE w:val="0"/>
              <w:autoSpaceDN w:val="0"/>
              <w:adjustRightInd w:val="0"/>
              <w:jc w:val="center"/>
              <w:rPr>
                <w:sz w:val="20"/>
                <w:szCs w:val="20"/>
              </w:rPr>
            </w:pPr>
            <w:r>
              <w:rPr>
                <w:sz w:val="20"/>
                <w:szCs w:val="20"/>
              </w:rPr>
              <w:t>4.084</w:t>
            </w:r>
          </w:p>
          <w:p w14:paraId="4880E608" w14:textId="77777777" w:rsidR="00FC2083" w:rsidRPr="00204235" w:rsidRDefault="00FC2083" w:rsidP="006C42D8">
            <w:pPr>
              <w:widowControl w:val="0"/>
              <w:autoSpaceDE w:val="0"/>
              <w:autoSpaceDN w:val="0"/>
              <w:adjustRightInd w:val="0"/>
              <w:jc w:val="center"/>
              <w:rPr>
                <w:sz w:val="20"/>
                <w:szCs w:val="20"/>
              </w:rPr>
            </w:pPr>
            <w:r>
              <w:rPr>
                <w:sz w:val="20"/>
                <w:szCs w:val="20"/>
              </w:rPr>
              <w:t>(55.75)</w:t>
            </w:r>
          </w:p>
        </w:tc>
        <w:tc>
          <w:tcPr>
            <w:tcW w:w="0" w:type="auto"/>
          </w:tcPr>
          <w:p w14:paraId="1405AA42" w14:textId="77777777" w:rsidR="00FC2083" w:rsidRDefault="00FC2083" w:rsidP="006C42D8">
            <w:pPr>
              <w:widowControl w:val="0"/>
              <w:autoSpaceDE w:val="0"/>
              <w:autoSpaceDN w:val="0"/>
              <w:adjustRightInd w:val="0"/>
              <w:jc w:val="center"/>
              <w:rPr>
                <w:sz w:val="20"/>
                <w:szCs w:val="20"/>
              </w:rPr>
            </w:pPr>
            <w:r>
              <w:rPr>
                <w:sz w:val="20"/>
                <w:szCs w:val="20"/>
              </w:rPr>
              <w:t>6.984</w:t>
            </w:r>
          </w:p>
          <w:p w14:paraId="3861684A" w14:textId="77777777" w:rsidR="00FC2083" w:rsidRPr="00204235" w:rsidRDefault="00FC2083" w:rsidP="006C42D8">
            <w:pPr>
              <w:widowControl w:val="0"/>
              <w:autoSpaceDE w:val="0"/>
              <w:autoSpaceDN w:val="0"/>
              <w:adjustRightInd w:val="0"/>
              <w:jc w:val="center"/>
              <w:rPr>
                <w:sz w:val="20"/>
                <w:szCs w:val="20"/>
              </w:rPr>
            </w:pPr>
            <w:r>
              <w:rPr>
                <w:sz w:val="20"/>
                <w:szCs w:val="20"/>
              </w:rPr>
              <w:t>(5.278)</w:t>
            </w:r>
          </w:p>
        </w:tc>
        <w:tc>
          <w:tcPr>
            <w:tcW w:w="0" w:type="auto"/>
          </w:tcPr>
          <w:p w14:paraId="0BEAAF36" w14:textId="77777777" w:rsidR="00FC2083" w:rsidRDefault="00FC2083" w:rsidP="006C42D8">
            <w:pPr>
              <w:widowControl w:val="0"/>
              <w:autoSpaceDE w:val="0"/>
              <w:autoSpaceDN w:val="0"/>
              <w:adjustRightInd w:val="0"/>
              <w:jc w:val="center"/>
              <w:rPr>
                <w:sz w:val="20"/>
                <w:szCs w:val="20"/>
              </w:rPr>
            </w:pPr>
            <w:r>
              <w:rPr>
                <w:sz w:val="20"/>
                <w:szCs w:val="20"/>
              </w:rPr>
              <w:t>-49.24**</w:t>
            </w:r>
          </w:p>
          <w:p w14:paraId="4550534E" w14:textId="77777777" w:rsidR="00FC2083" w:rsidRPr="00204235" w:rsidRDefault="00FC2083" w:rsidP="006C42D8">
            <w:pPr>
              <w:widowControl w:val="0"/>
              <w:autoSpaceDE w:val="0"/>
              <w:autoSpaceDN w:val="0"/>
              <w:adjustRightInd w:val="0"/>
              <w:jc w:val="center"/>
              <w:rPr>
                <w:sz w:val="20"/>
                <w:szCs w:val="20"/>
              </w:rPr>
            </w:pPr>
            <w:r>
              <w:rPr>
                <w:sz w:val="20"/>
                <w:szCs w:val="20"/>
              </w:rPr>
              <w:t>(22.40)</w:t>
            </w:r>
          </w:p>
        </w:tc>
      </w:tr>
      <w:tr w:rsidR="00FC2083" w:rsidRPr="00204235" w14:paraId="38B36F6E" w14:textId="77777777" w:rsidTr="006C42D8">
        <w:trPr>
          <w:jc w:val="center"/>
        </w:trPr>
        <w:tc>
          <w:tcPr>
            <w:tcW w:w="0" w:type="auto"/>
          </w:tcPr>
          <w:p w14:paraId="3BB29576" w14:textId="77777777" w:rsidR="00FC2083" w:rsidRPr="00204235" w:rsidRDefault="00FC2083" w:rsidP="006C42D8">
            <w:pPr>
              <w:widowControl w:val="0"/>
              <w:autoSpaceDE w:val="0"/>
              <w:autoSpaceDN w:val="0"/>
              <w:adjustRightInd w:val="0"/>
              <w:jc w:val="both"/>
              <w:rPr>
                <w:sz w:val="20"/>
                <w:szCs w:val="20"/>
              </w:rPr>
            </w:pPr>
            <w:r>
              <w:rPr>
                <w:sz w:val="20"/>
                <w:szCs w:val="20"/>
              </w:rPr>
              <w:t>Market concentration</w:t>
            </w:r>
          </w:p>
        </w:tc>
        <w:tc>
          <w:tcPr>
            <w:tcW w:w="0" w:type="auto"/>
          </w:tcPr>
          <w:p w14:paraId="4D1CB4DF" w14:textId="77777777" w:rsidR="00FC2083" w:rsidRDefault="00FC2083" w:rsidP="006C42D8">
            <w:pPr>
              <w:widowControl w:val="0"/>
              <w:autoSpaceDE w:val="0"/>
              <w:autoSpaceDN w:val="0"/>
              <w:adjustRightInd w:val="0"/>
              <w:jc w:val="center"/>
              <w:rPr>
                <w:sz w:val="20"/>
                <w:szCs w:val="20"/>
              </w:rPr>
            </w:pPr>
            <w:r>
              <w:rPr>
                <w:sz w:val="20"/>
                <w:szCs w:val="20"/>
              </w:rPr>
              <w:t>1.357***</w:t>
            </w:r>
          </w:p>
          <w:p w14:paraId="6153A328" w14:textId="77777777" w:rsidR="00FC2083" w:rsidRPr="00204235" w:rsidRDefault="00FC2083" w:rsidP="006C42D8">
            <w:pPr>
              <w:widowControl w:val="0"/>
              <w:autoSpaceDE w:val="0"/>
              <w:autoSpaceDN w:val="0"/>
              <w:adjustRightInd w:val="0"/>
              <w:jc w:val="center"/>
              <w:rPr>
                <w:sz w:val="20"/>
                <w:szCs w:val="20"/>
              </w:rPr>
            </w:pPr>
            <w:r>
              <w:rPr>
                <w:sz w:val="20"/>
                <w:szCs w:val="20"/>
              </w:rPr>
              <w:t>(0.366)</w:t>
            </w:r>
          </w:p>
        </w:tc>
        <w:tc>
          <w:tcPr>
            <w:tcW w:w="0" w:type="auto"/>
          </w:tcPr>
          <w:p w14:paraId="60A70EB2" w14:textId="77777777" w:rsidR="00FC2083" w:rsidRDefault="00FC2083" w:rsidP="006C42D8">
            <w:pPr>
              <w:widowControl w:val="0"/>
              <w:autoSpaceDE w:val="0"/>
              <w:autoSpaceDN w:val="0"/>
              <w:adjustRightInd w:val="0"/>
              <w:jc w:val="center"/>
              <w:rPr>
                <w:sz w:val="20"/>
                <w:szCs w:val="20"/>
              </w:rPr>
            </w:pPr>
            <w:r>
              <w:rPr>
                <w:sz w:val="20"/>
                <w:szCs w:val="20"/>
              </w:rPr>
              <w:t>-1.289</w:t>
            </w:r>
          </w:p>
          <w:p w14:paraId="03EBA25A" w14:textId="77777777" w:rsidR="00FC2083" w:rsidRPr="00204235" w:rsidRDefault="00FC2083" w:rsidP="006C42D8">
            <w:pPr>
              <w:widowControl w:val="0"/>
              <w:autoSpaceDE w:val="0"/>
              <w:autoSpaceDN w:val="0"/>
              <w:adjustRightInd w:val="0"/>
              <w:jc w:val="center"/>
              <w:rPr>
                <w:sz w:val="20"/>
                <w:szCs w:val="20"/>
              </w:rPr>
            </w:pPr>
            <w:r>
              <w:rPr>
                <w:sz w:val="20"/>
                <w:szCs w:val="20"/>
              </w:rPr>
              <w:t>(4.486)</w:t>
            </w:r>
          </w:p>
        </w:tc>
        <w:tc>
          <w:tcPr>
            <w:tcW w:w="0" w:type="auto"/>
          </w:tcPr>
          <w:p w14:paraId="01C00874" w14:textId="77777777" w:rsidR="00FC2083" w:rsidRDefault="00FC2083" w:rsidP="006C42D8">
            <w:pPr>
              <w:widowControl w:val="0"/>
              <w:autoSpaceDE w:val="0"/>
              <w:autoSpaceDN w:val="0"/>
              <w:adjustRightInd w:val="0"/>
              <w:jc w:val="center"/>
              <w:rPr>
                <w:sz w:val="20"/>
                <w:szCs w:val="20"/>
              </w:rPr>
            </w:pPr>
            <w:r>
              <w:rPr>
                <w:sz w:val="20"/>
                <w:szCs w:val="20"/>
              </w:rPr>
              <w:t>1.786***</w:t>
            </w:r>
          </w:p>
          <w:p w14:paraId="3F10EEA2" w14:textId="77777777" w:rsidR="00FC2083" w:rsidRPr="00204235" w:rsidRDefault="00FC2083" w:rsidP="006C42D8">
            <w:pPr>
              <w:widowControl w:val="0"/>
              <w:autoSpaceDE w:val="0"/>
              <w:autoSpaceDN w:val="0"/>
              <w:adjustRightInd w:val="0"/>
              <w:jc w:val="center"/>
              <w:rPr>
                <w:sz w:val="20"/>
                <w:szCs w:val="20"/>
              </w:rPr>
            </w:pPr>
            <w:r>
              <w:rPr>
                <w:sz w:val="20"/>
                <w:szCs w:val="20"/>
              </w:rPr>
              <w:t>(0.245)</w:t>
            </w:r>
          </w:p>
        </w:tc>
        <w:tc>
          <w:tcPr>
            <w:tcW w:w="0" w:type="auto"/>
          </w:tcPr>
          <w:p w14:paraId="079F81F1" w14:textId="77777777" w:rsidR="00FC2083" w:rsidRDefault="00FC2083" w:rsidP="006C42D8">
            <w:pPr>
              <w:widowControl w:val="0"/>
              <w:autoSpaceDE w:val="0"/>
              <w:autoSpaceDN w:val="0"/>
              <w:adjustRightInd w:val="0"/>
              <w:jc w:val="center"/>
              <w:rPr>
                <w:sz w:val="20"/>
                <w:szCs w:val="20"/>
              </w:rPr>
            </w:pPr>
            <w:r>
              <w:rPr>
                <w:sz w:val="20"/>
                <w:szCs w:val="20"/>
              </w:rPr>
              <w:t>-2.259*</w:t>
            </w:r>
          </w:p>
          <w:p w14:paraId="0D48B0CD" w14:textId="77777777" w:rsidR="00FC2083" w:rsidRPr="00204235" w:rsidRDefault="00FC2083" w:rsidP="006C42D8">
            <w:pPr>
              <w:widowControl w:val="0"/>
              <w:autoSpaceDE w:val="0"/>
              <w:autoSpaceDN w:val="0"/>
              <w:adjustRightInd w:val="0"/>
              <w:jc w:val="center"/>
              <w:rPr>
                <w:sz w:val="20"/>
                <w:szCs w:val="20"/>
              </w:rPr>
            </w:pPr>
            <w:r>
              <w:rPr>
                <w:sz w:val="20"/>
                <w:szCs w:val="20"/>
              </w:rPr>
              <w:t>(1.190)</w:t>
            </w:r>
          </w:p>
        </w:tc>
      </w:tr>
      <w:tr w:rsidR="00FC2083" w:rsidRPr="00204235" w14:paraId="7A725558" w14:textId="77777777" w:rsidTr="006C42D8">
        <w:trPr>
          <w:jc w:val="center"/>
        </w:trPr>
        <w:tc>
          <w:tcPr>
            <w:tcW w:w="0" w:type="auto"/>
          </w:tcPr>
          <w:p w14:paraId="56C6A953" w14:textId="77777777" w:rsidR="00FC2083" w:rsidRDefault="00FC2083" w:rsidP="006C42D8">
            <w:pPr>
              <w:widowControl w:val="0"/>
              <w:autoSpaceDE w:val="0"/>
              <w:autoSpaceDN w:val="0"/>
              <w:adjustRightInd w:val="0"/>
              <w:jc w:val="both"/>
              <w:rPr>
                <w:sz w:val="20"/>
                <w:szCs w:val="20"/>
              </w:rPr>
            </w:pPr>
            <w:r>
              <w:rPr>
                <w:sz w:val="20"/>
                <w:szCs w:val="20"/>
              </w:rPr>
              <w:t>R&amp;D investment (predicted)</w:t>
            </w:r>
          </w:p>
        </w:tc>
        <w:tc>
          <w:tcPr>
            <w:tcW w:w="0" w:type="auto"/>
          </w:tcPr>
          <w:p w14:paraId="1E5AB13E" w14:textId="77777777" w:rsidR="00FC2083" w:rsidRDefault="00FC2083" w:rsidP="006C42D8">
            <w:pPr>
              <w:widowControl w:val="0"/>
              <w:autoSpaceDE w:val="0"/>
              <w:autoSpaceDN w:val="0"/>
              <w:adjustRightInd w:val="0"/>
              <w:jc w:val="center"/>
              <w:rPr>
                <w:sz w:val="20"/>
                <w:szCs w:val="20"/>
              </w:rPr>
            </w:pPr>
            <w:r>
              <w:rPr>
                <w:sz w:val="20"/>
                <w:szCs w:val="20"/>
              </w:rPr>
              <w:t>-0.235*</w:t>
            </w:r>
          </w:p>
          <w:p w14:paraId="184E5411" w14:textId="77777777" w:rsidR="00FC2083" w:rsidRPr="00204235" w:rsidRDefault="00FC2083" w:rsidP="006C42D8">
            <w:pPr>
              <w:widowControl w:val="0"/>
              <w:autoSpaceDE w:val="0"/>
              <w:autoSpaceDN w:val="0"/>
              <w:adjustRightInd w:val="0"/>
              <w:jc w:val="center"/>
              <w:rPr>
                <w:sz w:val="20"/>
                <w:szCs w:val="20"/>
              </w:rPr>
            </w:pPr>
            <w:r>
              <w:rPr>
                <w:sz w:val="20"/>
                <w:szCs w:val="20"/>
              </w:rPr>
              <w:t>(0.</w:t>
            </w:r>
            <w:r w:rsidR="00B03B03">
              <w:rPr>
                <w:sz w:val="20"/>
                <w:szCs w:val="20"/>
              </w:rPr>
              <w:t>132)</w:t>
            </w:r>
          </w:p>
        </w:tc>
        <w:tc>
          <w:tcPr>
            <w:tcW w:w="0" w:type="auto"/>
          </w:tcPr>
          <w:p w14:paraId="0FFBE107" w14:textId="77777777" w:rsidR="00FC2083" w:rsidRPr="00204235" w:rsidRDefault="00B03B03" w:rsidP="006C42D8">
            <w:pPr>
              <w:widowControl w:val="0"/>
              <w:autoSpaceDE w:val="0"/>
              <w:autoSpaceDN w:val="0"/>
              <w:adjustRightInd w:val="0"/>
              <w:jc w:val="center"/>
              <w:rPr>
                <w:sz w:val="20"/>
                <w:szCs w:val="20"/>
              </w:rPr>
            </w:pPr>
            <w:r>
              <w:rPr>
                <w:sz w:val="20"/>
                <w:szCs w:val="20"/>
              </w:rPr>
              <w:t>-</w:t>
            </w:r>
          </w:p>
        </w:tc>
        <w:tc>
          <w:tcPr>
            <w:tcW w:w="0" w:type="auto"/>
          </w:tcPr>
          <w:p w14:paraId="4CF47CA5" w14:textId="77777777" w:rsidR="00FC2083" w:rsidRPr="00204235" w:rsidRDefault="00B03B03" w:rsidP="006C42D8">
            <w:pPr>
              <w:widowControl w:val="0"/>
              <w:autoSpaceDE w:val="0"/>
              <w:autoSpaceDN w:val="0"/>
              <w:adjustRightInd w:val="0"/>
              <w:jc w:val="center"/>
              <w:rPr>
                <w:sz w:val="20"/>
                <w:szCs w:val="20"/>
              </w:rPr>
            </w:pPr>
            <w:r>
              <w:rPr>
                <w:sz w:val="20"/>
                <w:szCs w:val="20"/>
              </w:rPr>
              <w:t>-</w:t>
            </w:r>
          </w:p>
        </w:tc>
        <w:tc>
          <w:tcPr>
            <w:tcW w:w="0" w:type="auto"/>
          </w:tcPr>
          <w:p w14:paraId="5A5E9B22" w14:textId="77777777" w:rsidR="00FC2083" w:rsidRPr="00204235" w:rsidRDefault="00B03B03" w:rsidP="006C42D8">
            <w:pPr>
              <w:widowControl w:val="0"/>
              <w:autoSpaceDE w:val="0"/>
              <w:autoSpaceDN w:val="0"/>
              <w:adjustRightInd w:val="0"/>
              <w:jc w:val="center"/>
              <w:rPr>
                <w:sz w:val="20"/>
                <w:szCs w:val="20"/>
              </w:rPr>
            </w:pPr>
            <w:r>
              <w:rPr>
                <w:sz w:val="20"/>
                <w:szCs w:val="20"/>
              </w:rPr>
              <w:t>-</w:t>
            </w:r>
          </w:p>
        </w:tc>
      </w:tr>
      <w:tr w:rsidR="00FC2083" w:rsidRPr="00204235" w14:paraId="2F13068A" w14:textId="77777777" w:rsidTr="006C42D8">
        <w:trPr>
          <w:jc w:val="center"/>
        </w:trPr>
        <w:tc>
          <w:tcPr>
            <w:tcW w:w="0" w:type="auto"/>
          </w:tcPr>
          <w:p w14:paraId="0F4103B0" w14:textId="77777777" w:rsidR="00FC2083" w:rsidRDefault="00FC2083" w:rsidP="00FC2083">
            <w:pPr>
              <w:widowControl w:val="0"/>
              <w:autoSpaceDE w:val="0"/>
              <w:autoSpaceDN w:val="0"/>
              <w:adjustRightInd w:val="0"/>
              <w:rPr>
                <w:sz w:val="20"/>
                <w:szCs w:val="20"/>
              </w:rPr>
            </w:pPr>
            <w:r>
              <w:rPr>
                <w:sz w:val="20"/>
                <w:szCs w:val="20"/>
              </w:rPr>
              <w:t>Machinery, equipment etc. investment (predicted)</w:t>
            </w:r>
          </w:p>
        </w:tc>
        <w:tc>
          <w:tcPr>
            <w:tcW w:w="0" w:type="auto"/>
          </w:tcPr>
          <w:p w14:paraId="4C372E02" w14:textId="77777777" w:rsidR="00FC2083" w:rsidRPr="00204235" w:rsidRDefault="00B03B03" w:rsidP="006C42D8">
            <w:pPr>
              <w:widowControl w:val="0"/>
              <w:autoSpaceDE w:val="0"/>
              <w:autoSpaceDN w:val="0"/>
              <w:adjustRightInd w:val="0"/>
              <w:jc w:val="center"/>
              <w:rPr>
                <w:sz w:val="20"/>
                <w:szCs w:val="20"/>
              </w:rPr>
            </w:pPr>
            <w:r>
              <w:rPr>
                <w:sz w:val="20"/>
                <w:szCs w:val="20"/>
              </w:rPr>
              <w:t>-</w:t>
            </w:r>
          </w:p>
        </w:tc>
        <w:tc>
          <w:tcPr>
            <w:tcW w:w="0" w:type="auto"/>
          </w:tcPr>
          <w:p w14:paraId="7BECEFF8" w14:textId="77777777" w:rsidR="00FC2083" w:rsidRPr="00204235" w:rsidRDefault="00B03B03" w:rsidP="006C42D8">
            <w:pPr>
              <w:widowControl w:val="0"/>
              <w:autoSpaceDE w:val="0"/>
              <w:autoSpaceDN w:val="0"/>
              <w:adjustRightInd w:val="0"/>
              <w:jc w:val="center"/>
              <w:rPr>
                <w:sz w:val="20"/>
                <w:szCs w:val="20"/>
              </w:rPr>
            </w:pPr>
            <w:r>
              <w:rPr>
                <w:sz w:val="20"/>
                <w:szCs w:val="20"/>
              </w:rPr>
              <w:t>-</w:t>
            </w:r>
          </w:p>
        </w:tc>
        <w:tc>
          <w:tcPr>
            <w:tcW w:w="0" w:type="auto"/>
          </w:tcPr>
          <w:p w14:paraId="4BBEF6DA" w14:textId="77777777" w:rsidR="00FC2083" w:rsidRDefault="00B03B03" w:rsidP="006C42D8">
            <w:pPr>
              <w:widowControl w:val="0"/>
              <w:autoSpaceDE w:val="0"/>
              <w:autoSpaceDN w:val="0"/>
              <w:adjustRightInd w:val="0"/>
              <w:jc w:val="center"/>
              <w:rPr>
                <w:sz w:val="20"/>
                <w:szCs w:val="20"/>
              </w:rPr>
            </w:pPr>
            <w:r>
              <w:rPr>
                <w:sz w:val="20"/>
                <w:szCs w:val="20"/>
              </w:rPr>
              <w:t>-0.201**</w:t>
            </w:r>
          </w:p>
          <w:p w14:paraId="7810E97A" w14:textId="77777777" w:rsidR="00B03B03" w:rsidRPr="00204235" w:rsidRDefault="00B03B03" w:rsidP="006C42D8">
            <w:pPr>
              <w:widowControl w:val="0"/>
              <w:autoSpaceDE w:val="0"/>
              <w:autoSpaceDN w:val="0"/>
              <w:adjustRightInd w:val="0"/>
              <w:jc w:val="center"/>
              <w:rPr>
                <w:sz w:val="20"/>
                <w:szCs w:val="20"/>
              </w:rPr>
            </w:pPr>
            <w:r>
              <w:rPr>
                <w:sz w:val="20"/>
                <w:szCs w:val="20"/>
              </w:rPr>
              <w:t>(0.098)</w:t>
            </w:r>
          </w:p>
        </w:tc>
        <w:tc>
          <w:tcPr>
            <w:tcW w:w="0" w:type="auto"/>
          </w:tcPr>
          <w:p w14:paraId="3BD9D6D2" w14:textId="77777777" w:rsidR="00FC2083" w:rsidRPr="00204235" w:rsidRDefault="00B03B03" w:rsidP="006C42D8">
            <w:pPr>
              <w:widowControl w:val="0"/>
              <w:autoSpaceDE w:val="0"/>
              <w:autoSpaceDN w:val="0"/>
              <w:adjustRightInd w:val="0"/>
              <w:jc w:val="center"/>
              <w:rPr>
                <w:sz w:val="20"/>
                <w:szCs w:val="20"/>
              </w:rPr>
            </w:pPr>
            <w:r>
              <w:rPr>
                <w:sz w:val="20"/>
                <w:szCs w:val="20"/>
              </w:rPr>
              <w:t>-</w:t>
            </w:r>
          </w:p>
        </w:tc>
      </w:tr>
      <w:tr w:rsidR="00B03B03" w:rsidRPr="00204235" w14:paraId="0AA9DB0F" w14:textId="77777777" w:rsidTr="006C42D8">
        <w:trPr>
          <w:jc w:val="center"/>
        </w:trPr>
        <w:tc>
          <w:tcPr>
            <w:tcW w:w="0" w:type="auto"/>
          </w:tcPr>
          <w:p w14:paraId="07EEA438" w14:textId="77777777" w:rsidR="00B03B03" w:rsidRDefault="00B03B03" w:rsidP="00FC2083">
            <w:pPr>
              <w:widowControl w:val="0"/>
              <w:autoSpaceDE w:val="0"/>
              <w:autoSpaceDN w:val="0"/>
              <w:adjustRightInd w:val="0"/>
              <w:rPr>
                <w:sz w:val="20"/>
                <w:szCs w:val="20"/>
              </w:rPr>
            </w:pPr>
            <w:r>
              <w:rPr>
                <w:sz w:val="20"/>
                <w:szCs w:val="20"/>
              </w:rPr>
              <w:t>Sales from new products (predicted)</w:t>
            </w:r>
          </w:p>
        </w:tc>
        <w:tc>
          <w:tcPr>
            <w:tcW w:w="0" w:type="auto"/>
          </w:tcPr>
          <w:p w14:paraId="691EA1C7" w14:textId="77777777" w:rsidR="00B03B03" w:rsidRDefault="00B03B03" w:rsidP="006C42D8">
            <w:pPr>
              <w:widowControl w:val="0"/>
              <w:autoSpaceDE w:val="0"/>
              <w:autoSpaceDN w:val="0"/>
              <w:adjustRightInd w:val="0"/>
              <w:jc w:val="center"/>
              <w:rPr>
                <w:sz w:val="20"/>
                <w:szCs w:val="20"/>
              </w:rPr>
            </w:pPr>
            <w:r>
              <w:rPr>
                <w:sz w:val="20"/>
                <w:szCs w:val="20"/>
              </w:rPr>
              <w:t>-</w:t>
            </w:r>
          </w:p>
        </w:tc>
        <w:tc>
          <w:tcPr>
            <w:tcW w:w="0" w:type="auto"/>
          </w:tcPr>
          <w:p w14:paraId="57313A4A" w14:textId="77777777" w:rsidR="00B03B03" w:rsidRDefault="00B03B03" w:rsidP="006C42D8">
            <w:pPr>
              <w:widowControl w:val="0"/>
              <w:autoSpaceDE w:val="0"/>
              <w:autoSpaceDN w:val="0"/>
              <w:adjustRightInd w:val="0"/>
              <w:jc w:val="center"/>
              <w:rPr>
                <w:sz w:val="20"/>
                <w:szCs w:val="20"/>
              </w:rPr>
            </w:pPr>
            <w:r>
              <w:rPr>
                <w:sz w:val="20"/>
                <w:szCs w:val="20"/>
              </w:rPr>
              <w:t>2.514</w:t>
            </w:r>
          </w:p>
          <w:p w14:paraId="16961169" w14:textId="77777777" w:rsidR="00B03B03" w:rsidRDefault="00B03B03" w:rsidP="006C42D8">
            <w:pPr>
              <w:widowControl w:val="0"/>
              <w:autoSpaceDE w:val="0"/>
              <w:autoSpaceDN w:val="0"/>
              <w:adjustRightInd w:val="0"/>
              <w:jc w:val="center"/>
              <w:rPr>
                <w:sz w:val="20"/>
                <w:szCs w:val="20"/>
              </w:rPr>
            </w:pPr>
            <w:r>
              <w:rPr>
                <w:sz w:val="20"/>
                <w:szCs w:val="20"/>
              </w:rPr>
              <w:t>(4.659)</w:t>
            </w:r>
          </w:p>
        </w:tc>
        <w:tc>
          <w:tcPr>
            <w:tcW w:w="0" w:type="auto"/>
          </w:tcPr>
          <w:p w14:paraId="1626AB89" w14:textId="77777777" w:rsidR="00B03B03" w:rsidRDefault="00B03B03" w:rsidP="006C42D8">
            <w:pPr>
              <w:widowControl w:val="0"/>
              <w:autoSpaceDE w:val="0"/>
              <w:autoSpaceDN w:val="0"/>
              <w:adjustRightInd w:val="0"/>
              <w:jc w:val="center"/>
              <w:rPr>
                <w:sz w:val="20"/>
                <w:szCs w:val="20"/>
              </w:rPr>
            </w:pPr>
            <w:r>
              <w:rPr>
                <w:sz w:val="20"/>
                <w:szCs w:val="20"/>
              </w:rPr>
              <w:t>-</w:t>
            </w:r>
          </w:p>
        </w:tc>
        <w:tc>
          <w:tcPr>
            <w:tcW w:w="0" w:type="auto"/>
          </w:tcPr>
          <w:p w14:paraId="648F57B2" w14:textId="77777777" w:rsidR="00B03B03" w:rsidRDefault="00B03B03" w:rsidP="006C42D8">
            <w:pPr>
              <w:widowControl w:val="0"/>
              <w:autoSpaceDE w:val="0"/>
              <w:autoSpaceDN w:val="0"/>
              <w:adjustRightInd w:val="0"/>
              <w:jc w:val="center"/>
              <w:rPr>
                <w:sz w:val="20"/>
                <w:szCs w:val="20"/>
              </w:rPr>
            </w:pPr>
            <w:r>
              <w:rPr>
                <w:sz w:val="20"/>
                <w:szCs w:val="20"/>
              </w:rPr>
              <w:t>1.559***</w:t>
            </w:r>
          </w:p>
          <w:p w14:paraId="6A2438F4" w14:textId="77777777" w:rsidR="00B03B03" w:rsidRDefault="00B03B03" w:rsidP="006C42D8">
            <w:pPr>
              <w:widowControl w:val="0"/>
              <w:autoSpaceDE w:val="0"/>
              <w:autoSpaceDN w:val="0"/>
              <w:adjustRightInd w:val="0"/>
              <w:jc w:val="center"/>
              <w:rPr>
                <w:sz w:val="20"/>
                <w:szCs w:val="20"/>
              </w:rPr>
            </w:pPr>
            <w:r>
              <w:rPr>
                <w:sz w:val="20"/>
                <w:szCs w:val="20"/>
              </w:rPr>
              <w:t>(0.529)</w:t>
            </w:r>
          </w:p>
        </w:tc>
      </w:tr>
      <w:tr w:rsidR="00FC2083" w:rsidRPr="00204235" w14:paraId="64EB08CA" w14:textId="77777777" w:rsidTr="006C42D8">
        <w:trPr>
          <w:jc w:val="center"/>
        </w:trPr>
        <w:tc>
          <w:tcPr>
            <w:tcW w:w="0" w:type="auto"/>
          </w:tcPr>
          <w:p w14:paraId="31458FF0" w14:textId="77777777" w:rsidR="00FC2083" w:rsidRPr="00204235" w:rsidRDefault="00FC2083" w:rsidP="006C42D8">
            <w:pPr>
              <w:widowControl w:val="0"/>
              <w:autoSpaceDE w:val="0"/>
              <w:autoSpaceDN w:val="0"/>
              <w:adjustRightInd w:val="0"/>
              <w:jc w:val="both"/>
              <w:rPr>
                <w:sz w:val="20"/>
                <w:szCs w:val="20"/>
              </w:rPr>
            </w:pPr>
            <w:r>
              <w:rPr>
                <w:sz w:val="20"/>
                <w:szCs w:val="20"/>
              </w:rPr>
              <w:t>Observations</w:t>
            </w:r>
          </w:p>
        </w:tc>
        <w:tc>
          <w:tcPr>
            <w:tcW w:w="0" w:type="auto"/>
          </w:tcPr>
          <w:p w14:paraId="54AFBA96" w14:textId="77777777" w:rsidR="00FC2083" w:rsidRPr="00204235" w:rsidRDefault="00B03B03" w:rsidP="006C42D8">
            <w:pPr>
              <w:widowControl w:val="0"/>
              <w:autoSpaceDE w:val="0"/>
              <w:autoSpaceDN w:val="0"/>
              <w:adjustRightInd w:val="0"/>
              <w:jc w:val="center"/>
              <w:rPr>
                <w:sz w:val="20"/>
                <w:szCs w:val="20"/>
              </w:rPr>
            </w:pPr>
            <w:r>
              <w:rPr>
                <w:sz w:val="20"/>
                <w:szCs w:val="20"/>
              </w:rPr>
              <w:t>1908</w:t>
            </w:r>
          </w:p>
        </w:tc>
        <w:tc>
          <w:tcPr>
            <w:tcW w:w="0" w:type="auto"/>
          </w:tcPr>
          <w:p w14:paraId="7495E282" w14:textId="77777777" w:rsidR="00FC2083" w:rsidRPr="00204235" w:rsidRDefault="00B03B03" w:rsidP="006C42D8">
            <w:pPr>
              <w:widowControl w:val="0"/>
              <w:autoSpaceDE w:val="0"/>
              <w:autoSpaceDN w:val="0"/>
              <w:adjustRightInd w:val="0"/>
              <w:jc w:val="center"/>
              <w:rPr>
                <w:sz w:val="20"/>
                <w:szCs w:val="20"/>
              </w:rPr>
            </w:pPr>
            <w:r>
              <w:rPr>
                <w:sz w:val="20"/>
                <w:szCs w:val="20"/>
              </w:rPr>
              <w:t>1908</w:t>
            </w:r>
          </w:p>
        </w:tc>
        <w:tc>
          <w:tcPr>
            <w:tcW w:w="0" w:type="auto"/>
          </w:tcPr>
          <w:p w14:paraId="351F8326" w14:textId="77777777" w:rsidR="00FC2083" w:rsidRPr="00204235" w:rsidRDefault="00B03B03" w:rsidP="006C42D8">
            <w:pPr>
              <w:widowControl w:val="0"/>
              <w:autoSpaceDE w:val="0"/>
              <w:autoSpaceDN w:val="0"/>
              <w:adjustRightInd w:val="0"/>
              <w:jc w:val="center"/>
              <w:rPr>
                <w:sz w:val="20"/>
                <w:szCs w:val="20"/>
              </w:rPr>
            </w:pPr>
            <w:r>
              <w:rPr>
                <w:sz w:val="20"/>
                <w:szCs w:val="20"/>
              </w:rPr>
              <w:t>2556</w:t>
            </w:r>
          </w:p>
        </w:tc>
        <w:tc>
          <w:tcPr>
            <w:tcW w:w="0" w:type="auto"/>
          </w:tcPr>
          <w:p w14:paraId="14F70E44" w14:textId="77777777" w:rsidR="00FC2083" w:rsidRPr="00204235" w:rsidRDefault="00B03B03" w:rsidP="006C42D8">
            <w:pPr>
              <w:widowControl w:val="0"/>
              <w:autoSpaceDE w:val="0"/>
              <w:autoSpaceDN w:val="0"/>
              <w:adjustRightInd w:val="0"/>
              <w:jc w:val="center"/>
              <w:rPr>
                <w:sz w:val="20"/>
                <w:szCs w:val="20"/>
              </w:rPr>
            </w:pPr>
            <w:r>
              <w:rPr>
                <w:sz w:val="20"/>
                <w:szCs w:val="20"/>
              </w:rPr>
              <w:t>2556</w:t>
            </w:r>
          </w:p>
        </w:tc>
      </w:tr>
    </w:tbl>
    <w:p w14:paraId="27BD0F2B" w14:textId="77777777" w:rsidR="00A70439" w:rsidRPr="008F2BD6" w:rsidRDefault="008F2BD6" w:rsidP="008F2BD6">
      <w:pPr>
        <w:jc w:val="both"/>
        <w:rPr>
          <w:rFonts w:eastAsia="Times New Roman"/>
        </w:rPr>
      </w:pPr>
      <w:r w:rsidRPr="00F1788F">
        <w:rPr>
          <w:rFonts w:cs="Calibri"/>
          <w:sz w:val="16"/>
          <w:szCs w:val="16"/>
        </w:rPr>
        <w:t>* p&lt;0.1, ** p&lt;0.05, *** p&lt;0.01</w:t>
      </w:r>
      <w:r>
        <w:rPr>
          <w:rFonts w:cs="Calibri"/>
          <w:sz w:val="16"/>
          <w:szCs w:val="16"/>
        </w:rPr>
        <w:t xml:space="preserve">; Detailed specifications and model diagnostics available in Online appendix. Standard errors in parentheses. </w:t>
      </w:r>
    </w:p>
    <w:p w14:paraId="1AFB99AC" w14:textId="37AD9D17" w:rsidR="00922A89" w:rsidRDefault="00E34F0F" w:rsidP="00B3154B">
      <w:pPr>
        <w:spacing w:before="100" w:beforeAutospacing="1" w:after="100" w:afterAutospacing="1" w:line="360" w:lineRule="auto"/>
        <w:jc w:val="both"/>
        <w:rPr>
          <w:rFonts w:eastAsia="Times New Roman"/>
        </w:rPr>
      </w:pPr>
      <w:r w:rsidRPr="001F1AC1">
        <w:rPr>
          <w:rFonts w:eastAsia="Times New Roman"/>
        </w:rPr>
        <w:t>In the la</w:t>
      </w:r>
      <w:r w:rsidR="00B3154B">
        <w:rPr>
          <w:rFonts w:eastAsia="Times New Roman"/>
        </w:rPr>
        <w:t>t</w:t>
      </w:r>
      <w:r w:rsidRPr="001F1AC1">
        <w:rPr>
          <w:rFonts w:eastAsia="Times New Roman"/>
        </w:rPr>
        <w:t>ter phase</w:t>
      </w:r>
      <w:r w:rsidR="00B3154B">
        <w:rPr>
          <w:rFonts w:eastAsia="Times New Roman"/>
        </w:rPr>
        <w:t>s</w:t>
      </w:r>
      <w:r w:rsidRPr="001F1AC1">
        <w:rPr>
          <w:rFonts w:eastAsia="Times New Roman"/>
        </w:rPr>
        <w:t xml:space="preserve"> of the innovation process</w:t>
      </w:r>
      <w:r w:rsidR="00ED0BD2" w:rsidRPr="001F1AC1">
        <w:rPr>
          <w:rFonts w:eastAsia="Times New Roman"/>
        </w:rPr>
        <w:t>,</w:t>
      </w:r>
      <w:r w:rsidR="00DD0E4A">
        <w:rPr>
          <w:rFonts w:eastAsia="Times New Roman"/>
        </w:rPr>
        <w:t xml:space="preserve"> too,</w:t>
      </w:r>
      <w:r w:rsidR="00ED0BD2" w:rsidRPr="001F1AC1">
        <w:rPr>
          <w:rFonts w:eastAsia="Times New Roman"/>
        </w:rPr>
        <w:t xml:space="preserve"> horizontal spillovers have a stronger effect </w:t>
      </w:r>
      <w:r w:rsidR="0053516D" w:rsidRPr="001F1AC1">
        <w:rPr>
          <w:rFonts w:eastAsia="Times New Roman"/>
        </w:rPr>
        <w:t>on knowledge users than knowledge creators</w:t>
      </w:r>
      <w:r w:rsidR="00ED0BD2" w:rsidRPr="001F1AC1">
        <w:rPr>
          <w:rFonts w:eastAsia="Times New Roman"/>
        </w:rPr>
        <w:t xml:space="preserve"> for both Equations 3 and 4</w:t>
      </w:r>
      <w:r w:rsidR="0053516D" w:rsidRPr="001F1AC1">
        <w:rPr>
          <w:rFonts w:eastAsia="Times New Roman"/>
        </w:rPr>
        <w:t>. Surprisingly,</w:t>
      </w:r>
      <w:r w:rsidR="000D64E1" w:rsidRPr="001F1AC1">
        <w:rPr>
          <w:rFonts w:eastAsia="Times New Roman"/>
        </w:rPr>
        <w:t xml:space="preserve"> the sign of horizontal spillover effect</w:t>
      </w:r>
      <w:r w:rsidR="0053516D" w:rsidRPr="001F1AC1">
        <w:rPr>
          <w:rFonts w:eastAsia="Times New Roman"/>
        </w:rPr>
        <w:t>s</w:t>
      </w:r>
      <w:r w:rsidR="000D64E1" w:rsidRPr="001F1AC1">
        <w:rPr>
          <w:rFonts w:eastAsia="Times New Roman"/>
        </w:rPr>
        <w:t xml:space="preserve"> differs</w:t>
      </w:r>
      <w:r w:rsidR="00ED0BD2" w:rsidRPr="001F1AC1">
        <w:rPr>
          <w:rFonts w:eastAsia="Times New Roman"/>
        </w:rPr>
        <w:t xml:space="preserve">. </w:t>
      </w:r>
      <w:r w:rsidR="00A71A02">
        <w:rPr>
          <w:rFonts w:eastAsia="Times New Roman"/>
        </w:rPr>
        <w:t xml:space="preserve">Despite greater innovative efforts </w:t>
      </w:r>
      <w:r w:rsidR="009D7771">
        <w:rPr>
          <w:rFonts w:eastAsia="Times New Roman"/>
        </w:rPr>
        <w:t>prompted</w:t>
      </w:r>
      <w:r w:rsidR="00AF6109">
        <w:rPr>
          <w:rFonts w:eastAsia="Times New Roman"/>
        </w:rPr>
        <w:t xml:space="preserve"> by foreign rivals’ presence</w:t>
      </w:r>
      <w:r w:rsidR="00A71A02">
        <w:rPr>
          <w:rFonts w:eastAsia="Times New Roman"/>
        </w:rPr>
        <w:t xml:space="preserve"> (Table 2)</w:t>
      </w:r>
      <w:r w:rsidR="009D7771">
        <w:rPr>
          <w:rFonts w:eastAsia="Times New Roman"/>
        </w:rPr>
        <w:t>,</w:t>
      </w:r>
      <w:r w:rsidR="00A71A02">
        <w:rPr>
          <w:rFonts w:eastAsia="Times New Roman"/>
        </w:rPr>
        <w:t xml:space="preserve"> </w:t>
      </w:r>
      <w:r w:rsidR="00AF6109">
        <w:rPr>
          <w:rFonts w:eastAsia="Times New Roman"/>
        </w:rPr>
        <w:t xml:space="preserve">knowledge creators and knowledge users incur negative effects from foreign horizontal </w:t>
      </w:r>
      <w:r w:rsidR="009D7771">
        <w:rPr>
          <w:rFonts w:eastAsia="Times New Roman"/>
        </w:rPr>
        <w:t>spill</w:t>
      </w:r>
      <w:r w:rsidR="00AF6109">
        <w:rPr>
          <w:rFonts w:eastAsia="Times New Roman"/>
        </w:rPr>
        <w:t>overs</w:t>
      </w:r>
      <w:r w:rsidR="009D7771">
        <w:rPr>
          <w:rFonts w:eastAsia="Times New Roman"/>
        </w:rPr>
        <w:t xml:space="preserve">. There are positive horizontal </w:t>
      </w:r>
      <w:r w:rsidR="008141AF">
        <w:rPr>
          <w:rFonts w:eastAsia="Times New Roman"/>
        </w:rPr>
        <w:t>spill</w:t>
      </w:r>
      <w:r w:rsidR="00591BF5">
        <w:rPr>
          <w:rFonts w:eastAsia="Times New Roman"/>
        </w:rPr>
        <w:t>over</w:t>
      </w:r>
      <w:r w:rsidR="00B3154B">
        <w:rPr>
          <w:rFonts w:eastAsia="Times New Roman"/>
        </w:rPr>
        <w:t xml:space="preserve"> effect</w:t>
      </w:r>
      <w:r w:rsidR="00591BF5">
        <w:rPr>
          <w:rFonts w:eastAsia="Times New Roman"/>
        </w:rPr>
        <w:t xml:space="preserve">s </w:t>
      </w:r>
      <w:r w:rsidR="009D7771">
        <w:rPr>
          <w:rFonts w:eastAsia="Times New Roman"/>
        </w:rPr>
        <w:t xml:space="preserve">on productivity only </w:t>
      </w:r>
      <w:r w:rsidR="00591BF5">
        <w:rPr>
          <w:rFonts w:eastAsia="Times New Roman"/>
        </w:rPr>
        <w:t>amongst</w:t>
      </w:r>
      <w:r w:rsidR="009D7771">
        <w:rPr>
          <w:rFonts w:eastAsia="Times New Roman"/>
        </w:rPr>
        <w:t xml:space="preserve"> the knowledge users, but not </w:t>
      </w:r>
      <w:r w:rsidR="00B3154B">
        <w:rPr>
          <w:rFonts w:eastAsia="Times New Roman"/>
        </w:rPr>
        <w:t xml:space="preserve">knowledge </w:t>
      </w:r>
      <w:r w:rsidR="009D7771">
        <w:rPr>
          <w:rFonts w:eastAsia="Times New Roman"/>
        </w:rPr>
        <w:t>creators.</w:t>
      </w:r>
      <w:r w:rsidR="00C612C8">
        <w:rPr>
          <w:rFonts w:eastAsia="Times New Roman"/>
        </w:rPr>
        <w:t xml:space="preserve"> </w:t>
      </w:r>
      <w:r w:rsidR="0053516D" w:rsidRPr="001F1AC1">
        <w:rPr>
          <w:rFonts w:eastAsia="Times New Roman"/>
        </w:rPr>
        <w:t xml:space="preserve">Vertical spillovers </w:t>
      </w:r>
      <w:r w:rsidR="00956FA8">
        <w:rPr>
          <w:rFonts w:eastAsia="Times New Roman"/>
        </w:rPr>
        <w:t>c</w:t>
      </w:r>
      <w:r w:rsidR="00956FA8" w:rsidRPr="001F1AC1">
        <w:rPr>
          <w:rFonts w:eastAsia="Times New Roman"/>
        </w:rPr>
        <w:t>e</w:t>
      </w:r>
      <w:r w:rsidR="00956FA8">
        <w:rPr>
          <w:rFonts w:eastAsia="Times New Roman"/>
        </w:rPr>
        <w:t>a</w:t>
      </w:r>
      <w:r w:rsidR="00956FA8" w:rsidRPr="001F1AC1">
        <w:rPr>
          <w:rFonts w:eastAsia="Times New Roman"/>
        </w:rPr>
        <w:t>se</w:t>
      </w:r>
      <w:r w:rsidR="0053516D" w:rsidRPr="001F1AC1">
        <w:rPr>
          <w:rFonts w:eastAsia="Times New Roman"/>
        </w:rPr>
        <w:t xml:space="preserve"> to have an effect on the lat</w:t>
      </w:r>
      <w:r w:rsidR="00B3154B">
        <w:rPr>
          <w:rFonts w:eastAsia="Times New Roman"/>
        </w:rPr>
        <w:t>t</w:t>
      </w:r>
      <w:r w:rsidR="0053516D" w:rsidRPr="001F1AC1">
        <w:rPr>
          <w:rFonts w:eastAsia="Times New Roman"/>
        </w:rPr>
        <w:t>er phase</w:t>
      </w:r>
      <w:r w:rsidR="00B3154B">
        <w:rPr>
          <w:rFonts w:eastAsia="Times New Roman"/>
        </w:rPr>
        <w:t>s</w:t>
      </w:r>
      <w:r w:rsidR="0053516D" w:rsidRPr="001F1AC1">
        <w:rPr>
          <w:rFonts w:eastAsia="Times New Roman"/>
        </w:rPr>
        <w:t xml:space="preserve"> of the innovation process. Local customers’ innovation sales and productivity are not affected by the presence of foreign suppliers</w:t>
      </w:r>
      <w:r w:rsidR="00A71A02">
        <w:rPr>
          <w:rFonts w:eastAsia="Times New Roman"/>
        </w:rPr>
        <w:t xml:space="preserve"> and foreign customers</w:t>
      </w:r>
      <w:r w:rsidR="0053516D" w:rsidRPr="001F1AC1">
        <w:rPr>
          <w:rFonts w:eastAsia="Times New Roman"/>
        </w:rPr>
        <w:t xml:space="preserve">. Considering </w:t>
      </w:r>
      <w:r w:rsidR="003444D5" w:rsidRPr="001F1AC1">
        <w:rPr>
          <w:rFonts w:eastAsia="Times New Roman"/>
        </w:rPr>
        <w:t>the negative backward spillover effects in the early phase of innovation, it comes at no surprise that</w:t>
      </w:r>
      <w:r w:rsidR="0015163F" w:rsidRPr="001F1AC1">
        <w:rPr>
          <w:rFonts w:eastAsia="Times New Roman"/>
        </w:rPr>
        <w:t xml:space="preserve"> </w:t>
      </w:r>
      <w:r w:rsidR="003444D5" w:rsidRPr="001F1AC1">
        <w:rPr>
          <w:rFonts w:eastAsia="Times New Roman"/>
        </w:rPr>
        <w:t xml:space="preserve">manufacturing firms enjoy neither market nor productivity benefits through backward linkage. </w:t>
      </w:r>
      <w:r w:rsidR="0053516D" w:rsidRPr="001F1AC1">
        <w:rPr>
          <w:rFonts w:eastAsia="Times New Roman"/>
        </w:rPr>
        <w:t xml:space="preserve">Only knowledge users </w:t>
      </w:r>
      <w:r w:rsidR="003444D5" w:rsidRPr="001F1AC1">
        <w:rPr>
          <w:rFonts w:eastAsia="Times New Roman"/>
        </w:rPr>
        <w:t>incur</w:t>
      </w:r>
      <w:r w:rsidR="0053516D" w:rsidRPr="001F1AC1">
        <w:rPr>
          <w:rFonts w:eastAsia="Times New Roman"/>
        </w:rPr>
        <w:t xml:space="preserve"> negative productivity effects through backward linkage.</w:t>
      </w:r>
      <w:r w:rsidR="0012006F">
        <w:rPr>
          <w:rFonts w:eastAsia="Times New Roman"/>
        </w:rPr>
        <w:t xml:space="preserve"> Forward spillovers have no effect on innovation output or productivity of firms, irrespective of their innovation regime.</w:t>
      </w:r>
      <w:r w:rsidR="0053516D" w:rsidRPr="001F1AC1">
        <w:rPr>
          <w:rFonts w:eastAsia="Times New Roman"/>
        </w:rPr>
        <w:t xml:space="preserve"> </w:t>
      </w:r>
      <w:r w:rsidR="00922A89">
        <w:rPr>
          <w:rFonts w:eastAsia="Times New Roman"/>
        </w:rPr>
        <w:t xml:space="preserve">Finally, we find negative coefficients from both knowledge use and knowledge generation regimes on sales of new products and services and positive effect of sales of new products and services on productivity among knowledge users.  </w:t>
      </w:r>
    </w:p>
    <w:p w14:paraId="4143260A" w14:textId="77777777" w:rsidR="00922A89" w:rsidRPr="00922A89" w:rsidRDefault="00922A89" w:rsidP="008F2BD6">
      <w:pPr>
        <w:spacing w:before="100" w:beforeAutospacing="1" w:after="100" w:afterAutospacing="1" w:line="360" w:lineRule="auto"/>
        <w:jc w:val="both"/>
        <w:rPr>
          <w:rFonts w:eastAsia="Times New Roman"/>
          <w:b/>
          <w:bCs/>
        </w:rPr>
      </w:pPr>
      <w:r w:rsidRPr="00922A89">
        <w:rPr>
          <w:rFonts w:eastAsia="Times New Roman"/>
          <w:b/>
          <w:bCs/>
        </w:rPr>
        <w:t>5. Discussion of findings</w:t>
      </w:r>
    </w:p>
    <w:p w14:paraId="48171D35" w14:textId="3915D8C2" w:rsidR="00922A89" w:rsidRPr="001F1AC1" w:rsidRDefault="00922A89" w:rsidP="008F2BD6">
      <w:pPr>
        <w:widowControl w:val="0"/>
        <w:autoSpaceDE w:val="0"/>
        <w:autoSpaceDN w:val="0"/>
        <w:adjustRightInd w:val="0"/>
        <w:spacing w:after="240" w:line="360" w:lineRule="auto"/>
        <w:jc w:val="both"/>
      </w:pPr>
      <w:r>
        <w:rPr>
          <w:rFonts w:eastAsia="Times New Roman"/>
        </w:rPr>
        <w:t xml:space="preserve">Our results offer several interesting findings that deserve to be discussed in greater detail. </w:t>
      </w:r>
      <w:r w:rsidRPr="001F1AC1">
        <w:t xml:space="preserve">The results clearly show that the scope of learning from foreign rival firms is greater amongst firms </w:t>
      </w:r>
      <w:r>
        <w:t xml:space="preserve">following knowledge use innovation regime than those involved in knowledge generation. </w:t>
      </w:r>
      <w:r w:rsidRPr="001F1AC1">
        <w:t xml:space="preserve">Possibly, firms in Serbia are at </w:t>
      </w:r>
      <w:r>
        <w:t>a</w:t>
      </w:r>
      <w:r w:rsidRPr="001F1AC1">
        <w:t xml:space="preserve"> lower ladder of</w:t>
      </w:r>
      <w:r>
        <w:t xml:space="preserve"> the</w:t>
      </w:r>
      <w:r w:rsidRPr="001F1AC1">
        <w:t xml:space="preserve"> global value chain, less knowledge intensive and with lower innovation capabilities. The greater the foreign suppliers’ presence, the greater the chance that firms in downstream industry will innovate through the purchase of machinery and equipment and better use of existing human resources, but not via R&amp;D. </w:t>
      </w:r>
      <w:r>
        <w:t xml:space="preserve">This signals that improved quality or new types of inputs from foreign suppliers require improved or new embedded technology to make use of it. </w:t>
      </w:r>
    </w:p>
    <w:p w14:paraId="39C85059" w14:textId="6A84AD36" w:rsidR="00922A89" w:rsidRPr="001F1AC1" w:rsidRDefault="00922A89" w:rsidP="00B3154B">
      <w:pPr>
        <w:widowControl w:val="0"/>
        <w:autoSpaceDE w:val="0"/>
        <w:autoSpaceDN w:val="0"/>
        <w:adjustRightInd w:val="0"/>
        <w:spacing w:after="240" w:line="360" w:lineRule="auto"/>
        <w:jc w:val="both"/>
      </w:pPr>
      <w:r w:rsidRPr="001F1AC1">
        <w:t xml:space="preserve">The overall negative effect </w:t>
      </w:r>
      <w:r>
        <w:rPr>
          <w:lang w:val="hr-HR"/>
        </w:rPr>
        <w:t xml:space="preserve">of backward spillovers in early </w:t>
      </w:r>
      <w:r w:rsidR="002D5860" w:rsidRPr="009C5EDE">
        <w:rPr>
          <w:lang w:val="en-US"/>
        </w:rPr>
        <w:t>phase</w:t>
      </w:r>
      <w:r w:rsidR="00B3154B" w:rsidRPr="009C5EDE">
        <w:rPr>
          <w:lang w:val="en-US"/>
        </w:rPr>
        <w:t>s</w:t>
      </w:r>
      <w:r w:rsidR="002D5860">
        <w:rPr>
          <w:lang w:val="hr-HR"/>
        </w:rPr>
        <w:t xml:space="preserve"> </w:t>
      </w:r>
      <w:r>
        <w:rPr>
          <w:lang w:val="hr-HR"/>
        </w:rPr>
        <w:t xml:space="preserve">of innovation process (decision to innovate and innovation investment) </w:t>
      </w:r>
      <w:r w:rsidRPr="001F1AC1">
        <w:t xml:space="preserve">could result from inputs being sourced globally rather than locally (Ito et al., 2012) </w:t>
      </w:r>
      <w:r w:rsidRPr="001F1AC1">
        <w:rPr>
          <w:rFonts w:eastAsia="Times New Roman" w:cs="TimesNewRomanPSMT"/>
        </w:rPr>
        <w:t>due to low transportation costs</w:t>
      </w:r>
      <w:r>
        <w:rPr>
          <w:rFonts w:eastAsia="Times New Roman" w:cs="TimesNewRomanPSMT"/>
        </w:rPr>
        <w:t>,</w:t>
      </w:r>
      <w:r w:rsidRPr="001F1AC1">
        <w:rPr>
          <w:rFonts w:eastAsia="Times New Roman" w:cs="TimesNewRomanPSMT"/>
        </w:rPr>
        <w:t xml:space="preserve"> </w:t>
      </w:r>
      <w:r>
        <w:rPr>
          <w:rFonts w:eastAsia="Times New Roman" w:cs="TimesNewRomanPSMT"/>
        </w:rPr>
        <w:t xml:space="preserve">the </w:t>
      </w:r>
      <w:r w:rsidRPr="001F1AC1">
        <w:rPr>
          <w:rFonts w:eastAsia="Times New Roman" w:cs="TimesNewRomanPSMT"/>
        </w:rPr>
        <w:t>inability of domestic firms to meet their demand</w:t>
      </w:r>
      <w:r>
        <w:rPr>
          <w:rFonts w:eastAsia="Times New Roman" w:cs="TimesNewRomanPSMT"/>
        </w:rPr>
        <w:t xml:space="preserve"> or the success of foreign firms in preventing the leakage</w:t>
      </w:r>
      <w:r w:rsidRPr="001F1AC1">
        <w:rPr>
          <w:rFonts w:eastAsia="Times New Roman" w:cs="TimesNewRomanPSMT"/>
        </w:rPr>
        <w:t xml:space="preserve"> </w:t>
      </w:r>
      <w:r>
        <w:rPr>
          <w:rFonts w:eastAsia="Times New Roman" w:cs="TimesNewRomanPSMT"/>
        </w:rPr>
        <w:t xml:space="preserve">of knowledge to domestic firms </w:t>
      </w:r>
      <w:r w:rsidRPr="001F1AC1">
        <w:rPr>
          <w:rFonts w:eastAsia="Times New Roman" w:cs="TimesNewRomanPSMT"/>
        </w:rPr>
        <w:t>(Newman et al., 2015)</w:t>
      </w:r>
      <w:r w:rsidRPr="001F1AC1">
        <w:t>.</w:t>
      </w:r>
      <w:r>
        <w:t xml:space="preserve"> </w:t>
      </w:r>
      <w:r w:rsidRPr="001F1AC1">
        <w:t xml:space="preserve">As with horizontal spillovers, the effect is larger (stronger) for firms that invest in </w:t>
      </w:r>
      <w:r>
        <w:t>knowledge use</w:t>
      </w:r>
      <w:r w:rsidRPr="001F1AC1">
        <w:t xml:space="preserve"> than those investing in</w:t>
      </w:r>
      <w:r>
        <w:t xml:space="preserve"> knowledge generation</w:t>
      </w:r>
      <w:r w:rsidRPr="001F1AC1">
        <w:t xml:space="preserve">. This may imply that local firms do not have </w:t>
      </w:r>
      <w:r>
        <w:t>sufficient</w:t>
      </w:r>
      <w:r w:rsidRPr="001F1AC1">
        <w:t xml:space="preserve"> absorptive capacity to meet the needs of foreign customers demanding better inputs</w:t>
      </w:r>
      <w:r>
        <w:t xml:space="preserve"> or that they lack sufficient capital to invest in compatible embedded technology to meet the needs of foreign owned customers</w:t>
      </w:r>
      <w:r w:rsidRPr="001F1AC1">
        <w:t xml:space="preserve">. This is particularly true for firms that innovate via knowledge use, possibly because firms conducting R&amp;D </w:t>
      </w:r>
      <w:r w:rsidR="00B3154B">
        <w:t>are better</w:t>
      </w:r>
      <w:r w:rsidRPr="001F1AC1">
        <w:t xml:space="preserve"> ab</w:t>
      </w:r>
      <w:r w:rsidR="00B3154B">
        <w:t>le</w:t>
      </w:r>
      <w:r w:rsidRPr="001F1AC1">
        <w:t xml:space="preserve"> to fight off negative productivity shocks. The effect of vertical spillovers, and in particular backward ones, are strong in size.  This is because vertical spillovers are measured at </w:t>
      </w:r>
      <w:r w:rsidR="00B3154B">
        <w:t xml:space="preserve">a </w:t>
      </w:r>
      <w:r w:rsidRPr="001F1AC1">
        <w:t>high</w:t>
      </w:r>
      <w:r w:rsidR="00B3154B">
        <w:t>er</w:t>
      </w:r>
      <w:r w:rsidRPr="001F1AC1">
        <w:t xml:space="preserve"> level of industry aggregation and their coefficient represents spillover effects in broader terms.</w:t>
      </w:r>
      <w:r w:rsidRPr="001F1AC1">
        <w:rPr>
          <w:rStyle w:val="FootnoteReference"/>
        </w:rPr>
        <w:footnoteReference w:id="11"/>
      </w:r>
      <w:r w:rsidRPr="001F1AC1">
        <w:t xml:space="preserve"> </w:t>
      </w:r>
    </w:p>
    <w:p w14:paraId="54BF34DB" w14:textId="14882528" w:rsidR="00952641" w:rsidRPr="00590163" w:rsidRDefault="00952641" w:rsidP="00B3154B">
      <w:pPr>
        <w:spacing w:before="100" w:beforeAutospacing="1" w:after="100" w:afterAutospacing="1" w:line="360" w:lineRule="auto"/>
        <w:jc w:val="both"/>
        <w:rPr>
          <w:rFonts w:eastAsia="Times New Roman"/>
        </w:rPr>
      </w:pPr>
      <w:r>
        <w:t>The sign of horizontal spillovers differs across innovation regimes in la</w:t>
      </w:r>
      <w:r w:rsidR="00B3154B">
        <w:t>t</w:t>
      </w:r>
      <w:r>
        <w:t xml:space="preserve">ter </w:t>
      </w:r>
      <w:r w:rsidR="00B3154B">
        <w:t xml:space="preserve">phases </w:t>
      </w:r>
      <w:r>
        <w:t>of</w:t>
      </w:r>
      <w:r w:rsidR="00B3154B">
        <w:t xml:space="preserve"> the</w:t>
      </w:r>
      <w:r>
        <w:t xml:space="preserve"> innovation process. </w:t>
      </w:r>
      <w:r w:rsidRPr="001F1AC1">
        <w:rPr>
          <w:rFonts w:eastAsia="Times New Roman"/>
        </w:rPr>
        <w:t xml:space="preserve">The sales from innovation are negatively affected, regardless of positive innovation spending, possibly because firms have poor marketing and commercial skills needed for the sale of new products and services. Judging by the greater negative effects from horizontal spillovers, we may infer that these marketing skills are particularly weak amongst the firms that use knowledge, rather than those that create it. The reasoning may lie in the negative and significant effect of market competition (positive effect of market concentration). Based on the coefficient size, this effect is stronger </w:t>
      </w:r>
      <w:r>
        <w:rPr>
          <w:rFonts w:eastAsia="Times New Roman"/>
        </w:rPr>
        <w:t xml:space="preserve">among </w:t>
      </w:r>
      <w:r w:rsidRPr="001F1AC1">
        <w:rPr>
          <w:rFonts w:eastAsia="Times New Roman"/>
        </w:rPr>
        <w:t>knowledge users. One more explanation of the negative effect</w:t>
      </w:r>
      <w:r>
        <w:rPr>
          <w:rFonts w:eastAsia="Times New Roman"/>
        </w:rPr>
        <w:t xml:space="preserve"> of market concentration</w:t>
      </w:r>
      <w:r w:rsidRPr="001F1AC1">
        <w:rPr>
          <w:rFonts w:eastAsia="Times New Roman"/>
        </w:rPr>
        <w:t xml:space="preserve"> on innovation spending (</w:t>
      </w:r>
      <w:r>
        <w:rPr>
          <w:rFonts w:eastAsia="Times New Roman"/>
        </w:rPr>
        <w:t>E</w:t>
      </w:r>
      <w:r w:rsidRPr="001F1AC1">
        <w:rPr>
          <w:rFonts w:eastAsia="Times New Roman"/>
        </w:rPr>
        <w:t>q. 2) but positive on innovation sales (</w:t>
      </w:r>
      <w:r>
        <w:rPr>
          <w:rFonts w:eastAsia="Times New Roman"/>
        </w:rPr>
        <w:t>E</w:t>
      </w:r>
      <w:r w:rsidRPr="001F1AC1">
        <w:rPr>
          <w:rFonts w:eastAsia="Times New Roman"/>
        </w:rPr>
        <w:t>q. 3) may also lie in the survey limitation - the absence of time</w:t>
      </w:r>
      <w:r>
        <w:rPr>
          <w:rFonts w:eastAsia="Times New Roman"/>
        </w:rPr>
        <w:t xml:space="preserve"> dimension in the data to incorporate the</w:t>
      </w:r>
      <w:r w:rsidRPr="001F1AC1">
        <w:rPr>
          <w:rFonts w:eastAsia="Times New Roman"/>
        </w:rPr>
        <w:t xml:space="preserve"> lag between spending on innovation and success from innovation (both referr</w:t>
      </w:r>
      <w:r>
        <w:rPr>
          <w:rFonts w:eastAsia="Times New Roman"/>
        </w:rPr>
        <w:t>ing to same year)</w:t>
      </w:r>
      <w:r w:rsidRPr="001F1AC1">
        <w:rPr>
          <w:rFonts w:eastAsia="Times New Roman"/>
        </w:rPr>
        <w:t xml:space="preserve">. </w:t>
      </w:r>
    </w:p>
    <w:p w14:paraId="465B9D2F" w14:textId="559BAA09" w:rsidR="00952641" w:rsidRPr="001F1AC1" w:rsidRDefault="00952641" w:rsidP="00FC6FF1">
      <w:pPr>
        <w:spacing w:before="100" w:beforeAutospacing="1" w:after="100" w:afterAutospacing="1" w:line="360" w:lineRule="auto"/>
        <w:jc w:val="both"/>
        <w:rPr>
          <w:rFonts w:eastAsia="Times New Roman"/>
        </w:rPr>
      </w:pPr>
      <w:r>
        <w:rPr>
          <w:rFonts w:eastAsia="Times New Roman"/>
        </w:rPr>
        <w:t>Turning to vertical spillovers again, l</w:t>
      </w:r>
      <w:r w:rsidRPr="001F1AC1">
        <w:rPr>
          <w:rFonts w:eastAsia="Times New Roman"/>
        </w:rPr>
        <w:t xml:space="preserve">ocal customers’ innovation sales and productivity are not affected by the presence of foreign suppliers. This was expected for </w:t>
      </w:r>
      <w:r w:rsidR="00FC6FF1">
        <w:rPr>
          <w:rFonts w:eastAsia="Times New Roman"/>
        </w:rPr>
        <w:t>knowledge generating firms</w:t>
      </w:r>
      <w:r w:rsidRPr="001F1AC1">
        <w:rPr>
          <w:rFonts w:eastAsia="Times New Roman"/>
        </w:rPr>
        <w:t xml:space="preserve"> that were not increasing their innovation efforts in the first place through forward linkage (see Table </w:t>
      </w:r>
      <w:r>
        <w:rPr>
          <w:rFonts w:eastAsia="Times New Roman"/>
        </w:rPr>
        <w:t>2</w:t>
      </w:r>
      <w:r w:rsidRPr="001F1AC1">
        <w:rPr>
          <w:rFonts w:eastAsia="Times New Roman"/>
        </w:rPr>
        <w:t>). However, even those manufacturing firms tha</w:t>
      </w:r>
      <w:r>
        <w:rPr>
          <w:rFonts w:eastAsia="Times New Roman"/>
        </w:rPr>
        <w:t>t rely on knowledge use regime</w:t>
      </w:r>
      <w:r w:rsidRPr="001F1AC1">
        <w:rPr>
          <w:rFonts w:eastAsia="Times New Roman"/>
        </w:rPr>
        <w:t xml:space="preserve">, do not successfully grasp further market and productivity benefits through forward linkage. Only knowledge users incur negative productivity effects through backward linkage. </w:t>
      </w:r>
      <w:r>
        <w:rPr>
          <w:rFonts w:eastAsia="Times New Roman"/>
        </w:rPr>
        <w:t xml:space="preserve">These results may indicate that FDI are primarily of enclave type and do not extend to local supply chains. Alternatively, these results may reflect short term costs as demonstrated in the context of automotive parts industry in e.g. India (Kumaraswamy et al., 2012). </w:t>
      </w:r>
    </w:p>
    <w:p w14:paraId="43A9F5EE" w14:textId="04438B79" w:rsidR="008270FC" w:rsidRPr="001F1AC1" w:rsidRDefault="00952641" w:rsidP="008F2BD6">
      <w:pPr>
        <w:spacing w:before="100" w:beforeAutospacing="1" w:after="100" w:afterAutospacing="1" w:line="360" w:lineRule="auto"/>
        <w:jc w:val="both"/>
        <w:rPr>
          <w:rFonts w:eastAsia="Times New Roman"/>
        </w:rPr>
      </w:pPr>
      <w:r>
        <w:rPr>
          <w:rFonts w:eastAsia="Times New Roman"/>
        </w:rPr>
        <w:t xml:space="preserve">Finally, in cases of both knowledge users and knowledge generators we find that greater innovation spending does not increase </w:t>
      </w:r>
      <w:r w:rsidR="00B37699">
        <w:rPr>
          <w:rFonts w:eastAsia="Times New Roman"/>
        </w:rPr>
        <w:t xml:space="preserve">percentage of </w:t>
      </w:r>
      <w:r>
        <w:rPr>
          <w:rFonts w:eastAsia="Times New Roman"/>
        </w:rPr>
        <w:t xml:space="preserve">sales </w:t>
      </w:r>
      <w:r w:rsidR="00B37699">
        <w:rPr>
          <w:rFonts w:eastAsia="Times New Roman"/>
        </w:rPr>
        <w:t xml:space="preserve"> revenues </w:t>
      </w:r>
      <w:r>
        <w:rPr>
          <w:rFonts w:eastAsia="Times New Roman"/>
        </w:rPr>
        <w:t xml:space="preserve">of new products and services. </w:t>
      </w:r>
      <w:r w:rsidR="00B37699">
        <w:rPr>
          <w:rFonts w:eastAsia="Times New Roman"/>
        </w:rPr>
        <w:t>This implies that innovation spending</w:t>
      </w:r>
      <w:r>
        <w:rPr>
          <w:rFonts w:eastAsia="Times New Roman"/>
        </w:rPr>
        <w:t xml:space="preserve"> contributes to </w:t>
      </w:r>
      <w:r w:rsidR="00B37699">
        <w:rPr>
          <w:rFonts w:eastAsia="Times New Roman"/>
        </w:rPr>
        <w:t xml:space="preserve">percentage of </w:t>
      </w:r>
      <w:r>
        <w:rPr>
          <w:rFonts w:eastAsia="Times New Roman"/>
        </w:rPr>
        <w:t>sales</w:t>
      </w:r>
      <w:r w:rsidR="00B37699">
        <w:rPr>
          <w:rFonts w:eastAsia="Times New Roman"/>
        </w:rPr>
        <w:t xml:space="preserve"> revenues</w:t>
      </w:r>
      <w:r>
        <w:rPr>
          <w:rFonts w:eastAsia="Times New Roman"/>
        </w:rPr>
        <w:t xml:space="preserve"> of existing products and services.</w:t>
      </w:r>
      <w:r w:rsidR="00B37699">
        <w:rPr>
          <w:rStyle w:val="FootnoteReference"/>
          <w:rFonts w:eastAsia="Times New Roman"/>
        </w:rPr>
        <w:footnoteReference w:id="12"/>
      </w:r>
      <w:r>
        <w:rPr>
          <w:rFonts w:eastAsia="Times New Roman"/>
        </w:rPr>
        <w:t xml:space="preserve"> </w:t>
      </w:r>
      <w:r w:rsidRPr="001F1AC1">
        <w:rPr>
          <w:rFonts w:eastAsia="Times New Roman"/>
        </w:rPr>
        <w:t>The</w:t>
      </w:r>
      <w:r>
        <w:rPr>
          <w:rFonts w:eastAsia="Times New Roman"/>
        </w:rPr>
        <w:t>se</w:t>
      </w:r>
      <w:r w:rsidRPr="001F1AC1">
        <w:rPr>
          <w:rFonts w:eastAsia="Times New Roman"/>
        </w:rPr>
        <w:t xml:space="preserve"> results support our hypothesis that innovation in an emerging economy </w:t>
      </w:r>
      <w:r>
        <w:rPr>
          <w:rFonts w:eastAsia="Times New Roman"/>
        </w:rPr>
        <w:t>takes place</w:t>
      </w:r>
      <w:r w:rsidRPr="001F1AC1">
        <w:rPr>
          <w:rFonts w:eastAsia="Times New Roman"/>
        </w:rPr>
        <w:t xml:space="preserve"> mostly through the use of existing knowledge and</w:t>
      </w:r>
      <w:r>
        <w:rPr>
          <w:rFonts w:eastAsia="Times New Roman"/>
        </w:rPr>
        <w:t xml:space="preserve"> embedded</w:t>
      </w:r>
      <w:r w:rsidRPr="001F1AC1">
        <w:rPr>
          <w:rFonts w:eastAsia="Times New Roman"/>
        </w:rPr>
        <w:t xml:space="preserve"> technology rather than through </w:t>
      </w:r>
      <w:r>
        <w:rPr>
          <w:rFonts w:eastAsia="Times New Roman"/>
        </w:rPr>
        <w:t>the generation</w:t>
      </w:r>
      <w:r w:rsidRPr="001F1AC1">
        <w:rPr>
          <w:rFonts w:eastAsia="Times New Roman"/>
        </w:rPr>
        <w:t xml:space="preserve"> of the new ones. </w:t>
      </w:r>
      <w:r>
        <w:rPr>
          <w:rFonts w:eastAsia="Times New Roman"/>
        </w:rPr>
        <w:t>However, we also find that sales from new products and services matter for productivity of domestic firms among those that rely on knowledge use regime. This suggests that</w:t>
      </w:r>
      <w:r w:rsidRPr="001F1AC1">
        <w:rPr>
          <w:rFonts w:eastAsia="Times New Roman"/>
        </w:rPr>
        <w:t xml:space="preserve"> </w:t>
      </w:r>
      <w:r>
        <w:rPr>
          <w:rFonts w:eastAsia="Times New Roman"/>
        </w:rPr>
        <w:t>emerging</w:t>
      </w:r>
      <w:r w:rsidRPr="001F1AC1">
        <w:rPr>
          <w:rFonts w:eastAsia="Times New Roman"/>
        </w:rPr>
        <w:t xml:space="preserve"> economies can catch up with the technology frontier majorly through applying current state of the knowledge. Foreign firm presence, however, helps this process only partially, when decision on innovation spending are being taken and to a lower extent for firms that do R&amp;D.</w:t>
      </w:r>
    </w:p>
    <w:p w14:paraId="6A4C8DD7" w14:textId="716323FF" w:rsidR="00952641" w:rsidRDefault="00952641" w:rsidP="00FC6FF1">
      <w:pPr>
        <w:spacing w:before="100" w:beforeAutospacing="1" w:after="100" w:afterAutospacing="1" w:line="360" w:lineRule="auto"/>
        <w:jc w:val="both"/>
        <w:rPr>
          <w:rFonts w:eastAsia="Times New Roman"/>
        </w:rPr>
      </w:pPr>
      <w:r w:rsidRPr="001F1AC1">
        <w:rPr>
          <w:rFonts w:eastAsia="Times New Roman"/>
        </w:rPr>
        <w:t>Yet, none of the firms reap the real financial and technology benefits th</w:t>
      </w:r>
      <w:r>
        <w:rPr>
          <w:rFonts w:eastAsia="Times New Roman"/>
        </w:rPr>
        <w:t>r</w:t>
      </w:r>
      <w:r w:rsidRPr="001F1AC1">
        <w:rPr>
          <w:rFonts w:eastAsia="Times New Roman"/>
        </w:rPr>
        <w:t xml:space="preserve">ough FDI spillovers. This can be explained by two points. First, firms investing in R&amp;D extract benefits from their internal innovation efforts rather than via copying those of the foreign firms. This is </w:t>
      </w:r>
      <w:r w:rsidR="00FC6FF1">
        <w:rPr>
          <w:rFonts w:eastAsia="Times New Roman"/>
        </w:rPr>
        <w:t>evidenced by the</w:t>
      </w:r>
      <w:r w:rsidRPr="001F1AC1">
        <w:rPr>
          <w:rFonts w:eastAsia="Times New Roman"/>
        </w:rPr>
        <w:t xml:space="preserve"> small effect from FDI spillovers in the early phase</w:t>
      </w:r>
      <w:r w:rsidR="00FC6FF1">
        <w:rPr>
          <w:rFonts w:eastAsia="Times New Roman"/>
        </w:rPr>
        <w:t>s</w:t>
      </w:r>
      <w:r w:rsidRPr="001F1AC1">
        <w:rPr>
          <w:rFonts w:eastAsia="Times New Roman"/>
        </w:rPr>
        <w:t xml:space="preserve"> of the innovation process and no effects on innovation sales and productivity. The case is different for knowledge users who</w:t>
      </w:r>
      <w:r w:rsidR="00FC6FF1">
        <w:rPr>
          <w:rFonts w:eastAsia="Times New Roman"/>
        </w:rPr>
        <w:t>,</w:t>
      </w:r>
      <w:r w:rsidRPr="001F1AC1">
        <w:rPr>
          <w:rFonts w:eastAsia="Times New Roman"/>
        </w:rPr>
        <w:t xml:space="preserve"> through </w:t>
      </w:r>
      <w:r w:rsidR="00FC6FF1">
        <w:rPr>
          <w:rFonts w:eastAsia="Times New Roman"/>
        </w:rPr>
        <w:t xml:space="preserve">the </w:t>
      </w:r>
      <w:r w:rsidRPr="001F1AC1">
        <w:rPr>
          <w:rFonts w:eastAsia="Times New Roman"/>
        </w:rPr>
        <w:t>purchase of machinery, equipment and further training</w:t>
      </w:r>
      <w:r w:rsidR="00FC6FF1">
        <w:rPr>
          <w:rFonts w:eastAsia="Times New Roman"/>
        </w:rPr>
        <w:t>,</w:t>
      </w:r>
      <w:r w:rsidRPr="001F1AC1">
        <w:rPr>
          <w:rFonts w:eastAsia="Times New Roman"/>
        </w:rPr>
        <w:t xml:space="preserve"> increase their innovation efforts. </w:t>
      </w:r>
      <w:r w:rsidRPr="0096778B">
        <w:rPr>
          <w:rFonts w:eastAsia="Times New Roman"/>
        </w:rPr>
        <w:t>Negative effect on innovativeness and positive</w:t>
      </w:r>
      <w:r w:rsidR="00FC6FF1">
        <w:rPr>
          <w:rFonts w:eastAsia="Times New Roman"/>
        </w:rPr>
        <w:t xml:space="preserve"> effects</w:t>
      </w:r>
      <w:r w:rsidRPr="0096778B">
        <w:rPr>
          <w:rFonts w:eastAsia="Times New Roman"/>
        </w:rPr>
        <w:t xml:space="preserve"> on productivity in the presence of horizontal spillovers suggest that FDI hinder investments of local firms in and induces them to achieve productivity by confining themselves on the existing products as the way to improve productivity. </w:t>
      </w:r>
      <w:r>
        <w:rPr>
          <w:rFonts w:eastAsia="Times New Roman"/>
        </w:rPr>
        <w:t xml:space="preserve"> </w:t>
      </w:r>
      <w:r w:rsidRPr="0096778B">
        <w:rPr>
          <w:rFonts w:eastAsia="Times New Roman"/>
        </w:rPr>
        <w:t xml:space="preserve">Results on vertical spillovers reflect higher level of aggregation and thus hide individual differences among firms which is crucial feature of the FDI effects. Our evidence shows that the average net effects are either insignificant or negative on both innovation sales and productivity. However, it may be expected that the overall effects are highly differentiated across different firms.  </w:t>
      </w:r>
    </w:p>
    <w:p w14:paraId="15EA5DE7" w14:textId="76332546" w:rsidR="00CA5D4C" w:rsidRDefault="00CA5D4C" w:rsidP="00FC6FF1">
      <w:pPr>
        <w:spacing w:before="100" w:beforeAutospacing="1" w:after="100" w:afterAutospacing="1" w:line="360" w:lineRule="auto"/>
        <w:jc w:val="both"/>
        <w:rPr>
          <w:rFonts w:eastAsia="Times New Roman"/>
        </w:rPr>
      </w:pPr>
      <w:r>
        <w:rPr>
          <w:rFonts w:eastAsia="Times New Roman"/>
        </w:rPr>
        <w:t xml:space="preserve">The research finds partial support </w:t>
      </w:r>
      <w:r w:rsidR="00FC6FF1">
        <w:rPr>
          <w:rFonts w:eastAsia="Times New Roman"/>
        </w:rPr>
        <w:t xml:space="preserve">for </w:t>
      </w:r>
      <w:r>
        <w:rPr>
          <w:rFonts w:eastAsia="Times New Roman"/>
        </w:rPr>
        <w:t xml:space="preserve">our hypotheses. We find support </w:t>
      </w:r>
      <w:r w:rsidR="00FC6FF1">
        <w:rPr>
          <w:rFonts w:eastAsia="Times New Roman"/>
        </w:rPr>
        <w:t xml:space="preserve">for </w:t>
      </w:r>
      <w:r>
        <w:rPr>
          <w:rFonts w:eastAsia="Times New Roman"/>
        </w:rPr>
        <w:t>H1a</w:t>
      </w:r>
      <w:r w:rsidR="00861103">
        <w:rPr>
          <w:rFonts w:eastAsia="Times New Roman"/>
        </w:rPr>
        <w:t>,</w:t>
      </w:r>
      <w:r>
        <w:rPr>
          <w:rFonts w:eastAsia="Times New Roman"/>
        </w:rPr>
        <w:t xml:space="preserve"> H2</w:t>
      </w:r>
      <w:r w:rsidR="00861103">
        <w:rPr>
          <w:rFonts w:eastAsia="Times New Roman"/>
        </w:rPr>
        <w:t>a and H4a (for horizontal spillovers)</w:t>
      </w:r>
      <w:r>
        <w:rPr>
          <w:rFonts w:eastAsia="Times New Roman"/>
        </w:rPr>
        <w:t xml:space="preserve"> </w:t>
      </w:r>
      <w:r w:rsidR="00861103">
        <w:rPr>
          <w:rFonts w:eastAsia="Times New Roman"/>
        </w:rPr>
        <w:t xml:space="preserve">and partially </w:t>
      </w:r>
      <w:r w:rsidR="00FC6FF1">
        <w:rPr>
          <w:rFonts w:eastAsia="Times New Roman"/>
        </w:rPr>
        <w:t xml:space="preserve">for </w:t>
      </w:r>
      <w:r w:rsidR="00861103">
        <w:rPr>
          <w:rFonts w:eastAsia="Times New Roman"/>
        </w:rPr>
        <w:t>H2b (for forward spillovers). Our findings also show that knowledge us</w:t>
      </w:r>
      <w:r w:rsidR="00FC6FF1">
        <w:rPr>
          <w:rFonts w:eastAsia="Times New Roman"/>
        </w:rPr>
        <w:t>ing firms</w:t>
      </w:r>
      <w:r w:rsidR="00861103">
        <w:rPr>
          <w:rFonts w:eastAsia="Times New Roman"/>
        </w:rPr>
        <w:t xml:space="preserve"> increase </w:t>
      </w:r>
      <w:r w:rsidR="00FC6FF1">
        <w:rPr>
          <w:rFonts w:eastAsia="Times New Roman"/>
        </w:rPr>
        <w:t xml:space="preserve">their </w:t>
      </w:r>
      <w:r w:rsidR="00861103">
        <w:rPr>
          <w:rFonts w:eastAsia="Times New Roman"/>
        </w:rPr>
        <w:t xml:space="preserve">share of sales coming from established products with embedded technology thus providing support to H4a. </w:t>
      </w:r>
    </w:p>
    <w:p w14:paraId="5B2136DD" w14:textId="77777777" w:rsidR="00475EB3" w:rsidRPr="001F1AC1" w:rsidRDefault="00164508" w:rsidP="008F2BD6">
      <w:pPr>
        <w:spacing w:line="360" w:lineRule="auto"/>
        <w:rPr>
          <w:b/>
        </w:rPr>
      </w:pPr>
      <w:r>
        <w:rPr>
          <w:b/>
        </w:rPr>
        <w:t>6</w:t>
      </w:r>
      <w:r w:rsidR="0096778B">
        <w:rPr>
          <w:b/>
        </w:rPr>
        <w:t xml:space="preserve">. </w:t>
      </w:r>
      <w:r w:rsidR="00ED0BD2" w:rsidRPr="001F1AC1">
        <w:rPr>
          <w:b/>
        </w:rPr>
        <w:t xml:space="preserve">Conclusion </w:t>
      </w:r>
    </w:p>
    <w:p w14:paraId="2442B539" w14:textId="77777777" w:rsidR="003444D5" w:rsidRDefault="003D55BA" w:rsidP="008F2BD6">
      <w:pPr>
        <w:spacing w:before="100" w:beforeAutospacing="1" w:after="100" w:afterAutospacing="1" w:line="360" w:lineRule="auto"/>
        <w:jc w:val="both"/>
        <w:rPr>
          <w:rFonts w:eastAsia="Times New Roman"/>
        </w:rPr>
      </w:pPr>
      <w:r>
        <w:rPr>
          <w:rFonts w:eastAsia="Times New Roman"/>
        </w:rPr>
        <w:t>European e</w:t>
      </w:r>
      <w:r w:rsidR="0015163F" w:rsidRPr="001F1AC1">
        <w:rPr>
          <w:rFonts w:eastAsia="Times New Roman"/>
        </w:rPr>
        <w:t>merging</w:t>
      </w:r>
      <w:r w:rsidR="003444D5" w:rsidRPr="001F1AC1">
        <w:rPr>
          <w:rFonts w:eastAsia="Times New Roman"/>
        </w:rPr>
        <w:t xml:space="preserve"> economies are still in transition from production to innovation-based systems. Foreign firms entering these markets can help this catching-up process th</w:t>
      </w:r>
      <w:r w:rsidR="00186836">
        <w:rPr>
          <w:rFonts w:eastAsia="Times New Roman"/>
        </w:rPr>
        <w:t>r</w:t>
      </w:r>
      <w:r w:rsidR="003444D5" w:rsidRPr="001F1AC1">
        <w:rPr>
          <w:rFonts w:eastAsia="Times New Roman"/>
        </w:rPr>
        <w:t xml:space="preserve">ough knowledge </w:t>
      </w:r>
      <w:r>
        <w:rPr>
          <w:rFonts w:eastAsia="Times New Roman"/>
        </w:rPr>
        <w:t xml:space="preserve">spillovers, promoting further </w:t>
      </w:r>
      <w:r w:rsidR="000E458B">
        <w:rPr>
          <w:rFonts w:eastAsia="Times New Roman"/>
        </w:rPr>
        <w:t>innovation</w:t>
      </w:r>
      <w:r>
        <w:rPr>
          <w:rFonts w:eastAsia="Times New Roman"/>
        </w:rPr>
        <w:t xml:space="preserve"> </w:t>
      </w:r>
      <w:r w:rsidR="000E458B">
        <w:rPr>
          <w:rFonts w:eastAsia="Times New Roman"/>
        </w:rPr>
        <w:t xml:space="preserve">and productivity </w:t>
      </w:r>
      <w:r w:rsidR="00DD0E4A">
        <w:rPr>
          <w:rFonts w:eastAsia="Times New Roman"/>
        </w:rPr>
        <w:t xml:space="preserve">improvement </w:t>
      </w:r>
      <w:r>
        <w:rPr>
          <w:rFonts w:eastAsia="Times New Roman"/>
        </w:rPr>
        <w:t>among</w:t>
      </w:r>
      <w:r w:rsidR="00C662A6">
        <w:rPr>
          <w:rFonts w:eastAsia="Times New Roman"/>
        </w:rPr>
        <w:t>s</w:t>
      </w:r>
      <w:r w:rsidR="000E458B">
        <w:rPr>
          <w:rFonts w:eastAsia="Times New Roman"/>
        </w:rPr>
        <w:t>t</w:t>
      </w:r>
      <w:r>
        <w:rPr>
          <w:rFonts w:eastAsia="Times New Roman"/>
        </w:rPr>
        <w:t xml:space="preserve"> indigenous firms</w:t>
      </w:r>
      <w:r w:rsidR="00C2198E">
        <w:rPr>
          <w:rFonts w:eastAsia="Times New Roman"/>
        </w:rPr>
        <w:t xml:space="preserve">. </w:t>
      </w:r>
      <w:r w:rsidR="003444D5" w:rsidRPr="001F1AC1">
        <w:rPr>
          <w:rFonts w:eastAsia="Times New Roman"/>
        </w:rPr>
        <w:t xml:space="preserve">However, the question posed is </w:t>
      </w:r>
      <w:r w:rsidR="00110FF9" w:rsidRPr="001F1AC1">
        <w:rPr>
          <w:rFonts w:eastAsia="Times New Roman"/>
        </w:rPr>
        <w:t xml:space="preserve">to </w:t>
      </w:r>
      <w:r w:rsidR="00C2198E">
        <w:rPr>
          <w:rFonts w:eastAsia="Times New Roman"/>
        </w:rPr>
        <w:t xml:space="preserve">what extent and </w:t>
      </w:r>
      <w:r w:rsidR="00110FF9" w:rsidRPr="001F1AC1">
        <w:rPr>
          <w:rFonts w:eastAsia="Times New Roman"/>
        </w:rPr>
        <w:t>which firms benefit from these spillovers</w:t>
      </w:r>
      <w:r w:rsidR="00C2198E">
        <w:rPr>
          <w:rFonts w:eastAsia="Times New Roman"/>
        </w:rPr>
        <w:t>.</w:t>
      </w:r>
      <w:r w:rsidR="00D22A7D" w:rsidRPr="00D22A7D">
        <w:rPr>
          <w:rFonts w:ascii="TimesNewRomanPSMT" w:eastAsia="Times New Roman" w:hAnsi="TimesNewRomanPSMT" w:cs="TimesNewRomanPSMT"/>
        </w:rPr>
        <w:t xml:space="preserve"> </w:t>
      </w:r>
      <w:r w:rsidR="00D22A7D">
        <w:rPr>
          <w:rFonts w:eastAsia="Times New Roman"/>
        </w:rPr>
        <w:t>The paper</w:t>
      </w:r>
      <w:r w:rsidR="00D22A7D" w:rsidRPr="00D22A7D">
        <w:rPr>
          <w:rFonts w:eastAsia="Times New Roman"/>
        </w:rPr>
        <w:t xml:space="preserve"> contributes</w:t>
      </w:r>
      <w:r w:rsidR="00DD0E4A">
        <w:rPr>
          <w:rFonts w:eastAsia="Times New Roman"/>
        </w:rPr>
        <w:t xml:space="preserve"> to the literature</w:t>
      </w:r>
      <w:r w:rsidR="00D22A7D" w:rsidRPr="00D22A7D">
        <w:rPr>
          <w:rFonts w:eastAsia="Times New Roman"/>
        </w:rPr>
        <w:t xml:space="preserve"> by shedding more light on the effects of spillovers on innovation, which </w:t>
      </w:r>
      <w:r w:rsidR="00FD3EB2">
        <w:rPr>
          <w:rFonts w:eastAsia="Times New Roman"/>
        </w:rPr>
        <w:t>has been</w:t>
      </w:r>
      <w:r w:rsidR="00D22A7D" w:rsidRPr="00D22A7D">
        <w:rPr>
          <w:rFonts w:eastAsia="Times New Roman"/>
        </w:rPr>
        <w:t xml:space="preserve"> rarely investigated especially in the context of </w:t>
      </w:r>
      <w:r w:rsidR="00A94D42">
        <w:rPr>
          <w:rFonts w:eastAsia="Times New Roman"/>
        </w:rPr>
        <w:t xml:space="preserve">emerging </w:t>
      </w:r>
      <w:r w:rsidR="00D22A7D" w:rsidRPr="00D22A7D">
        <w:rPr>
          <w:rFonts w:eastAsia="Times New Roman"/>
        </w:rPr>
        <w:t>economies. Scholarly attention to FDI spillovers in the context of innovation is still in a nascent stage and has focused on innovation output only, neglecting the stages preceding and the stages succeeding the innovation output. This</w:t>
      </w:r>
      <w:r w:rsidR="00D22A7D">
        <w:rPr>
          <w:rFonts w:eastAsia="Times New Roman"/>
        </w:rPr>
        <w:t xml:space="preserve"> paper</w:t>
      </w:r>
      <w:r w:rsidR="00D22A7D" w:rsidRPr="00D22A7D">
        <w:rPr>
          <w:rFonts w:eastAsia="Times New Roman"/>
        </w:rPr>
        <w:t xml:space="preserve"> fills this gap by investigating how each stage of the innovation process, from </w:t>
      </w:r>
      <w:r w:rsidR="00FD3EB2">
        <w:rPr>
          <w:rFonts w:eastAsia="Times New Roman"/>
        </w:rPr>
        <w:t>firm’s</w:t>
      </w:r>
      <w:r w:rsidR="00D22A7D" w:rsidRPr="00D22A7D">
        <w:rPr>
          <w:rFonts w:eastAsia="Times New Roman"/>
        </w:rPr>
        <w:t xml:space="preserve"> decision to innovate to </w:t>
      </w:r>
      <w:r w:rsidR="00FD3EB2">
        <w:rPr>
          <w:rFonts w:eastAsia="Times New Roman"/>
        </w:rPr>
        <w:t xml:space="preserve">its </w:t>
      </w:r>
      <w:r w:rsidR="00D22A7D" w:rsidRPr="00D22A7D">
        <w:rPr>
          <w:rFonts w:eastAsia="Times New Roman"/>
        </w:rPr>
        <w:t xml:space="preserve">labour productivity, is affected by FDI spillovers in </w:t>
      </w:r>
      <w:r w:rsidR="00D22A7D">
        <w:rPr>
          <w:rFonts w:eastAsia="Times New Roman"/>
        </w:rPr>
        <w:t>an emerging economy.</w:t>
      </w:r>
      <w:r w:rsidR="00D22A7D" w:rsidRPr="00D22A7D">
        <w:rPr>
          <w:rFonts w:eastAsia="Times New Roman"/>
        </w:rPr>
        <w:t xml:space="preserve"> </w:t>
      </w:r>
      <w:r w:rsidR="008C1AD2">
        <w:rPr>
          <w:rFonts w:eastAsia="Times New Roman"/>
        </w:rPr>
        <w:t xml:space="preserve">To this end, our study has theoretical, practical and policy implications. </w:t>
      </w:r>
    </w:p>
    <w:p w14:paraId="2E2F05A1" w14:textId="77777777" w:rsidR="008C1AD2" w:rsidRPr="008C1AD2" w:rsidRDefault="00164508" w:rsidP="008F2BD6">
      <w:pPr>
        <w:spacing w:before="100" w:beforeAutospacing="1" w:after="100" w:afterAutospacing="1" w:line="360" w:lineRule="auto"/>
        <w:jc w:val="both"/>
        <w:rPr>
          <w:rFonts w:eastAsia="Times New Roman"/>
          <w:i/>
          <w:iCs/>
        </w:rPr>
      </w:pPr>
      <w:r>
        <w:rPr>
          <w:rFonts w:eastAsia="Times New Roman"/>
          <w:i/>
          <w:iCs/>
        </w:rPr>
        <w:t>6</w:t>
      </w:r>
      <w:r w:rsidR="008C1AD2" w:rsidRPr="008C1AD2">
        <w:rPr>
          <w:rFonts w:eastAsia="Times New Roman"/>
          <w:i/>
          <w:iCs/>
        </w:rPr>
        <w:t>.1. Theoretical implications</w:t>
      </w:r>
    </w:p>
    <w:p w14:paraId="5CF7B49F" w14:textId="697D72EE" w:rsidR="00CA5D4C" w:rsidRDefault="008C1AD2" w:rsidP="00D036F2">
      <w:pPr>
        <w:spacing w:before="100" w:beforeAutospacing="1" w:after="100" w:afterAutospacing="1" w:line="360" w:lineRule="auto"/>
        <w:jc w:val="both"/>
        <w:rPr>
          <w:rFonts w:eastAsia="Times New Roman"/>
        </w:rPr>
      </w:pPr>
      <w:r>
        <w:rPr>
          <w:rFonts w:eastAsia="Times New Roman"/>
        </w:rPr>
        <w:t xml:space="preserve">The positive effects of innovations on firm performance and competitiveness are well established in the literature (Stojcic et al. 2020). </w:t>
      </w:r>
      <w:r w:rsidR="00A41D2A">
        <w:rPr>
          <w:rFonts w:eastAsia="Times New Roman"/>
        </w:rPr>
        <w:t xml:space="preserve">The common narrative suggests that firms develop novel products and processes through R&amp;D efforts and subsequently sales of new products lead to better productivity. However, R&amp;D is not </w:t>
      </w:r>
      <w:r w:rsidR="00D036F2">
        <w:rPr>
          <w:rFonts w:eastAsia="Times New Roman"/>
        </w:rPr>
        <w:t xml:space="preserve">the </w:t>
      </w:r>
      <w:r w:rsidR="00A41D2A">
        <w:rPr>
          <w:rFonts w:eastAsia="Times New Roman"/>
        </w:rPr>
        <w:t>only channel for development of innovations</w:t>
      </w:r>
      <w:r w:rsidR="008270FC">
        <w:rPr>
          <w:rFonts w:eastAsia="Times New Roman"/>
        </w:rPr>
        <w:t>.</w:t>
      </w:r>
      <w:r w:rsidR="00A41D2A">
        <w:rPr>
          <w:rFonts w:eastAsia="Times New Roman"/>
        </w:rPr>
        <w:t xml:space="preserve"> </w:t>
      </w:r>
      <w:r w:rsidR="008270FC">
        <w:rPr>
          <w:rFonts w:eastAsia="Times New Roman"/>
        </w:rPr>
        <w:t>F</w:t>
      </w:r>
      <w:r w:rsidR="00A41D2A">
        <w:rPr>
          <w:rFonts w:eastAsia="Times New Roman"/>
        </w:rPr>
        <w:t>irms in many parts of the world do not possess</w:t>
      </w:r>
      <w:r w:rsidR="00D036F2">
        <w:rPr>
          <w:rFonts w:eastAsia="Times New Roman"/>
        </w:rPr>
        <w:t xml:space="preserve"> the</w:t>
      </w:r>
      <w:r w:rsidR="00A41D2A">
        <w:rPr>
          <w:rFonts w:eastAsia="Times New Roman"/>
        </w:rPr>
        <w:t xml:space="preserve"> relevant knowledge and resources to </w:t>
      </w:r>
      <w:r w:rsidR="00D036F2">
        <w:rPr>
          <w:rFonts w:eastAsia="Times New Roman"/>
        </w:rPr>
        <w:t xml:space="preserve">engage in </w:t>
      </w:r>
      <w:r w:rsidR="00A41D2A">
        <w:rPr>
          <w:rFonts w:eastAsia="Times New Roman"/>
        </w:rPr>
        <w:t>R&amp;D</w:t>
      </w:r>
      <w:r w:rsidR="00CA5D4C">
        <w:rPr>
          <w:rFonts w:eastAsia="Times New Roman"/>
        </w:rPr>
        <w:t>.</w:t>
      </w:r>
      <w:r w:rsidR="008270FC">
        <w:rPr>
          <w:rFonts w:eastAsia="Times New Roman"/>
        </w:rPr>
        <w:t xml:space="preserve"> </w:t>
      </w:r>
      <w:r w:rsidR="00CA5D4C">
        <w:rPr>
          <w:rFonts w:eastAsia="Times New Roman"/>
        </w:rPr>
        <w:t xml:space="preserve">This issue somehow went unnoticed in </w:t>
      </w:r>
      <w:r w:rsidR="00D036F2">
        <w:rPr>
          <w:rFonts w:eastAsia="Times New Roman"/>
        </w:rPr>
        <w:t xml:space="preserve">the </w:t>
      </w:r>
      <w:r w:rsidR="00CA5D4C">
        <w:rPr>
          <w:rFonts w:eastAsia="Times New Roman"/>
        </w:rPr>
        <w:t xml:space="preserve">innovation literature despite the fact that statistical </w:t>
      </w:r>
      <w:r w:rsidR="00D036F2">
        <w:rPr>
          <w:rFonts w:eastAsia="Times New Roman"/>
        </w:rPr>
        <w:t xml:space="preserve">data </w:t>
      </w:r>
      <w:r w:rsidR="00CA5D4C">
        <w:rPr>
          <w:rFonts w:eastAsia="Times New Roman"/>
        </w:rPr>
        <w:t>from many, mostly emerging, economies point to disproportionate representation of investment in existing technology embodied in machinery, equipment and know-how over R&amp;D. Finally, innovation process does not always yield novel products and services. That being said</w:t>
      </w:r>
      <w:r w:rsidR="00D036F2">
        <w:rPr>
          <w:rFonts w:eastAsia="Times New Roman"/>
        </w:rPr>
        <w:t>,</w:t>
      </w:r>
      <w:r w:rsidR="00CA5D4C">
        <w:rPr>
          <w:rFonts w:eastAsia="Times New Roman"/>
        </w:rPr>
        <w:t xml:space="preserve"> there are two important theoretical implications of our study. </w:t>
      </w:r>
    </w:p>
    <w:p w14:paraId="25D92E60" w14:textId="13DF5D7B" w:rsidR="00164508" w:rsidRDefault="00D036F2" w:rsidP="00D036F2">
      <w:pPr>
        <w:spacing w:before="100" w:beforeAutospacing="1" w:after="100" w:afterAutospacing="1" w:line="360" w:lineRule="auto"/>
        <w:jc w:val="both"/>
        <w:rPr>
          <w:rFonts w:eastAsia="Times New Roman"/>
        </w:rPr>
      </w:pPr>
      <w:r>
        <w:rPr>
          <w:rFonts w:eastAsia="Times New Roman"/>
        </w:rPr>
        <w:t>The f</w:t>
      </w:r>
      <w:r w:rsidR="00861103">
        <w:rPr>
          <w:rFonts w:eastAsia="Times New Roman"/>
        </w:rPr>
        <w:t xml:space="preserve">irst theoretical implication of our study comes from </w:t>
      </w:r>
      <w:r>
        <w:rPr>
          <w:rFonts w:eastAsia="Times New Roman"/>
        </w:rPr>
        <w:t xml:space="preserve">the </w:t>
      </w:r>
      <w:r w:rsidR="00861103">
        <w:rPr>
          <w:rFonts w:eastAsia="Times New Roman"/>
        </w:rPr>
        <w:t xml:space="preserve">assessment of different innovation regimes in emerging economies. </w:t>
      </w:r>
      <w:r w:rsidR="00164508">
        <w:rPr>
          <w:rFonts w:eastAsia="Times New Roman"/>
        </w:rPr>
        <w:t xml:space="preserve">There is substantial evidence that innovation investment patterns differ between advanced and emerging economies but whether and in what way this has an impact on innovation outcomes of firms in two settings has not been </w:t>
      </w:r>
      <w:r>
        <w:rPr>
          <w:rFonts w:eastAsia="Times New Roman"/>
        </w:rPr>
        <w:t xml:space="preserve">the </w:t>
      </w:r>
      <w:r w:rsidR="00164508">
        <w:rPr>
          <w:rFonts w:eastAsia="Times New Roman"/>
        </w:rPr>
        <w:t xml:space="preserve">subject of previous investigations. </w:t>
      </w:r>
      <w:r w:rsidR="00164508">
        <w:rPr>
          <w:bCs/>
        </w:rPr>
        <w:t xml:space="preserve">The innovation activities in </w:t>
      </w:r>
      <w:r w:rsidR="00706769">
        <w:rPr>
          <w:bCs/>
        </w:rPr>
        <w:t>EE</w:t>
      </w:r>
      <w:r w:rsidR="00164508">
        <w:rPr>
          <w:bCs/>
        </w:rPr>
        <w:t xml:space="preserve"> </w:t>
      </w:r>
      <w:r>
        <w:rPr>
          <w:bCs/>
        </w:rPr>
        <w:t xml:space="preserve">may be </w:t>
      </w:r>
      <w:r w:rsidR="00164508">
        <w:rPr>
          <w:bCs/>
        </w:rPr>
        <w:t xml:space="preserve">about the most productive use or absorption and assimilation of embedded R&amp;D; not about generation of new knowledge. </w:t>
      </w:r>
      <w:r w:rsidR="00164508">
        <w:rPr>
          <w:rFonts w:eastAsia="Times New Roman"/>
        </w:rPr>
        <w:t xml:space="preserve">Another theoretical contribution of our investigation comes from </w:t>
      </w:r>
      <w:r>
        <w:rPr>
          <w:rFonts w:eastAsia="Times New Roman"/>
        </w:rPr>
        <w:t>augmenting the</w:t>
      </w:r>
      <w:r w:rsidR="00164508">
        <w:rPr>
          <w:rFonts w:eastAsia="Times New Roman"/>
        </w:rPr>
        <w:t xml:space="preserve"> innovation literature with the analysis of FDI spillovers. That FDI spillovers matter for firm performance is another well established fact but the literature so far </w:t>
      </w:r>
      <w:r>
        <w:rPr>
          <w:rFonts w:eastAsia="Times New Roman"/>
        </w:rPr>
        <w:t xml:space="preserve">has </w:t>
      </w:r>
      <w:r w:rsidR="00164508">
        <w:rPr>
          <w:rFonts w:eastAsia="Times New Roman"/>
        </w:rPr>
        <w:t>not explore</w:t>
      </w:r>
      <w:r>
        <w:rPr>
          <w:rFonts w:eastAsia="Times New Roman"/>
        </w:rPr>
        <w:t>d</w:t>
      </w:r>
      <w:r w:rsidR="00164508">
        <w:rPr>
          <w:rFonts w:eastAsia="Times New Roman"/>
        </w:rPr>
        <w:t xml:space="preserve"> which spillover channels and in what way facilitate different stages of innovation process. Our study disentangled three main spillover channels and showed how each of them influences different stages of </w:t>
      </w:r>
      <w:r>
        <w:rPr>
          <w:rFonts w:eastAsia="Times New Roman"/>
        </w:rPr>
        <w:t xml:space="preserve">the </w:t>
      </w:r>
      <w:r w:rsidR="00164508">
        <w:rPr>
          <w:rFonts w:eastAsia="Times New Roman"/>
        </w:rPr>
        <w:t xml:space="preserve">innovation process across </w:t>
      </w:r>
      <w:r>
        <w:rPr>
          <w:rFonts w:eastAsia="Times New Roman"/>
        </w:rPr>
        <w:t xml:space="preserve">the </w:t>
      </w:r>
      <w:r w:rsidR="00164508">
        <w:rPr>
          <w:rFonts w:eastAsia="Times New Roman"/>
        </w:rPr>
        <w:t xml:space="preserve">analysed innovation regimes. </w:t>
      </w:r>
    </w:p>
    <w:p w14:paraId="17D4E0F5" w14:textId="77777777" w:rsidR="00164508" w:rsidRPr="00164508" w:rsidRDefault="00164508" w:rsidP="008F2BD6">
      <w:pPr>
        <w:spacing w:before="100" w:beforeAutospacing="1" w:after="100" w:afterAutospacing="1" w:line="360" w:lineRule="auto"/>
        <w:jc w:val="both"/>
        <w:rPr>
          <w:rFonts w:eastAsia="Times New Roman"/>
          <w:i/>
          <w:iCs/>
        </w:rPr>
      </w:pPr>
      <w:r w:rsidRPr="00164508">
        <w:rPr>
          <w:rFonts w:eastAsia="Times New Roman"/>
          <w:i/>
          <w:iCs/>
        </w:rPr>
        <w:t>6.2. Practical implications</w:t>
      </w:r>
    </w:p>
    <w:p w14:paraId="5CC6E6CD" w14:textId="3BE64519" w:rsidR="00641FA1" w:rsidRDefault="00164508" w:rsidP="00B3154B">
      <w:pPr>
        <w:spacing w:before="100" w:beforeAutospacing="1" w:after="100" w:afterAutospacing="1" w:line="360" w:lineRule="auto"/>
        <w:jc w:val="both"/>
        <w:rPr>
          <w:rFonts w:eastAsia="Times New Roman"/>
        </w:rPr>
      </w:pPr>
      <w:r>
        <w:rPr>
          <w:rFonts w:eastAsia="Times New Roman"/>
        </w:rPr>
        <w:t xml:space="preserve">The investigation provides novel findings </w:t>
      </w:r>
      <w:r w:rsidR="00641FA1">
        <w:rPr>
          <w:rFonts w:eastAsia="Times New Roman"/>
        </w:rPr>
        <w:t xml:space="preserve">on the outcomes of different innovation regimes in </w:t>
      </w:r>
      <w:r w:rsidR="00B3154B">
        <w:rPr>
          <w:rFonts w:eastAsia="Times New Roman"/>
        </w:rPr>
        <w:t xml:space="preserve">emerging </w:t>
      </w:r>
      <w:r w:rsidR="00641FA1">
        <w:rPr>
          <w:rFonts w:eastAsia="Times New Roman"/>
        </w:rPr>
        <w:t xml:space="preserve">economies. We showed that firms in emerging economies follow two distinctive paths of innovation. However, both these paths are used by firms not to generate truly novel products but to improve sales of existing ones. What this signals is that innovation activities of firms in emerging economies are not about generation of new knowledge but about the most productive use or absorption and assimilation of embedded knowledge and technology in existing products. </w:t>
      </w:r>
    </w:p>
    <w:p w14:paraId="55913178" w14:textId="5D1DBE82" w:rsidR="00164508" w:rsidRDefault="00641FA1" w:rsidP="00114129">
      <w:pPr>
        <w:spacing w:before="100" w:beforeAutospacing="1" w:after="100" w:afterAutospacing="1" w:line="360" w:lineRule="auto"/>
        <w:jc w:val="both"/>
        <w:rPr>
          <w:rFonts w:eastAsia="Times New Roman"/>
        </w:rPr>
      </w:pPr>
      <w:r w:rsidRPr="001F1AC1">
        <w:rPr>
          <w:rFonts w:eastAsia="Times New Roman"/>
        </w:rPr>
        <w:t>We hypothesis</w:t>
      </w:r>
      <w:r>
        <w:rPr>
          <w:rFonts w:eastAsia="Times New Roman"/>
        </w:rPr>
        <w:t>ed</w:t>
      </w:r>
      <w:r w:rsidRPr="001F1AC1">
        <w:rPr>
          <w:rFonts w:eastAsia="Times New Roman"/>
        </w:rPr>
        <w:t xml:space="preserve"> that local firms in these countries can benefit from foreign firms’ knowledge, but mostly through the application and imitation of existing practice, rather than through R&amp;D. </w:t>
      </w:r>
      <w:r>
        <w:rPr>
          <w:rFonts w:eastAsia="Times New Roman"/>
        </w:rPr>
        <w:t>In other words, w</w:t>
      </w:r>
      <w:r w:rsidRPr="001F1AC1">
        <w:rPr>
          <w:rFonts w:eastAsia="Times New Roman"/>
        </w:rPr>
        <w:t xml:space="preserve">e </w:t>
      </w:r>
      <w:r>
        <w:rPr>
          <w:rFonts w:eastAsia="Times New Roman"/>
        </w:rPr>
        <w:t xml:space="preserve">tested the </w:t>
      </w:r>
      <w:r w:rsidRPr="001F1AC1">
        <w:rPr>
          <w:rFonts w:eastAsia="Times New Roman"/>
        </w:rPr>
        <w:t xml:space="preserve">hypothesis that </w:t>
      </w:r>
      <w:r>
        <w:t>absorbing FDI spillovers will differ significantly between firms that compete based mainly on production capabilities (or embedded technology) or technology use as compared to those that invest in disembodied technology or R&amp;D</w:t>
      </w:r>
      <w:r>
        <w:rPr>
          <w:rFonts w:eastAsia="Times New Roman"/>
        </w:rPr>
        <w:t xml:space="preserve">. </w:t>
      </w:r>
      <w:r w:rsidRPr="001F1AC1">
        <w:rPr>
          <w:rFonts w:eastAsia="Times New Roman"/>
        </w:rPr>
        <w:t>This is because emerging economies are still far from</w:t>
      </w:r>
      <w:r>
        <w:rPr>
          <w:rFonts w:eastAsia="Times New Roman"/>
        </w:rPr>
        <w:t xml:space="preserve"> the</w:t>
      </w:r>
      <w:r w:rsidRPr="001F1AC1">
        <w:rPr>
          <w:rFonts w:eastAsia="Times New Roman"/>
        </w:rPr>
        <w:t xml:space="preserve"> </w:t>
      </w:r>
      <w:r>
        <w:rPr>
          <w:rFonts w:eastAsia="Times New Roman"/>
        </w:rPr>
        <w:t>technology</w:t>
      </w:r>
      <w:r w:rsidRPr="001F1AC1">
        <w:rPr>
          <w:rFonts w:eastAsia="Times New Roman"/>
        </w:rPr>
        <w:t xml:space="preserve"> frontier and have limited resources and abilities </w:t>
      </w:r>
      <w:r>
        <w:rPr>
          <w:rFonts w:eastAsia="Times New Roman"/>
        </w:rPr>
        <w:t xml:space="preserve">to </w:t>
      </w:r>
      <w:r w:rsidR="00114129">
        <w:rPr>
          <w:rFonts w:eastAsia="Times New Roman"/>
        </w:rPr>
        <w:t xml:space="preserve">engage in </w:t>
      </w:r>
      <w:r>
        <w:rPr>
          <w:rFonts w:eastAsia="Times New Roman"/>
        </w:rPr>
        <w:t>radical</w:t>
      </w:r>
      <w:r w:rsidRPr="001F1AC1">
        <w:rPr>
          <w:rFonts w:eastAsia="Times New Roman"/>
        </w:rPr>
        <w:t xml:space="preserve"> innovat</w:t>
      </w:r>
      <w:r w:rsidR="00114129">
        <w:rPr>
          <w:rFonts w:eastAsia="Times New Roman"/>
        </w:rPr>
        <w:t>ion</w:t>
      </w:r>
      <w:r w:rsidRPr="001F1AC1">
        <w:rPr>
          <w:rFonts w:eastAsia="Times New Roman"/>
        </w:rPr>
        <w:t xml:space="preserve">. </w:t>
      </w:r>
      <w:r>
        <w:rPr>
          <w:rFonts w:eastAsia="Times New Roman"/>
        </w:rPr>
        <w:t>T</w:t>
      </w:r>
      <w:r w:rsidRPr="001F1AC1">
        <w:rPr>
          <w:rFonts w:eastAsia="Times New Roman"/>
        </w:rPr>
        <w:t xml:space="preserve">heir innovation efforts </w:t>
      </w:r>
      <w:r>
        <w:rPr>
          <w:rFonts w:eastAsia="Times New Roman"/>
        </w:rPr>
        <w:t xml:space="preserve">usually </w:t>
      </w:r>
      <w:r w:rsidRPr="001F1AC1">
        <w:rPr>
          <w:rFonts w:eastAsia="Times New Roman"/>
        </w:rPr>
        <w:t xml:space="preserve">translate into imitation of products, services and technological processes that are already successfully “tested” elsewhere. </w:t>
      </w:r>
      <w:r>
        <w:rPr>
          <w:rFonts w:eastAsia="Times New Roman"/>
        </w:rPr>
        <w:t>R&amp;D firms are more inclined to rely on their internal resources when innovating, rather than “free riding” on others</w:t>
      </w:r>
    </w:p>
    <w:p w14:paraId="3E23B11F" w14:textId="3C347000" w:rsidR="006346A2" w:rsidRDefault="006346A2" w:rsidP="00114129">
      <w:pPr>
        <w:spacing w:before="100" w:beforeAutospacing="1" w:after="100" w:afterAutospacing="1" w:line="360" w:lineRule="auto"/>
        <w:jc w:val="both"/>
        <w:rPr>
          <w:rFonts w:eastAsia="Times New Roman"/>
        </w:rPr>
      </w:pPr>
      <w:r w:rsidRPr="001F1AC1">
        <w:rPr>
          <w:rFonts w:eastAsia="Times New Roman"/>
        </w:rPr>
        <w:t xml:space="preserve">The results have shown that foreign firms’ presence mostly affect </w:t>
      </w:r>
      <w:r w:rsidR="00114129">
        <w:rPr>
          <w:rFonts w:eastAsia="Times New Roman"/>
        </w:rPr>
        <w:t xml:space="preserve">the </w:t>
      </w:r>
      <w:r w:rsidRPr="001F1AC1">
        <w:rPr>
          <w:rFonts w:eastAsia="Times New Roman"/>
        </w:rPr>
        <w:t xml:space="preserve">early phase of the innovation process, namely the decision to innovate and the amount of innovation spending. </w:t>
      </w:r>
      <w:r w:rsidRPr="00C33C5D">
        <w:rPr>
          <w:rFonts w:eastAsia="Times New Roman"/>
        </w:rPr>
        <w:t>This reflects changed competitive position of local firms visa a vis FDI and determines the nature of their interaction and their strategic behaviour. This initial shift also determines the commercial and innovation impact of investments into either R&amp;D or embedded technology</w:t>
      </w:r>
      <w:r>
        <w:rPr>
          <w:rFonts w:eastAsia="Times New Roman"/>
        </w:rPr>
        <w:t xml:space="preserve">. </w:t>
      </w:r>
      <w:r w:rsidRPr="00C33C5D">
        <w:rPr>
          <w:rFonts w:eastAsia="Times New Roman"/>
        </w:rPr>
        <w:t xml:space="preserve"> </w:t>
      </w:r>
      <w:r>
        <w:rPr>
          <w:rFonts w:eastAsia="Times New Roman"/>
        </w:rPr>
        <w:t>Accordingly,</w:t>
      </w:r>
      <w:r w:rsidRPr="001F1AC1">
        <w:rPr>
          <w:rFonts w:eastAsia="Times New Roman"/>
        </w:rPr>
        <w:t xml:space="preserve"> the true success of innovation, manifested in </w:t>
      </w:r>
      <w:r w:rsidR="00114129">
        <w:rPr>
          <w:rFonts w:eastAsia="Times New Roman"/>
        </w:rPr>
        <w:t>higher</w:t>
      </w:r>
      <w:r w:rsidR="00114129" w:rsidRPr="001F1AC1">
        <w:rPr>
          <w:rFonts w:eastAsia="Times New Roman"/>
        </w:rPr>
        <w:t xml:space="preserve"> </w:t>
      </w:r>
      <w:r w:rsidRPr="001F1AC1">
        <w:rPr>
          <w:rFonts w:eastAsia="Times New Roman"/>
        </w:rPr>
        <w:t xml:space="preserve">revenues (sales) from innovation and productivity, are </w:t>
      </w:r>
      <w:r>
        <w:rPr>
          <w:rFonts w:eastAsia="Times New Roman"/>
        </w:rPr>
        <w:t xml:space="preserve">not affected or are </w:t>
      </w:r>
      <w:r w:rsidRPr="001F1AC1">
        <w:rPr>
          <w:rFonts w:eastAsia="Times New Roman"/>
        </w:rPr>
        <w:t xml:space="preserve">affected only marginally. These FDI spillover effects also differ amongst the knowledge users and knowledge creators. </w:t>
      </w:r>
    </w:p>
    <w:p w14:paraId="7A4EB4A5" w14:textId="4C771FE8" w:rsidR="006346A2" w:rsidRDefault="006346A2" w:rsidP="00114129">
      <w:pPr>
        <w:spacing w:before="100" w:beforeAutospacing="1" w:after="100" w:afterAutospacing="1" w:line="360" w:lineRule="auto"/>
        <w:jc w:val="both"/>
        <w:rPr>
          <w:rFonts w:eastAsia="Times New Roman"/>
        </w:rPr>
      </w:pPr>
      <w:r w:rsidRPr="001F1AC1">
        <w:rPr>
          <w:rFonts w:eastAsia="Times New Roman"/>
        </w:rPr>
        <w:t xml:space="preserve">Foreign rivals affect positively the </w:t>
      </w:r>
      <w:r>
        <w:rPr>
          <w:rFonts w:eastAsia="Times New Roman"/>
        </w:rPr>
        <w:t xml:space="preserve">firms’ </w:t>
      </w:r>
      <w:r w:rsidRPr="001F1AC1">
        <w:rPr>
          <w:rFonts w:eastAsia="Times New Roman"/>
        </w:rPr>
        <w:t>decision to innovate and</w:t>
      </w:r>
      <w:r>
        <w:rPr>
          <w:rFonts w:eastAsia="Times New Roman"/>
        </w:rPr>
        <w:t xml:space="preserve"> their</w:t>
      </w:r>
      <w:r w:rsidRPr="001F1AC1">
        <w:rPr>
          <w:rFonts w:eastAsia="Times New Roman"/>
        </w:rPr>
        <w:t xml:space="preserve"> innovation spending</w:t>
      </w:r>
      <w:r w:rsidR="00114129" w:rsidRPr="001F1AC1">
        <w:rPr>
          <w:rFonts w:eastAsia="Times New Roman"/>
        </w:rPr>
        <w:t xml:space="preserve"> through horizontal spillovers</w:t>
      </w:r>
      <w:r>
        <w:rPr>
          <w:rFonts w:eastAsia="Times New Roman"/>
        </w:rPr>
        <w:t xml:space="preserve"> but t</w:t>
      </w:r>
      <w:r w:rsidRPr="001F1AC1">
        <w:rPr>
          <w:rFonts w:eastAsia="Times New Roman"/>
        </w:rPr>
        <w:t>he effect is a lot greater on knowledge users than on knowledge creators</w:t>
      </w:r>
      <w:r>
        <w:rPr>
          <w:rFonts w:eastAsia="Times New Roman"/>
        </w:rPr>
        <w:t xml:space="preserve">. </w:t>
      </w:r>
      <w:r w:rsidR="00114129">
        <w:rPr>
          <w:rFonts w:eastAsia="Times New Roman"/>
        </w:rPr>
        <w:t>A s</w:t>
      </w:r>
      <w:r>
        <w:rPr>
          <w:rFonts w:eastAsia="Times New Roman"/>
        </w:rPr>
        <w:t xml:space="preserve">imilar story applies to forward spillovers. Greater source of inputs sourced from foreign suppliers prompt innovative efforts </w:t>
      </w:r>
      <w:r w:rsidR="00114129">
        <w:rPr>
          <w:rFonts w:eastAsia="Times New Roman"/>
        </w:rPr>
        <w:t xml:space="preserve">by knowledge using </w:t>
      </w:r>
      <w:r>
        <w:rPr>
          <w:rFonts w:eastAsia="Times New Roman"/>
        </w:rPr>
        <w:t xml:space="preserve">firms but not those undertaking knowledge generation. Only backward spillovers have negative and significant effects on the decision to innovate and innovation spending of both knowledge users and knowledge creators. </w:t>
      </w:r>
    </w:p>
    <w:p w14:paraId="38751B99" w14:textId="6448A86E" w:rsidR="006346A2" w:rsidRDefault="00114129" w:rsidP="004456ED">
      <w:pPr>
        <w:spacing w:before="100" w:beforeAutospacing="1" w:after="100" w:afterAutospacing="1" w:line="360" w:lineRule="auto"/>
        <w:jc w:val="both"/>
        <w:rPr>
          <w:rFonts w:eastAsia="Times New Roman"/>
        </w:rPr>
      </w:pPr>
      <w:r>
        <w:rPr>
          <w:rFonts w:eastAsia="Times New Roman"/>
        </w:rPr>
        <w:t>In th</w:t>
      </w:r>
      <w:r w:rsidR="006346A2">
        <w:rPr>
          <w:rFonts w:eastAsia="Times New Roman"/>
        </w:rPr>
        <w:t>e la</w:t>
      </w:r>
      <w:r>
        <w:rPr>
          <w:rFonts w:eastAsia="Times New Roman"/>
        </w:rPr>
        <w:t>t</w:t>
      </w:r>
      <w:r w:rsidR="006346A2">
        <w:rPr>
          <w:rFonts w:eastAsia="Times New Roman"/>
        </w:rPr>
        <w:t>ter phase of the innovation process</w:t>
      </w:r>
      <w:r>
        <w:rPr>
          <w:rFonts w:eastAsia="Times New Roman"/>
        </w:rPr>
        <w:t>, there are</w:t>
      </w:r>
      <w:r w:rsidR="006346A2">
        <w:rPr>
          <w:rFonts w:eastAsia="Times New Roman"/>
        </w:rPr>
        <w:t xml:space="preserve"> no positive spillovers effects from either foreign rival firms or foreign firms linked (with the indigenous ones) through the supply chain. Despite greater innovative efforts undertaken through FDI horizontal and forward linkage, no significant </w:t>
      </w:r>
      <w:r w:rsidR="006346A2" w:rsidRPr="001F1AC1">
        <w:rPr>
          <w:rFonts w:eastAsia="Times New Roman"/>
        </w:rPr>
        <w:t xml:space="preserve">market and productivity benefits are </w:t>
      </w:r>
      <w:r>
        <w:rPr>
          <w:rFonts w:eastAsia="Times New Roman"/>
        </w:rPr>
        <w:t>accrued</w:t>
      </w:r>
      <w:r w:rsidR="006346A2">
        <w:rPr>
          <w:rFonts w:eastAsia="Times New Roman"/>
        </w:rPr>
        <w:t xml:space="preserve">. Finally, </w:t>
      </w:r>
      <w:r w:rsidR="004456ED">
        <w:rPr>
          <w:rFonts w:eastAsia="Times New Roman"/>
        </w:rPr>
        <w:t xml:space="preserve">the larger </w:t>
      </w:r>
      <w:r w:rsidR="006346A2">
        <w:rPr>
          <w:rFonts w:eastAsia="Times New Roman"/>
        </w:rPr>
        <w:t>positive effect on firms that undertake innovation through purchase of machinery, equipment etc. rather than through R&amp;D indicate that the true innovation process in emerging economies such as Serbia is mirrored in imitation, rather than creation of novel products. It is these innovative processes that are further promoted by foreign firms, but only in the early phase of innovation process. The m</w:t>
      </w:r>
      <w:r w:rsidR="006346A2" w:rsidRPr="00477581">
        <w:rPr>
          <w:rFonts w:eastAsia="Times New Roman"/>
        </w:rPr>
        <w:t xml:space="preserve">anufacturing firms in </w:t>
      </w:r>
      <w:r w:rsidR="006346A2">
        <w:rPr>
          <w:rFonts w:eastAsia="Times New Roman"/>
        </w:rPr>
        <w:t>Serbia</w:t>
      </w:r>
      <w:r w:rsidR="006346A2" w:rsidRPr="00477581">
        <w:rPr>
          <w:rFonts w:eastAsia="Times New Roman"/>
        </w:rPr>
        <w:t xml:space="preserve"> increase their </w:t>
      </w:r>
      <w:r w:rsidR="006346A2">
        <w:rPr>
          <w:rFonts w:eastAsia="Times New Roman"/>
        </w:rPr>
        <w:t>innovation efforts</w:t>
      </w:r>
      <w:r w:rsidR="006346A2" w:rsidRPr="00477581">
        <w:rPr>
          <w:rFonts w:eastAsia="Times New Roman"/>
        </w:rPr>
        <w:t xml:space="preserve"> by learning from foreign rivals, mainly because many of them are further away from technological frontier and have greater gaps in knowledge. </w:t>
      </w:r>
      <w:r w:rsidR="006346A2">
        <w:rPr>
          <w:rFonts w:eastAsia="Times New Roman"/>
        </w:rPr>
        <w:t>R&amp;D firms, on the other hand, absorb some knowledge spillover (horizontal ones) but to a lot lower extent than those that implement innovative activities already tested elsewhere.</w:t>
      </w:r>
    </w:p>
    <w:p w14:paraId="7FB08795" w14:textId="350E7EA8" w:rsidR="006346A2" w:rsidRPr="008F2BD6" w:rsidRDefault="006346A2" w:rsidP="008F2BD6">
      <w:pPr>
        <w:spacing w:before="100" w:beforeAutospacing="1" w:after="100" w:afterAutospacing="1" w:line="360" w:lineRule="auto"/>
        <w:jc w:val="both"/>
        <w:rPr>
          <w:rFonts w:eastAsia="Times New Roman"/>
          <w:i/>
          <w:iCs/>
        </w:rPr>
      </w:pPr>
      <w:r w:rsidRPr="008F2BD6">
        <w:rPr>
          <w:rFonts w:eastAsia="Times New Roman"/>
          <w:i/>
          <w:iCs/>
        </w:rPr>
        <w:t>6.3. Policy implications</w:t>
      </w:r>
    </w:p>
    <w:p w14:paraId="324E5884" w14:textId="4B5D0020" w:rsidR="006346A2" w:rsidRDefault="002B0FC9" w:rsidP="00102824">
      <w:pPr>
        <w:spacing w:before="100" w:beforeAutospacing="1" w:after="100" w:afterAutospacing="1" w:line="360" w:lineRule="auto"/>
        <w:jc w:val="both"/>
        <w:rPr>
          <w:rFonts w:eastAsia="Times New Roman"/>
        </w:rPr>
      </w:pPr>
      <w:r>
        <w:rPr>
          <w:rFonts w:eastAsia="Times New Roman"/>
        </w:rPr>
        <w:t>The h</w:t>
      </w:r>
      <w:r w:rsidR="006346A2">
        <w:rPr>
          <w:rFonts w:eastAsia="Times New Roman"/>
        </w:rPr>
        <w:t xml:space="preserve">eterogenous results from foreign spillover effects hint </w:t>
      </w:r>
      <w:r>
        <w:rPr>
          <w:rFonts w:eastAsia="Times New Roman"/>
        </w:rPr>
        <w:t xml:space="preserve">at </w:t>
      </w:r>
      <w:r w:rsidR="006346A2">
        <w:rPr>
          <w:rFonts w:eastAsia="Times New Roman"/>
        </w:rPr>
        <w:t xml:space="preserve">two important aspects (or </w:t>
      </w:r>
      <w:r>
        <w:rPr>
          <w:rFonts w:eastAsia="Times New Roman"/>
        </w:rPr>
        <w:t>weaknesses</w:t>
      </w:r>
      <w:r w:rsidR="006346A2">
        <w:rPr>
          <w:rFonts w:eastAsia="Times New Roman"/>
        </w:rPr>
        <w:t>) of the national innovation systems in emerging econom</w:t>
      </w:r>
      <w:r>
        <w:rPr>
          <w:rFonts w:eastAsia="Times New Roman"/>
        </w:rPr>
        <w:t>ies</w:t>
      </w:r>
      <w:r w:rsidR="006346A2">
        <w:rPr>
          <w:rFonts w:eastAsia="Times New Roman"/>
        </w:rPr>
        <w:t xml:space="preserve">. The results show that innovation sales </w:t>
      </w:r>
      <w:r w:rsidR="00454CCA">
        <w:rPr>
          <w:rFonts w:eastAsia="Times New Roman"/>
        </w:rPr>
        <w:t>is either</w:t>
      </w:r>
      <w:r w:rsidR="006346A2">
        <w:rPr>
          <w:rFonts w:eastAsia="Times New Roman"/>
        </w:rPr>
        <w:t xml:space="preserve"> </w:t>
      </w:r>
      <w:r w:rsidR="00B37699">
        <w:rPr>
          <w:rFonts w:eastAsia="Times New Roman"/>
        </w:rPr>
        <w:t>negatively affected</w:t>
      </w:r>
      <w:r w:rsidR="00454CCA">
        <w:rPr>
          <w:rFonts w:eastAsia="Times New Roman"/>
        </w:rPr>
        <w:t xml:space="preserve"> or not affected by</w:t>
      </w:r>
      <w:r w:rsidR="006346A2">
        <w:rPr>
          <w:rFonts w:eastAsia="Times New Roman"/>
        </w:rPr>
        <w:t xml:space="preserve"> </w:t>
      </w:r>
      <w:r w:rsidR="00454CCA">
        <w:rPr>
          <w:rFonts w:eastAsia="Times New Roman"/>
        </w:rPr>
        <w:t>spillovers, depending on whether they are sourced from rival firm or customer/supplier firm. Productivity is unaffected by spillovers, apart from some positive effects on knowledge users.</w:t>
      </w:r>
      <w:r w:rsidR="006346A2">
        <w:rPr>
          <w:rFonts w:eastAsia="Times New Roman"/>
        </w:rPr>
        <w:t xml:space="preserve"> </w:t>
      </w:r>
      <w:r w:rsidR="00454CCA">
        <w:rPr>
          <w:rFonts w:eastAsia="Times New Roman"/>
        </w:rPr>
        <w:t>On the other hand,</w:t>
      </w:r>
      <w:r w:rsidR="006346A2">
        <w:rPr>
          <w:rFonts w:eastAsia="Times New Roman"/>
        </w:rPr>
        <w:t xml:space="preserve"> innovation investment in both innovation regimes increases</w:t>
      </w:r>
      <w:r w:rsidR="00B37699">
        <w:rPr>
          <w:rFonts w:eastAsia="Times New Roman"/>
        </w:rPr>
        <w:t xml:space="preserve"> percentage of </w:t>
      </w:r>
      <w:r w:rsidR="006346A2">
        <w:rPr>
          <w:rFonts w:eastAsia="Times New Roman"/>
        </w:rPr>
        <w:t>sales</w:t>
      </w:r>
      <w:r w:rsidR="00B37699">
        <w:rPr>
          <w:rFonts w:eastAsia="Times New Roman"/>
        </w:rPr>
        <w:t xml:space="preserve"> revenue</w:t>
      </w:r>
      <w:r w:rsidR="006346A2">
        <w:rPr>
          <w:rFonts w:eastAsia="Times New Roman"/>
        </w:rPr>
        <w:t xml:space="preserve"> </w:t>
      </w:r>
      <w:r w:rsidR="00B37699">
        <w:rPr>
          <w:rFonts w:eastAsia="Times New Roman"/>
        </w:rPr>
        <w:t xml:space="preserve">from </w:t>
      </w:r>
      <w:r w:rsidR="006346A2">
        <w:rPr>
          <w:rFonts w:eastAsia="Times New Roman"/>
        </w:rPr>
        <w:t xml:space="preserve">existing products. Both findings can be taken as evidence that firms in emerging economies exhibit barriers when trying to commercialise their innovation efforts and improve productivity through innovation activities. These findings </w:t>
      </w:r>
      <w:r w:rsidR="00454CCA">
        <w:rPr>
          <w:rFonts w:eastAsia="Times New Roman"/>
        </w:rPr>
        <w:t xml:space="preserve">may </w:t>
      </w:r>
      <w:r w:rsidR="006346A2">
        <w:rPr>
          <w:rFonts w:eastAsia="Times New Roman"/>
        </w:rPr>
        <w:t xml:space="preserve">also reflect the position of producers from emerging economies in global production networks </w:t>
      </w:r>
      <w:r w:rsidR="0032655A">
        <w:rPr>
          <w:rFonts w:eastAsia="Times New Roman"/>
        </w:rPr>
        <w:t xml:space="preserve">at lower levels of </w:t>
      </w:r>
      <w:r w:rsidR="00102824">
        <w:rPr>
          <w:rFonts w:eastAsia="Times New Roman"/>
        </w:rPr>
        <w:t xml:space="preserve">value chain </w:t>
      </w:r>
      <w:r w:rsidR="0032655A">
        <w:rPr>
          <w:rFonts w:eastAsia="Times New Roman"/>
        </w:rPr>
        <w:t xml:space="preserve">ladder where standardised products dominate. </w:t>
      </w:r>
    </w:p>
    <w:p w14:paraId="02A67D53" w14:textId="77777777" w:rsidR="0032655A" w:rsidRPr="000A7D05" w:rsidRDefault="0032655A" w:rsidP="008F2BD6">
      <w:pPr>
        <w:spacing w:line="360" w:lineRule="auto"/>
        <w:jc w:val="both"/>
        <w:rPr>
          <w:rFonts w:eastAsia="Times New Roman"/>
        </w:rPr>
      </w:pPr>
      <w:r w:rsidRPr="00D22A7D">
        <w:rPr>
          <w:rFonts w:eastAsia="Times New Roman"/>
        </w:rPr>
        <w:t>The analysis showed that governments in these countries should complement their policies on FDI with policies for fostering learning and improving technology and innovation</w:t>
      </w:r>
      <w:r>
        <w:rPr>
          <w:rFonts w:eastAsia="Times New Roman"/>
        </w:rPr>
        <w:t xml:space="preserve"> as there is scope for learning through spillovers. P</w:t>
      </w:r>
      <w:r w:rsidRPr="000A7D05">
        <w:rPr>
          <w:rFonts w:eastAsia="Times New Roman"/>
        </w:rPr>
        <w:t>olicy makers should try to stimulate the commercialization of innovation output, using market-oriented strategies found important for boosting sales and market-shares by organizing fairs and exhibitions where innovation outputs could be promoted. Businesses should focus on marketing their innovation too, to sell their product to a wider audience. The research has shown that integrating domestic suppliers with foreign firms in downstream sector is important</w:t>
      </w:r>
      <w:r>
        <w:rPr>
          <w:rFonts w:eastAsia="Times New Roman"/>
        </w:rPr>
        <w:t xml:space="preserve">. </w:t>
      </w:r>
      <w:r w:rsidRPr="000A7D05">
        <w:rPr>
          <w:rFonts w:eastAsia="Times New Roman"/>
        </w:rPr>
        <w:t xml:space="preserve">National authorities should consider encouraging the integration of domestic suppliers and customers of </w:t>
      </w:r>
      <w:r>
        <w:rPr>
          <w:rFonts w:eastAsia="Times New Roman"/>
        </w:rPr>
        <w:t>foreign firms</w:t>
      </w:r>
      <w:r w:rsidRPr="000A7D05">
        <w:rPr>
          <w:rFonts w:eastAsia="Times New Roman"/>
        </w:rPr>
        <w:t xml:space="preserve">, which can increase their capabilities further. Better integration of foreign firms in local economies could be achieved via various incentive schemes i.e. human capital training and assistance on inputs foreign firms need or attracting </w:t>
      </w:r>
      <w:r>
        <w:rPr>
          <w:rFonts w:eastAsia="Times New Roman"/>
        </w:rPr>
        <w:t>global value chain</w:t>
      </w:r>
      <w:r w:rsidRPr="000A7D05">
        <w:rPr>
          <w:rFonts w:eastAsia="Times New Roman"/>
        </w:rPr>
        <w:t xml:space="preserve"> oriented investors</w:t>
      </w:r>
      <w:r>
        <w:rPr>
          <w:rFonts w:eastAsia="Times New Roman"/>
        </w:rPr>
        <w:t xml:space="preserve">. </w:t>
      </w:r>
      <w:r w:rsidRPr="000A7D05">
        <w:rPr>
          <w:rFonts w:eastAsia="Times New Roman"/>
        </w:rPr>
        <w:t>Greater emphasis should be placed on building trust with local supply chains</w:t>
      </w:r>
      <w:r>
        <w:rPr>
          <w:rFonts w:eastAsia="Times New Roman"/>
        </w:rPr>
        <w:t>.</w:t>
      </w:r>
      <w:r w:rsidRPr="000A7D05">
        <w:rPr>
          <w:rFonts w:eastAsia="Times New Roman"/>
        </w:rPr>
        <w:t xml:space="preserve"> </w:t>
      </w:r>
    </w:p>
    <w:p w14:paraId="48228390" w14:textId="77777777" w:rsidR="00641FA1" w:rsidRPr="0032655A" w:rsidRDefault="0032655A" w:rsidP="008F2BD6">
      <w:pPr>
        <w:spacing w:before="100" w:beforeAutospacing="1" w:after="100" w:afterAutospacing="1" w:line="360" w:lineRule="auto"/>
        <w:jc w:val="both"/>
        <w:rPr>
          <w:rFonts w:eastAsia="Times New Roman"/>
          <w:i/>
          <w:iCs/>
        </w:rPr>
      </w:pPr>
      <w:r w:rsidRPr="0032655A">
        <w:rPr>
          <w:rFonts w:eastAsia="Times New Roman"/>
          <w:i/>
          <w:iCs/>
        </w:rPr>
        <w:t>6.4. Limitations and directions for future research</w:t>
      </w:r>
    </w:p>
    <w:p w14:paraId="6F1DFDCF" w14:textId="622F2DEE" w:rsidR="0032655A" w:rsidRDefault="006319F5" w:rsidP="004E1BE5">
      <w:pPr>
        <w:spacing w:before="100" w:beforeAutospacing="1" w:after="100" w:afterAutospacing="1" w:line="360" w:lineRule="auto"/>
        <w:jc w:val="both"/>
        <w:rPr>
          <w:rFonts w:eastAsia="Times New Roman"/>
        </w:rPr>
      </w:pPr>
      <w:r>
        <w:rPr>
          <w:rFonts w:eastAsia="Times New Roman"/>
        </w:rPr>
        <w:t xml:space="preserve">No study is without limitations and the same goes for our investigation. The main limitation of our study comes from its analysis being based on a single emerging economy. Future research should strengthen the theses presented in our research by extending the analysis </w:t>
      </w:r>
      <w:r w:rsidR="004E1BE5">
        <w:rPr>
          <w:rFonts w:eastAsia="Times New Roman"/>
        </w:rPr>
        <w:t xml:space="preserve">to </w:t>
      </w:r>
      <w:r>
        <w:rPr>
          <w:rFonts w:eastAsia="Times New Roman"/>
        </w:rPr>
        <w:t xml:space="preserve">different countries. Furthermore, some of results in our study may differ when observed in a single point of time from findings over longer run. Lack of longitudinal data is a common barrier in innovation research and it remains </w:t>
      </w:r>
      <w:r w:rsidR="004E1BE5">
        <w:rPr>
          <w:rFonts w:eastAsia="Times New Roman"/>
        </w:rPr>
        <w:t xml:space="preserve">an </w:t>
      </w:r>
      <w:r>
        <w:rPr>
          <w:rFonts w:eastAsia="Times New Roman"/>
        </w:rPr>
        <w:t xml:space="preserve">open challenge for the future. Our analysis is based on </w:t>
      </w:r>
      <w:r w:rsidR="004E1BE5">
        <w:rPr>
          <w:rFonts w:eastAsia="Times New Roman"/>
        </w:rPr>
        <w:t xml:space="preserve">the </w:t>
      </w:r>
      <w:r>
        <w:rPr>
          <w:rFonts w:eastAsia="Times New Roman"/>
        </w:rPr>
        <w:t xml:space="preserve">assessment of the average spillover effects for industry as a whole. Deeper insight in these mechanisms should be obtained through surveys that would focus on exact practices through which spillovers occur. Finally, studies as ours have value for policy makers interested in raising innovation potential of their economies. Their success depends on the ability of academics to provide evidence-based inputs in formulation of innovation policies. It remains </w:t>
      </w:r>
      <w:r w:rsidR="004E1BE5">
        <w:rPr>
          <w:rFonts w:eastAsia="Times New Roman"/>
        </w:rPr>
        <w:t xml:space="preserve">for </w:t>
      </w:r>
      <w:r>
        <w:rPr>
          <w:rFonts w:eastAsia="Times New Roman"/>
        </w:rPr>
        <w:t xml:space="preserve">the researchers of tomorrow to address these challenges. </w:t>
      </w:r>
    </w:p>
    <w:p w14:paraId="6C9EDE84" w14:textId="77777777" w:rsidR="00E60E08" w:rsidRPr="008F2BD6" w:rsidRDefault="00E60E08" w:rsidP="00E60E08">
      <w:pPr>
        <w:spacing w:before="100" w:beforeAutospacing="1" w:after="100" w:afterAutospacing="1"/>
        <w:jc w:val="both"/>
        <w:rPr>
          <w:rFonts w:eastAsia="Times New Roman"/>
          <w:b/>
          <w:bCs/>
        </w:rPr>
      </w:pPr>
      <w:r w:rsidRPr="008F2BD6">
        <w:rPr>
          <w:rFonts w:eastAsia="Times New Roman"/>
          <w:b/>
          <w:bCs/>
        </w:rPr>
        <w:t>References</w:t>
      </w:r>
    </w:p>
    <w:p w14:paraId="25CB5295" w14:textId="77777777" w:rsidR="00E60E08" w:rsidRDefault="00E60E08" w:rsidP="00E60E08">
      <w:pPr>
        <w:spacing w:before="100" w:beforeAutospacing="1" w:after="100" w:afterAutospacing="1"/>
        <w:jc w:val="both"/>
        <w:rPr>
          <w:rFonts w:eastAsia="Times New Roman"/>
        </w:rPr>
      </w:pPr>
      <w:r w:rsidRPr="00725B01">
        <w:rPr>
          <w:rFonts w:eastAsia="Times New Roman"/>
        </w:rPr>
        <w:t>Aghion, P., Blundell, R., Griffith, R., Howitt, P., &amp; Prantl, S. (2009). The effects of entry on incumbent innovation and productivity. </w:t>
      </w:r>
      <w:r w:rsidRPr="00725B01">
        <w:rPr>
          <w:rFonts w:eastAsia="Times New Roman"/>
          <w:i/>
          <w:iCs/>
        </w:rPr>
        <w:t>The Review of Economics and Statistics</w:t>
      </w:r>
      <w:r w:rsidRPr="00725B01">
        <w:rPr>
          <w:rFonts w:eastAsia="Times New Roman"/>
        </w:rPr>
        <w:t>, </w:t>
      </w:r>
      <w:r w:rsidRPr="00725B01">
        <w:rPr>
          <w:rFonts w:eastAsia="Times New Roman"/>
          <w:i/>
          <w:iCs/>
        </w:rPr>
        <w:t>91</w:t>
      </w:r>
      <w:r w:rsidRPr="00725B01">
        <w:rPr>
          <w:rFonts w:eastAsia="Times New Roman"/>
        </w:rPr>
        <w:t>(1), 20-32.</w:t>
      </w:r>
    </w:p>
    <w:p w14:paraId="042BF5E0" w14:textId="45555954" w:rsidR="00E60E08" w:rsidRDefault="00E60E08" w:rsidP="004E1BE5">
      <w:pPr>
        <w:spacing w:before="100" w:beforeAutospacing="1" w:after="100" w:afterAutospacing="1"/>
        <w:jc w:val="both"/>
        <w:rPr>
          <w:rFonts w:eastAsia="Times New Roman"/>
        </w:rPr>
      </w:pPr>
      <w:r w:rsidRPr="0066218F">
        <w:rPr>
          <w:rFonts w:eastAsia="Times New Roman"/>
        </w:rPr>
        <w:t xml:space="preserve">Aitken, B. J., &amp; Harrison, A. E. (1999). Do domestic firms benefit from direct foreign investment? Evidence from Venezuela. </w:t>
      </w:r>
      <w:r w:rsidRPr="009C5EDE">
        <w:rPr>
          <w:rFonts w:eastAsia="Times New Roman"/>
          <w:i/>
          <w:iCs/>
        </w:rPr>
        <w:t xml:space="preserve">American </w:t>
      </w:r>
      <w:r w:rsidR="004E1BE5">
        <w:rPr>
          <w:rFonts w:eastAsia="Times New Roman"/>
          <w:i/>
          <w:iCs/>
        </w:rPr>
        <w:t>E</w:t>
      </w:r>
      <w:r w:rsidRPr="009C5EDE">
        <w:rPr>
          <w:rFonts w:eastAsia="Times New Roman"/>
          <w:i/>
          <w:iCs/>
        </w:rPr>
        <w:t xml:space="preserve">conomic </w:t>
      </w:r>
      <w:r w:rsidR="004E1BE5">
        <w:rPr>
          <w:rFonts w:eastAsia="Times New Roman"/>
          <w:i/>
          <w:iCs/>
        </w:rPr>
        <w:t>R</w:t>
      </w:r>
      <w:r w:rsidRPr="009C5EDE">
        <w:rPr>
          <w:rFonts w:eastAsia="Times New Roman"/>
          <w:i/>
          <w:iCs/>
        </w:rPr>
        <w:t>eview</w:t>
      </w:r>
      <w:r w:rsidRPr="0066218F">
        <w:rPr>
          <w:rFonts w:eastAsia="Times New Roman"/>
        </w:rPr>
        <w:t>, 89(3), 605-618.</w:t>
      </w:r>
    </w:p>
    <w:p w14:paraId="25843A63" w14:textId="6875BBEC" w:rsidR="00E60E08" w:rsidRPr="008E47ED" w:rsidRDefault="00E60E08" w:rsidP="004E1BE5">
      <w:pPr>
        <w:spacing w:before="100" w:beforeAutospacing="1" w:after="100" w:afterAutospacing="1"/>
        <w:jc w:val="both"/>
        <w:rPr>
          <w:rFonts w:eastAsia="Times New Roman"/>
          <w:lang w:val="sr-Latn-RS"/>
        </w:rPr>
      </w:pPr>
      <w:r w:rsidRPr="00E330B7">
        <w:rPr>
          <w:rFonts w:eastAsia="Times New Roman"/>
          <w:lang w:val="sr-Latn-RS"/>
        </w:rPr>
        <w:t xml:space="preserve">Autant‐Bernard, C., &amp; LeSage, J. P. (2011). Quantifying knowledge spillovers using spatial econometric models. </w:t>
      </w:r>
      <w:r w:rsidRPr="009C5EDE">
        <w:rPr>
          <w:rFonts w:eastAsia="Times New Roman"/>
          <w:i/>
          <w:iCs/>
          <w:lang w:val="sr-Latn-RS"/>
        </w:rPr>
        <w:t xml:space="preserve">Journal of </w:t>
      </w:r>
      <w:r w:rsidR="004E1BE5" w:rsidRPr="009C5EDE">
        <w:rPr>
          <w:rFonts w:eastAsia="Times New Roman"/>
          <w:i/>
          <w:iCs/>
          <w:lang w:val="sr-Latn-RS"/>
        </w:rPr>
        <w:t>R</w:t>
      </w:r>
      <w:r w:rsidRPr="009C5EDE">
        <w:rPr>
          <w:rFonts w:eastAsia="Times New Roman"/>
          <w:i/>
          <w:iCs/>
          <w:lang w:val="sr-Latn-RS"/>
        </w:rPr>
        <w:t>egional Science</w:t>
      </w:r>
      <w:r w:rsidRPr="00E330B7">
        <w:rPr>
          <w:rFonts w:eastAsia="Times New Roman"/>
          <w:lang w:val="sr-Latn-RS"/>
        </w:rPr>
        <w:t>, 51(3), 471-496.</w:t>
      </w:r>
    </w:p>
    <w:p w14:paraId="5CC0C1A7" w14:textId="77777777" w:rsidR="00E60E08" w:rsidRPr="00DD3C7D" w:rsidRDefault="00E60E08" w:rsidP="00E60E08">
      <w:pPr>
        <w:spacing w:before="100" w:beforeAutospacing="1" w:after="100" w:afterAutospacing="1"/>
        <w:jc w:val="both"/>
        <w:rPr>
          <w:rFonts w:eastAsia="Times New Roman"/>
          <w:lang w:val="sr-Latn-RS"/>
        </w:rPr>
      </w:pPr>
      <w:r w:rsidRPr="004B1002">
        <w:rPr>
          <w:rFonts w:eastAsia="Times New Roman"/>
        </w:rPr>
        <w:t xml:space="preserve">Barrios, S., Bertinelli, L., &amp; Strobl, E. (2006). Coagglomeration and spillovers. </w:t>
      </w:r>
      <w:r w:rsidRPr="009C5EDE">
        <w:rPr>
          <w:rFonts w:eastAsia="Times New Roman"/>
          <w:i/>
          <w:iCs/>
        </w:rPr>
        <w:t>Regional Science and Urban Economics</w:t>
      </w:r>
      <w:r w:rsidRPr="004B1002">
        <w:rPr>
          <w:rFonts w:eastAsia="Times New Roman"/>
        </w:rPr>
        <w:t>, 36(4), 467-481.</w:t>
      </w:r>
    </w:p>
    <w:p w14:paraId="69D20DC4" w14:textId="77777777" w:rsidR="00E60E08" w:rsidRDefault="00E60E08" w:rsidP="00E60E08">
      <w:pPr>
        <w:spacing w:before="100" w:beforeAutospacing="1" w:after="100" w:afterAutospacing="1"/>
        <w:jc w:val="both"/>
        <w:rPr>
          <w:rFonts w:eastAsia="Times New Roman"/>
        </w:rPr>
      </w:pPr>
      <w:r w:rsidRPr="009B216F">
        <w:rPr>
          <w:rFonts w:eastAsia="Times New Roman"/>
        </w:rPr>
        <w:t xml:space="preserve">Blalock, G., &amp; Gertler, P. J. (2008). Welfare gains from foreign direct investment through technology transfer to local suppliers. </w:t>
      </w:r>
      <w:r w:rsidRPr="009C5EDE">
        <w:rPr>
          <w:rFonts w:eastAsia="Times New Roman"/>
          <w:i/>
          <w:iCs/>
        </w:rPr>
        <w:t>Journal of international Economics</w:t>
      </w:r>
      <w:r w:rsidRPr="009B216F">
        <w:rPr>
          <w:rFonts w:eastAsia="Times New Roman"/>
        </w:rPr>
        <w:t>, 74(2), 402-421.</w:t>
      </w:r>
    </w:p>
    <w:p w14:paraId="3A66F9D6" w14:textId="17639AAA" w:rsidR="00E60E08" w:rsidRDefault="00E60E08" w:rsidP="004E1BE5">
      <w:pPr>
        <w:spacing w:before="100" w:beforeAutospacing="1" w:after="100" w:afterAutospacing="1"/>
        <w:jc w:val="both"/>
        <w:rPr>
          <w:rFonts w:eastAsia="Times New Roman"/>
          <w:lang w:val="sr-Latn-RS"/>
        </w:rPr>
      </w:pPr>
      <w:r w:rsidRPr="00133730">
        <w:rPr>
          <w:rFonts w:eastAsia="Times New Roman"/>
          <w:lang w:val="sr-Latn-RS"/>
        </w:rPr>
        <w:t xml:space="preserve">Boschma, R. (2005). Proximity and innovation: a critical assessment. </w:t>
      </w:r>
      <w:r w:rsidRPr="009C5EDE">
        <w:rPr>
          <w:rFonts w:eastAsia="Times New Roman"/>
          <w:i/>
          <w:iCs/>
          <w:lang w:val="sr-Latn-RS"/>
        </w:rPr>
        <w:t xml:space="preserve">Regional </w:t>
      </w:r>
      <w:r w:rsidR="004E1BE5">
        <w:rPr>
          <w:rFonts w:eastAsia="Times New Roman"/>
          <w:i/>
          <w:iCs/>
          <w:lang w:val="sr-Latn-RS"/>
        </w:rPr>
        <w:t>S</w:t>
      </w:r>
      <w:r w:rsidRPr="009C5EDE">
        <w:rPr>
          <w:rFonts w:eastAsia="Times New Roman"/>
          <w:i/>
          <w:iCs/>
          <w:lang w:val="sr-Latn-RS"/>
        </w:rPr>
        <w:t>tudies</w:t>
      </w:r>
      <w:r w:rsidRPr="00133730">
        <w:rPr>
          <w:rFonts w:eastAsia="Times New Roman"/>
          <w:lang w:val="sr-Latn-RS"/>
        </w:rPr>
        <w:t>, 39(1), 61-74.</w:t>
      </w:r>
    </w:p>
    <w:p w14:paraId="1B8B5438" w14:textId="77777777" w:rsidR="00862963" w:rsidRDefault="00862963" w:rsidP="00E60E08">
      <w:pPr>
        <w:spacing w:before="100" w:beforeAutospacing="1" w:after="100" w:afterAutospacing="1"/>
        <w:jc w:val="both"/>
        <w:rPr>
          <w:rFonts w:eastAsia="Times New Roman"/>
          <w:lang w:val="sr-Latn-RS"/>
        </w:rPr>
      </w:pPr>
      <w:r w:rsidRPr="00862963">
        <w:rPr>
          <w:rFonts w:eastAsia="Times New Roman"/>
          <w:lang w:val="sr-Latn-RS"/>
        </w:rPr>
        <w:t xml:space="preserve">Cirera Xavier and William F. Maloney (2017) </w:t>
      </w:r>
      <w:r w:rsidRPr="005C0085">
        <w:rPr>
          <w:rFonts w:eastAsia="Times New Roman"/>
          <w:i/>
          <w:iCs/>
          <w:lang w:val="sr-Latn-RS"/>
        </w:rPr>
        <w:t>The Innovation Paradox. Developing-Country Capabilities and the Unrealized Promise of Technological Catch-Up</w:t>
      </w:r>
      <w:r w:rsidRPr="00862963">
        <w:rPr>
          <w:rFonts w:eastAsia="Times New Roman"/>
          <w:lang w:val="sr-Latn-RS"/>
        </w:rPr>
        <w:t>, The World Bank, Washington</w:t>
      </w:r>
    </w:p>
    <w:p w14:paraId="4B2ABB24" w14:textId="77777777" w:rsidR="00E60E08" w:rsidRPr="00DD3C7D" w:rsidRDefault="00E60E08" w:rsidP="00E60E08">
      <w:pPr>
        <w:spacing w:before="100" w:beforeAutospacing="1" w:after="100" w:afterAutospacing="1"/>
        <w:jc w:val="both"/>
        <w:rPr>
          <w:rFonts w:eastAsia="Times New Roman"/>
          <w:lang w:val="sr-Latn-RS"/>
        </w:rPr>
      </w:pPr>
      <w:r w:rsidRPr="00DD3C7D">
        <w:rPr>
          <w:rFonts w:eastAsia="Times New Roman"/>
          <w:lang w:val="sr-Latn-RS"/>
        </w:rPr>
        <w:t>Crépon, B., Duguet, E., &amp; Mairessec, J. (1998). Research, innovation and productivi [Ty: an econometric analysis at the firm level. Economics of Innovation and new Technology, 7(2), 115-158.</w:t>
      </w:r>
    </w:p>
    <w:p w14:paraId="415A22E7" w14:textId="77777777" w:rsidR="00E60E08" w:rsidRDefault="00E60E08" w:rsidP="00E60E08">
      <w:pPr>
        <w:spacing w:before="100" w:beforeAutospacing="1" w:after="100" w:afterAutospacing="1"/>
        <w:jc w:val="both"/>
        <w:rPr>
          <w:rFonts w:eastAsia="Times New Roman"/>
        </w:rPr>
      </w:pPr>
      <w:r w:rsidRPr="004E1D72">
        <w:rPr>
          <w:rFonts w:eastAsia="Times New Roman"/>
        </w:rPr>
        <w:t>Crescenzi, R., Gagliardi, L., &amp; Iammarino, S. (2015). Foreign multinationals and domestic innovation: Intra-industry effects and firm heterogeneity. </w:t>
      </w:r>
      <w:r w:rsidRPr="004E1D72">
        <w:rPr>
          <w:rFonts w:eastAsia="Times New Roman"/>
          <w:i/>
          <w:iCs/>
        </w:rPr>
        <w:t>Research Policy</w:t>
      </w:r>
      <w:r w:rsidRPr="004E1D72">
        <w:rPr>
          <w:rFonts w:eastAsia="Times New Roman"/>
        </w:rPr>
        <w:t>, </w:t>
      </w:r>
      <w:r w:rsidRPr="004E1D72">
        <w:rPr>
          <w:rFonts w:eastAsia="Times New Roman"/>
          <w:i/>
          <w:iCs/>
        </w:rPr>
        <w:t>44</w:t>
      </w:r>
      <w:r w:rsidRPr="004E1D72">
        <w:rPr>
          <w:rFonts w:eastAsia="Times New Roman"/>
        </w:rPr>
        <w:t>(3), 596-609.</w:t>
      </w:r>
    </w:p>
    <w:p w14:paraId="39F9D50E" w14:textId="6686D098" w:rsidR="00E60E08" w:rsidRPr="00133730" w:rsidRDefault="00E60E08" w:rsidP="004E1BE5">
      <w:pPr>
        <w:spacing w:before="100" w:beforeAutospacing="1" w:after="100" w:afterAutospacing="1"/>
        <w:jc w:val="both"/>
        <w:rPr>
          <w:rFonts w:eastAsia="Times New Roman"/>
          <w:lang w:val="sr-Latn-RS"/>
        </w:rPr>
      </w:pPr>
      <w:r w:rsidRPr="008A2FAA">
        <w:rPr>
          <w:rFonts w:eastAsia="Times New Roman"/>
          <w:lang w:val="sr-Latn-RS"/>
        </w:rPr>
        <w:t xml:space="preserve">Cheung, K. Y., &amp; Ping, L. (2004). Spillover effects of FDI on innovation in China: Evidence from the provincial data. </w:t>
      </w:r>
      <w:r w:rsidRPr="009C5EDE">
        <w:rPr>
          <w:rFonts w:eastAsia="Times New Roman"/>
          <w:i/>
          <w:iCs/>
          <w:lang w:val="sr-Latn-RS"/>
        </w:rPr>
        <w:t xml:space="preserve">China </w:t>
      </w:r>
      <w:r w:rsidR="004E1BE5" w:rsidRPr="009C5EDE">
        <w:rPr>
          <w:rFonts w:eastAsia="Times New Roman"/>
          <w:i/>
          <w:iCs/>
          <w:lang w:val="sr-Latn-RS"/>
        </w:rPr>
        <w:t>E</w:t>
      </w:r>
      <w:r w:rsidRPr="009C5EDE">
        <w:rPr>
          <w:rFonts w:eastAsia="Times New Roman"/>
          <w:i/>
          <w:iCs/>
          <w:lang w:val="sr-Latn-RS"/>
        </w:rPr>
        <w:t xml:space="preserve">conomic </w:t>
      </w:r>
      <w:r w:rsidR="004E1BE5" w:rsidRPr="009C5EDE">
        <w:rPr>
          <w:rFonts w:eastAsia="Times New Roman"/>
          <w:i/>
          <w:iCs/>
          <w:lang w:val="sr-Latn-RS"/>
        </w:rPr>
        <w:t>R</w:t>
      </w:r>
      <w:r w:rsidRPr="009C5EDE">
        <w:rPr>
          <w:rFonts w:eastAsia="Times New Roman"/>
          <w:i/>
          <w:iCs/>
          <w:lang w:val="sr-Latn-RS"/>
        </w:rPr>
        <w:t>eview</w:t>
      </w:r>
      <w:r w:rsidRPr="008A2FAA">
        <w:rPr>
          <w:rFonts w:eastAsia="Times New Roman"/>
          <w:lang w:val="sr-Latn-RS"/>
        </w:rPr>
        <w:t>, 15(1), 25-44.</w:t>
      </w:r>
    </w:p>
    <w:p w14:paraId="406F4B75" w14:textId="7991CFA2" w:rsidR="00E60E08" w:rsidRDefault="00E60E08" w:rsidP="004E1BE5">
      <w:pPr>
        <w:spacing w:before="100" w:beforeAutospacing="1" w:after="100" w:afterAutospacing="1"/>
        <w:jc w:val="both"/>
        <w:rPr>
          <w:bCs/>
        </w:rPr>
      </w:pPr>
      <w:r w:rsidRPr="00133730">
        <w:rPr>
          <w:bCs/>
        </w:rPr>
        <w:t xml:space="preserve">Cohen, W. M., &amp; Levinthal, D. A. (1989). Innovation and learning: the two faces of R &amp; D. </w:t>
      </w:r>
      <w:r w:rsidRPr="009C5EDE">
        <w:rPr>
          <w:bCs/>
          <w:i/>
          <w:iCs/>
        </w:rPr>
        <w:t xml:space="preserve">The </w:t>
      </w:r>
      <w:r w:rsidR="004E1BE5" w:rsidRPr="009C5EDE">
        <w:rPr>
          <w:bCs/>
          <w:i/>
          <w:iCs/>
        </w:rPr>
        <w:t>E</w:t>
      </w:r>
      <w:r w:rsidRPr="009C5EDE">
        <w:rPr>
          <w:bCs/>
          <w:i/>
          <w:iCs/>
        </w:rPr>
        <w:t xml:space="preserve">conomic </w:t>
      </w:r>
      <w:r w:rsidR="004E1BE5" w:rsidRPr="009C5EDE">
        <w:rPr>
          <w:bCs/>
          <w:i/>
          <w:iCs/>
        </w:rPr>
        <w:t>J</w:t>
      </w:r>
      <w:r w:rsidRPr="009C5EDE">
        <w:rPr>
          <w:bCs/>
          <w:i/>
          <w:iCs/>
        </w:rPr>
        <w:t>ournal</w:t>
      </w:r>
      <w:r w:rsidRPr="00133730">
        <w:rPr>
          <w:bCs/>
        </w:rPr>
        <w:t>, 99(397), 569-596.</w:t>
      </w:r>
    </w:p>
    <w:p w14:paraId="08AEAB63" w14:textId="5B66FB91" w:rsidR="00E60E08" w:rsidRPr="00133730" w:rsidRDefault="00E60E08" w:rsidP="00E60E08">
      <w:pPr>
        <w:spacing w:before="100" w:beforeAutospacing="1" w:after="100" w:afterAutospacing="1"/>
        <w:jc w:val="both"/>
        <w:rPr>
          <w:bCs/>
          <w:highlight w:val="yellow"/>
          <w:lang w:val="sr-Latn-RS"/>
        </w:rPr>
      </w:pPr>
      <w:r w:rsidRPr="00DD3C7D">
        <w:rPr>
          <w:bCs/>
          <w:lang w:val="sr-Latn-RS"/>
        </w:rPr>
        <w:t xml:space="preserve">Damijan, J. P., Kostevc, Č., &amp; Rojec, M. (2011). Innovation and firms’ productivity growth in Slovenia: Sensitivity of results to sectoral heterogeneity and to estimation method. In </w:t>
      </w:r>
      <w:r w:rsidR="00BA47DF">
        <w:rPr>
          <w:bCs/>
          <w:lang w:val="sr-Latn-RS"/>
        </w:rPr>
        <w:t xml:space="preserve">Nijkamp, P. and Siedschlag, I. (eds.) </w:t>
      </w:r>
      <w:r w:rsidRPr="009C5EDE">
        <w:rPr>
          <w:bCs/>
          <w:i/>
          <w:iCs/>
          <w:lang w:val="sr-Latn-RS"/>
        </w:rPr>
        <w:t>Innovation, Growth and Competitiveness</w:t>
      </w:r>
      <w:r w:rsidRPr="00DD3C7D">
        <w:rPr>
          <w:bCs/>
          <w:lang w:val="sr-Latn-RS"/>
        </w:rPr>
        <w:t xml:space="preserve"> (pp. 165-193). Springer, Berlin, Heidelberg.</w:t>
      </w:r>
    </w:p>
    <w:p w14:paraId="2FF1AD50" w14:textId="40F1D616" w:rsidR="00E60E08" w:rsidRPr="00660763" w:rsidRDefault="00E60E08" w:rsidP="004E1BE5">
      <w:pPr>
        <w:spacing w:before="100" w:beforeAutospacing="1" w:after="100" w:afterAutospacing="1"/>
        <w:jc w:val="both"/>
        <w:rPr>
          <w:bCs/>
          <w:lang w:val="sr-Latn-RS"/>
        </w:rPr>
      </w:pPr>
      <w:r w:rsidRPr="00660763">
        <w:rPr>
          <w:bCs/>
        </w:rPr>
        <w:t>Damijan, J. P., Rojec, M., Majcen, B., &amp; Knell, M. (2013). Impact of firm heterogeneity on direct and spillover effects of FDI: Micro-evidence from ten transition countries. </w:t>
      </w:r>
      <w:r w:rsidRPr="00660763">
        <w:rPr>
          <w:bCs/>
          <w:i/>
          <w:iCs/>
        </w:rPr>
        <w:t xml:space="preserve">Journal of </w:t>
      </w:r>
      <w:r w:rsidR="004E1BE5">
        <w:rPr>
          <w:bCs/>
          <w:i/>
          <w:iCs/>
        </w:rPr>
        <w:t>C</w:t>
      </w:r>
      <w:r w:rsidRPr="00660763">
        <w:rPr>
          <w:bCs/>
          <w:i/>
          <w:iCs/>
        </w:rPr>
        <w:t xml:space="preserve">omparative </w:t>
      </w:r>
      <w:r w:rsidR="004E1BE5">
        <w:rPr>
          <w:bCs/>
          <w:i/>
          <w:iCs/>
        </w:rPr>
        <w:t>E</w:t>
      </w:r>
      <w:r w:rsidRPr="00660763">
        <w:rPr>
          <w:bCs/>
          <w:i/>
          <w:iCs/>
        </w:rPr>
        <w:t>conomics</w:t>
      </w:r>
      <w:r w:rsidRPr="00660763">
        <w:rPr>
          <w:bCs/>
        </w:rPr>
        <w:t>, </w:t>
      </w:r>
      <w:r w:rsidRPr="00660763">
        <w:rPr>
          <w:bCs/>
          <w:i/>
          <w:iCs/>
        </w:rPr>
        <w:t>41</w:t>
      </w:r>
      <w:r w:rsidRPr="00660763">
        <w:rPr>
          <w:bCs/>
        </w:rPr>
        <w:t>(3), 895-922.</w:t>
      </w:r>
    </w:p>
    <w:p w14:paraId="6592A051" w14:textId="77777777" w:rsidR="00E60E08" w:rsidRDefault="00E60E08" w:rsidP="00E60E08">
      <w:pPr>
        <w:spacing w:before="100" w:beforeAutospacing="1" w:after="100" w:afterAutospacing="1"/>
        <w:jc w:val="both"/>
        <w:rPr>
          <w:bCs/>
        </w:rPr>
      </w:pPr>
      <w:r w:rsidRPr="008F78F8">
        <w:rPr>
          <w:bCs/>
        </w:rPr>
        <w:t>Dasgupta, K. (2012). Learning and knowledge diffusion in a global economy. </w:t>
      </w:r>
      <w:r w:rsidRPr="008F78F8">
        <w:rPr>
          <w:bCs/>
          <w:i/>
          <w:iCs/>
        </w:rPr>
        <w:t>Journal of International Economics</w:t>
      </w:r>
      <w:r w:rsidRPr="008F78F8">
        <w:rPr>
          <w:bCs/>
        </w:rPr>
        <w:t>, </w:t>
      </w:r>
      <w:r w:rsidRPr="008F78F8">
        <w:rPr>
          <w:bCs/>
          <w:i/>
          <w:iCs/>
        </w:rPr>
        <w:t>87</w:t>
      </w:r>
      <w:r w:rsidRPr="008F78F8">
        <w:rPr>
          <w:bCs/>
        </w:rPr>
        <w:t>(2), 323-336.</w:t>
      </w:r>
    </w:p>
    <w:p w14:paraId="451D1D7D" w14:textId="6D2DB2B7" w:rsidR="00E60E08" w:rsidRPr="000F57FB" w:rsidRDefault="00E60E08" w:rsidP="004E1BE5">
      <w:pPr>
        <w:spacing w:before="100" w:beforeAutospacing="1" w:after="100" w:afterAutospacing="1"/>
        <w:jc w:val="both"/>
        <w:rPr>
          <w:bCs/>
          <w:lang w:val="sr-Latn-RS"/>
        </w:rPr>
      </w:pPr>
      <w:r w:rsidRPr="000F57FB">
        <w:rPr>
          <w:bCs/>
        </w:rPr>
        <w:t>Du, L., Harrison, A. E., &amp; Jefferson, G. H. (2011). Do Institutions Matter for FDI Spillovers? The Implications of China'</w:t>
      </w:r>
      <w:r w:rsidR="004E1BE5">
        <w:rPr>
          <w:bCs/>
        </w:rPr>
        <w:t xml:space="preserve">s </w:t>
      </w:r>
      <w:r w:rsidRPr="000F57FB">
        <w:rPr>
          <w:bCs/>
        </w:rPr>
        <w:t>" Special Characteristics"</w:t>
      </w:r>
      <w:r w:rsidR="004E1BE5">
        <w:rPr>
          <w:bCs/>
        </w:rPr>
        <w:t xml:space="preserve"> </w:t>
      </w:r>
      <w:r w:rsidRPr="000F57FB">
        <w:rPr>
          <w:bCs/>
        </w:rPr>
        <w:t>(August 1, 2011). World Bank Policy Research Working Paper (5757).</w:t>
      </w:r>
    </w:p>
    <w:p w14:paraId="0CDAF8F1" w14:textId="4DC6FCA5" w:rsidR="0096686E" w:rsidRPr="0096686E" w:rsidRDefault="0096686E" w:rsidP="004E1BE5">
      <w:pPr>
        <w:spacing w:before="100" w:beforeAutospacing="1" w:after="100" w:afterAutospacing="1"/>
        <w:jc w:val="both"/>
        <w:rPr>
          <w:rFonts w:eastAsia="Times New Roman"/>
        </w:rPr>
      </w:pPr>
      <w:r w:rsidRPr="0096686E">
        <w:rPr>
          <w:rFonts w:eastAsia="Times New Roman"/>
        </w:rPr>
        <w:t xml:space="preserve">Eapen, A., Yeo, J. &amp; Sasidharan, S. (2019), Finance constraints and technology spillovers from foreign to domestic firms, </w:t>
      </w:r>
      <w:r w:rsidRPr="009C5EDE">
        <w:rPr>
          <w:rFonts w:eastAsia="Times New Roman"/>
          <w:i/>
          <w:iCs/>
        </w:rPr>
        <w:t>Econ</w:t>
      </w:r>
      <w:r w:rsidR="004E1BE5" w:rsidRPr="009C5EDE">
        <w:rPr>
          <w:rFonts w:eastAsia="Times New Roman"/>
          <w:i/>
          <w:iCs/>
        </w:rPr>
        <w:t>omic</w:t>
      </w:r>
      <w:r w:rsidRPr="009C5EDE">
        <w:rPr>
          <w:rFonts w:eastAsia="Times New Roman"/>
          <w:i/>
          <w:iCs/>
        </w:rPr>
        <w:t xml:space="preserve"> Model</w:t>
      </w:r>
      <w:r w:rsidR="004E1BE5" w:rsidRPr="009C5EDE">
        <w:rPr>
          <w:rFonts w:eastAsia="Times New Roman"/>
          <w:i/>
          <w:iCs/>
        </w:rPr>
        <w:t>ling</w:t>
      </w:r>
      <w:r w:rsidR="004E1BE5">
        <w:rPr>
          <w:rFonts w:eastAsia="Times New Roman"/>
        </w:rPr>
        <w:t>,</w:t>
      </w:r>
      <w:r w:rsidRPr="0096686E">
        <w:rPr>
          <w:rFonts w:eastAsia="Times New Roman"/>
        </w:rPr>
        <w:t xml:space="preserve"> 76, 50–62.</w:t>
      </w:r>
    </w:p>
    <w:p w14:paraId="478CDE89" w14:textId="77777777" w:rsidR="00E60E08" w:rsidRPr="00E60E08" w:rsidRDefault="00E60E08" w:rsidP="00E60E08">
      <w:pPr>
        <w:spacing w:before="100" w:beforeAutospacing="1" w:after="100" w:afterAutospacing="1"/>
        <w:jc w:val="both"/>
        <w:rPr>
          <w:rFonts w:eastAsia="Times New Roman"/>
          <w:lang w:val="sr-Latn-RS"/>
        </w:rPr>
      </w:pPr>
      <w:r w:rsidRPr="00660763">
        <w:rPr>
          <w:rFonts w:eastAsia="Times New Roman"/>
        </w:rPr>
        <w:t xml:space="preserve">Fu, W., Diez, J. R., &amp; Schiller, D. (2013). Interactive learning, informal networks and innovation: Evidence from electronics firm survey in the Pearl River Delta, China. </w:t>
      </w:r>
      <w:r w:rsidRPr="009C5EDE">
        <w:rPr>
          <w:rFonts w:eastAsia="Times New Roman"/>
          <w:i/>
          <w:iCs/>
        </w:rPr>
        <w:t>Research Policy</w:t>
      </w:r>
      <w:r w:rsidRPr="00660763">
        <w:rPr>
          <w:rFonts w:eastAsia="Times New Roman"/>
        </w:rPr>
        <w:t>, 42(3), 635-</w:t>
      </w:r>
      <w:r w:rsidRPr="00E60E08">
        <w:rPr>
          <w:rFonts w:eastAsia="Times New Roman"/>
        </w:rPr>
        <w:t>646.</w:t>
      </w:r>
    </w:p>
    <w:p w14:paraId="02421553" w14:textId="77777777" w:rsidR="00E60E08" w:rsidRPr="00044ED0" w:rsidRDefault="00E60E08" w:rsidP="00E60E08">
      <w:pPr>
        <w:spacing w:before="100" w:beforeAutospacing="1" w:after="100" w:afterAutospacing="1"/>
        <w:jc w:val="both"/>
        <w:rPr>
          <w:rFonts w:eastAsia="Times New Roman"/>
          <w:lang w:val="sr-Latn-RS"/>
        </w:rPr>
      </w:pPr>
      <w:r w:rsidRPr="00E60E08">
        <w:rPr>
          <w:rFonts w:eastAsia="Times New Roman"/>
        </w:rPr>
        <w:t xml:space="preserve">Fujita, M., &amp; Thisse, J. (2002). </w:t>
      </w:r>
      <w:r w:rsidRPr="00E60E08">
        <w:rPr>
          <w:rFonts w:eastAsia="Times New Roman"/>
          <w:i/>
          <w:iCs/>
        </w:rPr>
        <w:t xml:space="preserve">Economics of agglomeration: Cities, industrial location, and regional growth </w:t>
      </w:r>
      <w:r w:rsidRPr="00E60E08">
        <w:rPr>
          <w:rFonts w:eastAsia="Times New Roman"/>
        </w:rPr>
        <w:t>(1. publ. ed.). New York: Cambridge University Press</w:t>
      </w:r>
      <w:r w:rsidRPr="002736E2">
        <w:rPr>
          <w:rFonts w:eastAsia="Times New Roman"/>
        </w:rPr>
        <w:t xml:space="preserve"> </w:t>
      </w:r>
    </w:p>
    <w:p w14:paraId="3C38C5AD" w14:textId="77777777" w:rsidR="00E60E08" w:rsidRDefault="00E60E08" w:rsidP="00E60E08">
      <w:pPr>
        <w:spacing w:before="100" w:beforeAutospacing="1" w:after="100" w:afterAutospacing="1"/>
        <w:jc w:val="both"/>
        <w:rPr>
          <w:rFonts w:eastAsia="Times New Roman"/>
        </w:rPr>
      </w:pPr>
      <w:r w:rsidRPr="00725B01">
        <w:rPr>
          <w:rFonts w:eastAsia="Times New Roman"/>
        </w:rPr>
        <w:t>García, F., Jin, B., &amp; Salomon, R. (2013). Does inward foreign direct investment improve the innovative performance of local firms?. </w:t>
      </w:r>
      <w:r w:rsidRPr="00725B01">
        <w:rPr>
          <w:rFonts w:eastAsia="Times New Roman"/>
          <w:i/>
          <w:iCs/>
        </w:rPr>
        <w:t>Research Policy</w:t>
      </w:r>
      <w:r w:rsidRPr="00725B01">
        <w:rPr>
          <w:rFonts w:eastAsia="Times New Roman"/>
        </w:rPr>
        <w:t>, </w:t>
      </w:r>
      <w:r w:rsidRPr="00725B01">
        <w:rPr>
          <w:rFonts w:eastAsia="Times New Roman"/>
          <w:i/>
          <w:iCs/>
        </w:rPr>
        <w:t>42</w:t>
      </w:r>
      <w:r w:rsidRPr="00725B01">
        <w:rPr>
          <w:rFonts w:eastAsia="Times New Roman"/>
        </w:rPr>
        <w:t>(1), 231-244.</w:t>
      </w:r>
    </w:p>
    <w:p w14:paraId="6904645A" w14:textId="77777777" w:rsidR="00E60E08" w:rsidRPr="00E330B7" w:rsidRDefault="00E60E08" w:rsidP="00E60E08">
      <w:pPr>
        <w:spacing w:before="100" w:beforeAutospacing="1" w:after="100" w:afterAutospacing="1"/>
        <w:jc w:val="both"/>
        <w:rPr>
          <w:rFonts w:eastAsia="Times New Roman"/>
          <w:lang w:val="sr-Latn-RS"/>
        </w:rPr>
      </w:pPr>
      <w:r w:rsidRPr="004B1002">
        <w:rPr>
          <w:rFonts w:eastAsia="Times New Roman"/>
        </w:rPr>
        <w:t xml:space="preserve">Gorodnichenko, Y., Svejnar, J., &amp; Terrell, K. (2014). When does FDI have positive spillovers? Evidence from 17 transition market economies. </w:t>
      </w:r>
      <w:r w:rsidRPr="009C5EDE">
        <w:rPr>
          <w:rFonts w:eastAsia="Times New Roman"/>
          <w:i/>
          <w:iCs/>
        </w:rPr>
        <w:t>Journal of Comparative Economics</w:t>
      </w:r>
      <w:r w:rsidRPr="004B1002">
        <w:rPr>
          <w:rFonts w:eastAsia="Times New Roman"/>
        </w:rPr>
        <w:t>, 42(4), 954-969.</w:t>
      </w:r>
      <w:r w:rsidRPr="00E330B7">
        <w:rPr>
          <w:rFonts w:eastAsia="Times New Roman"/>
        </w:rPr>
        <w:t xml:space="preserve"> </w:t>
      </w:r>
    </w:p>
    <w:p w14:paraId="688AADC1" w14:textId="77777777" w:rsidR="00E60E08" w:rsidRDefault="00E60E08" w:rsidP="00E60E08">
      <w:pPr>
        <w:jc w:val="both"/>
        <w:rPr>
          <w:rFonts w:ascii="Times New Roman" w:eastAsia="Times New Roman" w:hAnsi="Times New Roman"/>
        </w:rPr>
      </w:pPr>
      <w:r w:rsidRPr="00AF106B">
        <w:rPr>
          <w:rFonts w:ascii="Times New Roman" w:eastAsia="Times New Roman" w:hAnsi="Times New Roman"/>
        </w:rPr>
        <w:t>Greenaway, D., Sousa, N., &amp; Wakelin, K. (2004). Do domestic firms learn to export from multinationals?. </w:t>
      </w:r>
      <w:r w:rsidRPr="00AF106B">
        <w:rPr>
          <w:rFonts w:ascii="Times New Roman" w:eastAsia="Times New Roman" w:hAnsi="Times New Roman"/>
          <w:i/>
          <w:iCs/>
        </w:rPr>
        <w:t>European Journal of Political Economy</w:t>
      </w:r>
      <w:r w:rsidRPr="00AF106B">
        <w:rPr>
          <w:rFonts w:ascii="Times New Roman" w:eastAsia="Times New Roman" w:hAnsi="Times New Roman"/>
        </w:rPr>
        <w:t>, </w:t>
      </w:r>
      <w:r w:rsidRPr="00AF106B">
        <w:rPr>
          <w:rFonts w:ascii="Times New Roman" w:eastAsia="Times New Roman" w:hAnsi="Times New Roman"/>
          <w:i/>
          <w:iCs/>
        </w:rPr>
        <w:t>20</w:t>
      </w:r>
      <w:r w:rsidRPr="00AF106B">
        <w:rPr>
          <w:rFonts w:ascii="Times New Roman" w:eastAsia="Times New Roman" w:hAnsi="Times New Roman"/>
        </w:rPr>
        <w:t>(4), 1027-1043.</w:t>
      </w:r>
    </w:p>
    <w:p w14:paraId="2B38B5E2" w14:textId="6783F0D5" w:rsidR="00E60E08" w:rsidRPr="00E330B7" w:rsidRDefault="00E60E08" w:rsidP="004E1BE5">
      <w:pPr>
        <w:spacing w:before="100" w:beforeAutospacing="1" w:after="100" w:afterAutospacing="1"/>
        <w:jc w:val="both"/>
        <w:rPr>
          <w:rFonts w:eastAsia="Times New Roman"/>
        </w:rPr>
      </w:pPr>
      <w:r w:rsidRPr="00E330B7">
        <w:rPr>
          <w:rFonts w:eastAsia="Times New Roman"/>
        </w:rPr>
        <w:t xml:space="preserve">Griffith, R., Huergo, E., Mairesse, J., &amp; Peters, B. (2006). Innovation and productivity across four European countries. </w:t>
      </w:r>
      <w:r w:rsidRPr="009C5EDE">
        <w:rPr>
          <w:rFonts w:eastAsia="Times New Roman"/>
          <w:i/>
          <w:iCs/>
        </w:rPr>
        <w:t xml:space="preserve">Oxford </w:t>
      </w:r>
      <w:r w:rsidR="004E1BE5" w:rsidRPr="009C5EDE">
        <w:rPr>
          <w:rFonts w:eastAsia="Times New Roman"/>
          <w:i/>
          <w:iCs/>
        </w:rPr>
        <w:t>R</w:t>
      </w:r>
      <w:r w:rsidRPr="009C5EDE">
        <w:rPr>
          <w:rFonts w:eastAsia="Times New Roman"/>
          <w:i/>
          <w:iCs/>
        </w:rPr>
        <w:t xml:space="preserve">eview of </w:t>
      </w:r>
      <w:r w:rsidR="004E1BE5" w:rsidRPr="009C5EDE">
        <w:rPr>
          <w:rFonts w:eastAsia="Times New Roman"/>
          <w:i/>
          <w:iCs/>
        </w:rPr>
        <w:t>E</w:t>
      </w:r>
      <w:r w:rsidRPr="009C5EDE">
        <w:rPr>
          <w:rFonts w:eastAsia="Times New Roman"/>
          <w:i/>
          <w:iCs/>
        </w:rPr>
        <w:t xml:space="preserve">conomic </w:t>
      </w:r>
      <w:r w:rsidR="004E1BE5" w:rsidRPr="009C5EDE">
        <w:rPr>
          <w:rFonts w:eastAsia="Times New Roman"/>
          <w:i/>
          <w:iCs/>
        </w:rPr>
        <w:t>P</w:t>
      </w:r>
      <w:r w:rsidRPr="009C5EDE">
        <w:rPr>
          <w:rFonts w:eastAsia="Times New Roman"/>
          <w:i/>
          <w:iCs/>
        </w:rPr>
        <w:t>olicy</w:t>
      </w:r>
      <w:r w:rsidRPr="00E330B7">
        <w:rPr>
          <w:rFonts w:eastAsia="Times New Roman"/>
        </w:rPr>
        <w:t>, 22(4), 483-498.</w:t>
      </w:r>
    </w:p>
    <w:p w14:paraId="39A660BD" w14:textId="77777777" w:rsidR="00E60E08" w:rsidRDefault="00E60E08" w:rsidP="00E60E08">
      <w:pPr>
        <w:jc w:val="both"/>
        <w:rPr>
          <w:rFonts w:ascii="Times New Roman" w:eastAsia="Times New Roman" w:hAnsi="Times New Roman"/>
          <w:lang w:val="sr-Latn-RS"/>
        </w:rPr>
      </w:pPr>
    </w:p>
    <w:p w14:paraId="3EDA10FF" w14:textId="490B1199" w:rsidR="00E60E08" w:rsidRDefault="00E60E08" w:rsidP="004E1BE5">
      <w:pPr>
        <w:jc w:val="both"/>
        <w:rPr>
          <w:rFonts w:ascii="Times New Roman" w:eastAsia="Times New Roman" w:hAnsi="Times New Roman"/>
          <w:lang w:val="sr-Latn-RS"/>
        </w:rPr>
      </w:pPr>
      <w:r w:rsidRPr="00D05256">
        <w:rPr>
          <w:rFonts w:ascii="Times New Roman" w:eastAsia="Times New Roman" w:hAnsi="Times New Roman"/>
          <w:lang w:val="sr-Latn-RS"/>
        </w:rPr>
        <w:t xml:space="preserve">Griliches, Z. (1979). Issues in assessing the contribution of research and development to productivity growth. </w:t>
      </w:r>
      <w:r w:rsidRPr="009C5EDE">
        <w:rPr>
          <w:rFonts w:ascii="Times New Roman" w:eastAsia="Times New Roman" w:hAnsi="Times New Roman"/>
          <w:i/>
          <w:iCs/>
          <w:lang w:val="sr-Latn-RS"/>
        </w:rPr>
        <w:t xml:space="preserve">The </w:t>
      </w:r>
      <w:r w:rsidR="004E1BE5" w:rsidRPr="009C5EDE">
        <w:rPr>
          <w:rFonts w:ascii="Times New Roman" w:eastAsia="Times New Roman" w:hAnsi="Times New Roman"/>
          <w:i/>
          <w:iCs/>
          <w:lang w:val="sr-Latn-RS"/>
        </w:rPr>
        <w:t>B</w:t>
      </w:r>
      <w:r w:rsidRPr="009C5EDE">
        <w:rPr>
          <w:rFonts w:ascii="Times New Roman" w:eastAsia="Times New Roman" w:hAnsi="Times New Roman"/>
          <w:i/>
          <w:iCs/>
          <w:lang w:val="sr-Latn-RS"/>
        </w:rPr>
        <w:t xml:space="preserve">ell </w:t>
      </w:r>
      <w:r w:rsidR="004E1BE5" w:rsidRPr="009C5EDE">
        <w:rPr>
          <w:rFonts w:ascii="Times New Roman" w:eastAsia="Times New Roman" w:hAnsi="Times New Roman"/>
          <w:i/>
          <w:iCs/>
          <w:lang w:val="sr-Latn-RS"/>
        </w:rPr>
        <w:t>J</w:t>
      </w:r>
      <w:r w:rsidRPr="009C5EDE">
        <w:rPr>
          <w:rFonts w:ascii="Times New Roman" w:eastAsia="Times New Roman" w:hAnsi="Times New Roman"/>
          <w:i/>
          <w:iCs/>
          <w:lang w:val="sr-Latn-RS"/>
        </w:rPr>
        <w:t xml:space="preserve">ournal of </w:t>
      </w:r>
      <w:r w:rsidR="004E1BE5" w:rsidRPr="009C5EDE">
        <w:rPr>
          <w:rFonts w:ascii="Times New Roman" w:eastAsia="Times New Roman" w:hAnsi="Times New Roman"/>
          <w:i/>
          <w:iCs/>
          <w:lang w:val="sr-Latn-RS"/>
        </w:rPr>
        <w:t>E</w:t>
      </w:r>
      <w:r w:rsidRPr="009C5EDE">
        <w:rPr>
          <w:rFonts w:ascii="Times New Roman" w:eastAsia="Times New Roman" w:hAnsi="Times New Roman"/>
          <w:i/>
          <w:iCs/>
          <w:lang w:val="sr-Latn-RS"/>
        </w:rPr>
        <w:t>conomics</w:t>
      </w:r>
      <w:r w:rsidRPr="00D05256">
        <w:rPr>
          <w:rFonts w:ascii="Times New Roman" w:eastAsia="Times New Roman" w:hAnsi="Times New Roman"/>
          <w:lang w:val="sr-Latn-RS"/>
        </w:rPr>
        <w:t>, 92-116.</w:t>
      </w:r>
    </w:p>
    <w:p w14:paraId="4ECAD469" w14:textId="77777777" w:rsidR="00E60E08" w:rsidRDefault="00E60E08" w:rsidP="00E60E08">
      <w:pPr>
        <w:jc w:val="both"/>
        <w:rPr>
          <w:rFonts w:ascii="Times New Roman" w:eastAsia="Times New Roman" w:hAnsi="Times New Roman"/>
          <w:lang w:val="sr-Latn-RS"/>
        </w:rPr>
      </w:pPr>
    </w:p>
    <w:p w14:paraId="5643AED0" w14:textId="3F9959CE" w:rsidR="00E60E08" w:rsidRPr="004B1002" w:rsidRDefault="00E60E08" w:rsidP="004E1BE5">
      <w:pPr>
        <w:jc w:val="both"/>
        <w:rPr>
          <w:rFonts w:ascii="Times New Roman" w:eastAsia="Times New Roman" w:hAnsi="Times New Roman"/>
          <w:lang w:val="sr-Latn-RS"/>
        </w:rPr>
      </w:pPr>
      <w:r w:rsidRPr="00BD1D4A">
        <w:rPr>
          <w:rFonts w:ascii="Times New Roman" w:eastAsia="Times New Roman" w:hAnsi="Times New Roman"/>
          <w:lang w:val="sr-Latn-RS"/>
        </w:rPr>
        <w:t xml:space="preserve">Halpern, L., &amp; Muraközy, B. (2007). Does distance matter in spillover? </w:t>
      </w:r>
      <w:r w:rsidRPr="009C5EDE">
        <w:rPr>
          <w:rFonts w:ascii="Times New Roman" w:eastAsia="Times New Roman" w:hAnsi="Times New Roman"/>
          <w:i/>
          <w:iCs/>
          <w:lang w:val="sr-Latn-RS"/>
        </w:rPr>
        <w:t>Economics of Transition</w:t>
      </w:r>
      <w:r w:rsidRPr="00BD1D4A">
        <w:rPr>
          <w:rFonts w:ascii="Times New Roman" w:eastAsia="Times New Roman" w:hAnsi="Times New Roman"/>
          <w:lang w:val="sr-Latn-RS"/>
        </w:rPr>
        <w:t>, 15(4), 781-805.</w:t>
      </w:r>
    </w:p>
    <w:p w14:paraId="7D964643" w14:textId="77777777" w:rsidR="00E60E08" w:rsidRDefault="00E60E08" w:rsidP="00E60E08">
      <w:pPr>
        <w:spacing w:before="100" w:beforeAutospacing="1" w:after="100" w:afterAutospacing="1"/>
        <w:jc w:val="both"/>
        <w:rPr>
          <w:rFonts w:eastAsia="Times New Roman"/>
        </w:rPr>
      </w:pPr>
      <w:r w:rsidRPr="00044ED0">
        <w:rPr>
          <w:rFonts w:eastAsia="Times New Roman"/>
        </w:rPr>
        <w:t>Hamida, L. B. (2013). Are there regional spillovers from FDI in the Swiss manufacturing industry?. </w:t>
      </w:r>
      <w:r w:rsidRPr="00044ED0">
        <w:rPr>
          <w:rFonts w:eastAsia="Times New Roman"/>
          <w:i/>
          <w:iCs/>
        </w:rPr>
        <w:t>International Business Review</w:t>
      </w:r>
      <w:r w:rsidRPr="00044ED0">
        <w:rPr>
          <w:rFonts w:eastAsia="Times New Roman"/>
        </w:rPr>
        <w:t>, </w:t>
      </w:r>
      <w:r w:rsidRPr="00044ED0">
        <w:rPr>
          <w:rFonts w:eastAsia="Times New Roman"/>
          <w:i/>
          <w:iCs/>
        </w:rPr>
        <w:t>22</w:t>
      </w:r>
      <w:r w:rsidRPr="00044ED0">
        <w:rPr>
          <w:rFonts w:eastAsia="Times New Roman"/>
        </w:rPr>
        <w:t>(4), 754-769.</w:t>
      </w:r>
    </w:p>
    <w:p w14:paraId="09127D57" w14:textId="77777777" w:rsidR="00E60E08" w:rsidRPr="009C2827" w:rsidRDefault="00E60E08" w:rsidP="00E60E08">
      <w:pPr>
        <w:spacing w:before="100" w:beforeAutospacing="1" w:after="100" w:afterAutospacing="1"/>
        <w:jc w:val="both"/>
        <w:rPr>
          <w:rFonts w:eastAsia="Times New Roman"/>
          <w:lang w:val="sr-Latn-RS"/>
        </w:rPr>
      </w:pPr>
      <w:r w:rsidRPr="009C2827">
        <w:rPr>
          <w:rFonts w:eastAsia="Times New Roman"/>
        </w:rPr>
        <w:t xml:space="preserve">Hashi, I., &amp; Stojčić, N. (2013). The impact of innovation activities on firm performance using a multi-stage model: Evidence from the community innovation survey 4. </w:t>
      </w:r>
      <w:r w:rsidRPr="009C2827">
        <w:rPr>
          <w:rFonts w:eastAsia="Times New Roman"/>
          <w:i/>
          <w:iCs/>
        </w:rPr>
        <w:t>Research Policy, 42</w:t>
      </w:r>
      <w:r w:rsidRPr="009C2827">
        <w:rPr>
          <w:rFonts w:eastAsia="Times New Roman"/>
        </w:rPr>
        <w:t xml:space="preserve">(2), 353-366. </w:t>
      </w:r>
    </w:p>
    <w:p w14:paraId="255F35F8" w14:textId="16A452C2" w:rsidR="00E60E08" w:rsidRPr="00CB5058" w:rsidRDefault="00E60E08" w:rsidP="004E1BE5">
      <w:pPr>
        <w:spacing w:before="100" w:beforeAutospacing="1" w:after="100" w:afterAutospacing="1"/>
        <w:jc w:val="both"/>
        <w:rPr>
          <w:rFonts w:eastAsia="Times New Roman"/>
          <w:lang w:val="sr-Latn-RS"/>
        </w:rPr>
      </w:pPr>
      <w:r w:rsidRPr="00AF106B">
        <w:rPr>
          <w:rFonts w:eastAsia="Times New Roman"/>
        </w:rPr>
        <w:t>Haskel, J. E., Pereira, S. C., &amp; Slaughter, M. J. (2007). Does inward foreign direct investment boost the productivity of domestic firms?. </w:t>
      </w:r>
      <w:r w:rsidRPr="00AF106B">
        <w:rPr>
          <w:rFonts w:eastAsia="Times New Roman"/>
          <w:i/>
          <w:iCs/>
        </w:rPr>
        <w:t xml:space="preserve">The </w:t>
      </w:r>
      <w:r w:rsidR="004E1BE5">
        <w:rPr>
          <w:rFonts w:eastAsia="Times New Roman"/>
          <w:i/>
          <w:iCs/>
        </w:rPr>
        <w:t>R</w:t>
      </w:r>
      <w:r w:rsidRPr="00AF106B">
        <w:rPr>
          <w:rFonts w:eastAsia="Times New Roman"/>
          <w:i/>
          <w:iCs/>
        </w:rPr>
        <w:t xml:space="preserve">eview of </w:t>
      </w:r>
      <w:r w:rsidR="004E1BE5">
        <w:rPr>
          <w:rFonts w:eastAsia="Times New Roman"/>
          <w:i/>
          <w:iCs/>
        </w:rPr>
        <w:t>E</w:t>
      </w:r>
      <w:r w:rsidRPr="00AF106B">
        <w:rPr>
          <w:rFonts w:eastAsia="Times New Roman"/>
          <w:i/>
          <w:iCs/>
        </w:rPr>
        <w:t xml:space="preserve">conomics and </w:t>
      </w:r>
      <w:r w:rsidR="004E1BE5">
        <w:rPr>
          <w:rFonts w:eastAsia="Times New Roman"/>
          <w:i/>
          <w:iCs/>
        </w:rPr>
        <w:t>S</w:t>
      </w:r>
      <w:r w:rsidRPr="00AF106B">
        <w:rPr>
          <w:rFonts w:eastAsia="Times New Roman"/>
          <w:i/>
          <w:iCs/>
        </w:rPr>
        <w:t>tatistics</w:t>
      </w:r>
      <w:r w:rsidRPr="00AF106B">
        <w:rPr>
          <w:rFonts w:eastAsia="Times New Roman"/>
        </w:rPr>
        <w:t>, </w:t>
      </w:r>
      <w:r w:rsidRPr="00AF106B">
        <w:rPr>
          <w:rFonts w:eastAsia="Times New Roman"/>
          <w:i/>
          <w:iCs/>
        </w:rPr>
        <w:t>89</w:t>
      </w:r>
      <w:r w:rsidRPr="00AF106B">
        <w:rPr>
          <w:rFonts w:eastAsia="Times New Roman"/>
        </w:rPr>
        <w:t>(3), 482-496.</w:t>
      </w:r>
    </w:p>
    <w:p w14:paraId="50A629E2" w14:textId="77777777" w:rsidR="00E60E08" w:rsidRDefault="00E60E08" w:rsidP="00E60E08">
      <w:pPr>
        <w:spacing w:before="100" w:beforeAutospacing="1" w:after="100" w:afterAutospacing="1"/>
        <w:jc w:val="both"/>
        <w:rPr>
          <w:rFonts w:eastAsia="Times New Roman"/>
        </w:rPr>
      </w:pPr>
      <w:r w:rsidRPr="00DB348C">
        <w:rPr>
          <w:rFonts w:eastAsia="Times New Roman"/>
        </w:rPr>
        <w:t>Iammarino, S., Piva, M., Vivarelli, M., &amp; Von Tunzelmann, N. (2012). Technological capabilities and patterns of innovative cooperation of firms in the UK regions. </w:t>
      </w:r>
      <w:r w:rsidRPr="00DB348C">
        <w:rPr>
          <w:rFonts w:eastAsia="Times New Roman"/>
          <w:i/>
          <w:iCs/>
        </w:rPr>
        <w:t>Regional Studies</w:t>
      </w:r>
      <w:r w:rsidRPr="00DB348C">
        <w:rPr>
          <w:rFonts w:eastAsia="Times New Roman"/>
        </w:rPr>
        <w:t>, </w:t>
      </w:r>
      <w:r w:rsidRPr="00DB348C">
        <w:rPr>
          <w:rFonts w:eastAsia="Times New Roman"/>
          <w:i/>
          <w:iCs/>
        </w:rPr>
        <w:t>46</w:t>
      </w:r>
      <w:r w:rsidRPr="00DB348C">
        <w:rPr>
          <w:rFonts w:eastAsia="Times New Roman"/>
        </w:rPr>
        <w:t>(10), 1283-1301.</w:t>
      </w:r>
    </w:p>
    <w:p w14:paraId="11A1A530" w14:textId="77777777" w:rsidR="00E60E08" w:rsidRPr="0004014D" w:rsidRDefault="00E60E08" w:rsidP="00E60E08">
      <w:pPr>
        <w:spacing w:before="100" w:beforeAutospacing="1" w:after="100" w:afterAutospacing="1"/>
        <w:jc w:val="both"/>
        <w:rPr>
          <w:rFonts w:eastAsia="Times New Roman"/>
          <w:lang w:val="sr-Latn-RS"/>
        </w:rPr>
      </w:pPr>
      <w:r w:rsidRPr="00986D91">
        <w:rPr>
          <w:rFonts w:eastAsia="Times New Roman"/>
        </w:rPr>
        <w:t xml:space="preserve">Ito, B., Yashiro, N., Xu, Z., Chen, X., &amp; Wakasugi, R. (2012). How do Chinese industries benefit from FDI spillovers?. </w:t>
      </w:r>
      <w:r w:rsidRPr="009C5EDE">
        <w:rPr>
          <w:rFonts w:eastAsia="Times New Roman"/>
          <w:i/>
          <w:iCs/>
        </w:rPr>
        <w:t>China Economic Review</w:t>
      </w:r>
      <w:r w:rsidRPr="00986D91">
        <w:rPr>
          <w:rFonts w:eastAsia="Times New Roman"/>
        </w:rPr>
        <w:t>, 23(2), 342-356.</w:t>
      </w:r>
    </w:p>
    <w:p w14:paraId="014ACD00" w14:textId="104F0D01" w:rsidR="00E60E08" w:rsidRDefault="00E60E08" w:rsidP="00BD30CE">
      <w:pPr>
        <w:jc w:val="both"/>
        <w:rPr>
          <w:rFonts w:eastAsia="Times New Roman"/>
        </w:rPr>
      </w:pPr>
      <w:r w:rsidRPr="00023BF3">
        <w:rPr>
          <w:rFonts w:eastAsia="Times New Roman"/>
        </w:rPr>
        <w:t>Javorcik, B. Smarzynska (2004). Does foreign direct investment increase the productivity of domestic firms? In search of spillovers through backward linkages. </w:t>
      </w:r>
      <w:r w:rsidRPr="009C5EDE">
        <w:rPr>
          <w:rFonts w:eastAsia="Times New Roman"/>
          <w:i/>
          <w:iCs/>
        </w:rPr>
        <w:t xml:space="preserve">American </w:t>
      </w:r>
      <w:r w:rsidR="00BD30CE" w:rsidRPr="009C5EDE">
        <w:rPr>
          <w:rFonts w:eastAsia="Times New Roman"/>
          <w:i/>
          <w:iCs/>
        </w:rPr>
        <w:t>E</w:t>
      </w:r>
      <w:r w:rsidRPr="009C5EDE">
        <w:rPr>
          <w:rFonts w:eastAsia="Times New Roman"/>
          <w:i/>
          <w:iCs/>
        </w:rPr>
        <w:t xml:space="preserve">conomic </w:t>
      </w:r>
      <w:r w:rsidR="00BD30CE" w:rsidRPr="009C5EDE">
        <w:rPr>
          <w:rFonts w:eastAsia="Times New Roman"/>
          <w:i/>
          <w:iCs/>
        </w:rPr>
        <w:t>R</w:t>
      </w:r>
      <w:r w:rsidRPr="009C5EDE">
        <w:rPr>
          <w:rFonts w:eastAsia="Times New Roman"/>
          <w:i/>
          <w:iCs/>
        </w:rPr>
        <w:t>eview</w:t>
      </w:r>
      <w:r w:rsidRPr="00023BF3">
        <w:rPr>
          <w:rFonts w:eastAsia="Times New Roman"/>
        </w:rPr>
        <w:t>, 94(3), 605-627.</w:t>
      </w:r>
    </w:p>
    <w:p w14:paraId="2DA73312" w14:textId="77777777" w:rsidR="00E60E08" w:rsidRPr="00BD1D4A" w:rsidRDefault="00E60E08" w:rsidP="00E60E08">
      <w:pPr>
        <w:jc w:val="both"/>
        <w:rPr>
          <w:rFonts w:eastAsia="Times New Roman"/>
          <w:lang w:val="sr-Latn-RS"/>
        </w:rPr>
      </w:pPr>
    </w:p>
    <w:p w14:paraId="025F0A9E" w14:textId="77777777" w:rsidR="0032655A" w:rsidRDefault="00E60E08" w:rsidP="0032655A">
      <w:pPr>
        <w:jc w:val="both"/>
        <w:rPr>
          <w:rFonts w:eastAsia="Times New Roman"/>
        </w:rPr>
      </w:pPr>
      <w:r w:rsidRPr="004B1002">
        <w:rPr>
          <w:rFonts w:eastAsia="Times New Roman"/>
        </w:rPr>
        <w:t xml:space="preserve">Javorcik, B. S., &amp; Spatareanu, M. (2011). Does it matter where you come from? Vertical spillovers from foreign direct investment and the origin of investors. </w:t>
      </w:r>
      <w:r w:rsidRPr="009C5EDE">
        <w:rPr>
          <w:rFonts w:eastAsia="Times New Roman"/>
          <w:i/>
          <w:iCs/>
        </w:rPr>
        <w:t>Journal of Development Economics</w:t>
      </w:r>
      <w:r w:rsidRPr="004B1002">
        <w:rPr>
          <w:rFonts w:eastAsia="Times New Roman"/>
        </w:rPr>
        <w:t>, 96(1), 126-138.</w:t>
      </w:r>
    </w:p>
    <w:p w14:paraId="1326FC8C" w14:textId="77777777" w:rsidR="0032655A" w:rsidRDefault="0032655A" w:rsidP="0032655A">
      <w:pPr>
        <w:jc w:val="both"/>
        <w:rPr>
          <w:rFonts w:eastAsia="Times New Roman"/>
        </w:rPr>
      </w:pPr>
    </w:p>
    <w:p w14:paraId="59B337FA" w14:textId="77777777" w:rsidR="00E60E08" w:rsidRPr="00660763" w:rsidRDefault="00E60E08" w:rsidP="00E60E08">
      <w:pPr>
        <w:spacing w:before="100" w:beforeAutospacing="1" w:after="100" w:afterAutospacing="1"/>
        <w:jc w:val="both"/>
        <w:rPr>
          <w:rFonts w:eastAsia="Times New Roman"/>
          <w:lang w:val="sr-Latn-RS"/>
        </w:rPr>
      </w:pPr>
      <w:r w:rsidRPr="00044ED0">
        <w:rPr>
          <w:rFonts w:eastAsia="Times New Roman"/>
        </w:rPr>
        <w:t>Kokko, A., &amp; Kravtsova, V. (2012). Regional characteristics and effects of inward FDI: the case of Ukraine. </w:t>
      </w:r>
      <w:r w:rsidRPr="00044ED0">
        <w:rPr>
          <w:rFonts w:eastAsia="Times New Roman"/>
          <w:i/>
          <w:iCs/>
        </w:rPr>
        <w:t>Organizations and Markets in Emerging Economies</w:t>
      </w:r>
      <w:r w:rsidRPr="00044ED0">
        <w:rPr>
          <w:rFonts w:eastAsia="Times New Roman"/>
        </w:rPr>
        <w:t>, </w:t>
      </w:r>
      <w:r w:rsidRPr="00044ED0">
        <w:rPr>
          <w:rFonts w:eastAsia="Times New Roman"/>
          <w:i/>
          <w:iCs/>
        </w:rPr>
        <w:t>3</w:t>
      </w:r>
      <w:r w:rsidRPr="00044ED0">
        <w:rPr>
          <w:rFonts w:eastAsia="Times New Roman"/>
        </w:rPr>
        <w:t>(2), 91-118.</w:t>
      </w:r>
    </w:p>
    <w:p w14:paraId="4B7751FE" w14:textId="77777777" w:rsidR="00E60E08" w:rsidRDefault="00E60E08" w:rsidP="00E60E08">
      <w:pPr>
        <w:spacing w:before="100" w:beforeAutospacing="1" w:after="100" w:afterAutospacing="1"/>
        <w:jc w:val="both"/>
        <w:rPr>
          <w:rFonts w:eastAsia="Times New Roman"/>
        </w:rPr>
      </w:pPr>
      <w:r w:rsidRPr="00A9357D">
        <w:rPr>
          <w:rFonts w:eastAsia="Times New Roman"/>
        </w:rPr>
        <w:t xml:space="preserve">Kravtsova, V., and S. Radosevic. (2012) “Are systems of innovation in Eastern Europe efficient?” </w:t>
      </w:r>
      <w:r w:rsidRPr="00A9357D">
        <w:rPr>
          <w:rFonts w:eastAsia="Times New Roman"/>
          <w:i/>
          <w:iCs/>
        </w:rPr>
        <w:t>Economic Systems</w:t>
      </w:r>
      <w:r w:rsidR="00BD30CE">
        <w:rPr>
          <w:rFonts w:eastAsia="Times New Roman"/>
          <w:i/>
          <w:iCs/>
        </w:rPr>
        <w:t>,</w:t>
      </w:r>
      <w:r w:rsidRPr="00A9357D">
        <w:rPr>
          <w:rFonts w:eastAsia="Times New Roman"/>
          <w:i/>
          <w:iCs/>
        </w:rPr>
        <w:t xml:space="preserve"> </w:t>
      </w:r>
      <w:r w:rsidRPr="00A9357D">
        <w:rPr>
          <w:rFonts w:eastAsia="Times New Roman"/>
        </w:rPr>
        <w:t xml:space="preserve">36:1: 109−126. </w:t>
      </w:r>
    </w:p>
    <w:p w14:paraId="3B91491A" w14:textId="77777777" w:rsidR="0096778B" w:rsidRDefault="0096778B" w:rsidP="00E60E08">
      <w:pPr>
        <w:spacing w:before="100" w:beforeAutospacing="1" w:after="100" w:afterAutospacing="1"/>
        <w:jc w:val="both"/>
        <w:rPr>
          <w:rFonts w:eastAsia="Times New Roman"/>
        </w:rPr>
      </w:pPr>
      <w:r w:rsidRPr="0096778B">
        <w:rPr>
          <w:rFonts w:eastAsia="Times New Roman"/>
        </w:rPr>
        <w:t xml:space="preserve">Kumaraswamy, A., Mudambi, R., Saranga, H. and Tripathy, A. (2012). Catch-up Strategies in the Indian Auto Components Industry: Domestic Firms' Responses to Market Liberalization. </w:t>
      </w:r>
      <w:r w:rsidRPr="009C5EDE">
        <w:rPr>
          <w:rFonts w:eastAsia="Times New Roman"/>
          <w:i/>
          <w:iCs/>
        </w:rPr>
        <w:t>Journal of International Business Studies</w:t>
      </w:r>
      <w:r w:rsidRPr="0096778B">
        <w:rPr>
          <w:rFonts w:eastAsia="Times New Roman"/>
        </w:rPr>
        <w:t>, 43, 368-395.</w:t>
      </w:r>
    </w:p>
    <w:p w14:paraId="4FAE3D64" w14:textId="77777777" w:rsidR="00E60E08" w:rsidRDefault="00E60E08" w:rsidP="00E60E08">
      <w:pPr>
        <w:spacing w:before="100" w:beforeAutospacing="1" w:after="100" w:afterAutospacing="1"/>
        <w:jc w:val="both"/>
        <w:rPr>
          <w:rFonts w:eastAsia="Times New Roman"/>
        </w:rPr>
      </w:pPr>
      <w:r w:rsidRPr="00963E71">
        <w:rPr>
          <w:rFonts w:eastAsia="Times New Roman"/>
        </w:rPr>
        <w:t xml:space="preserve">Lööf, H., &amp; Heshmati, A. (2002). Knowledge capital and performance heterogeneity: A firm-level innovation study. </w:t>
      </w:r>
      <w:r w:rsidRPr="009C5EDE">
        <w:rPr>
          <w:rFonts w:eastAsia="Times New Roman"/>
          <w:i/>
          <w:iCs/>
        </w:rPr>
        <w:t>International Journal of Production Economics</w:t>
      </w:r>
      <w:r w:rsidRPr="00963E71">
        <w:rPr>
          <w:rFonts w:eastAsia="Times New Roman"/>
        </w:rPr>
        <w:t>, 76(1), 61-85.</w:t>
      </w:r>
    </w:p>
    <w:p w14:paraId="6A760216" w14:textId="77777777" w:rsidR="00E60E08" w:rsidRPr="00A517D0" w:rsidRDefault="00E60E08" w:rsidP="00E60E08">
      <w:pPr>
        <w:spacing w:before="100" w:beforeAutospacing="1" w:after="100" w:afterAutospacing="1"/>
        <w:jc w:val="both"/>
        <w:rPr>
          <w:rFonts w:eastAsia="Times New Roman"/>
          <w:lang w:val="sr-Latn-RS"/>
        </w:rPr>
      </w:pPr>
      <w:r w:rsidRPr="00A517D0">
        <w:rPr>
          <w:rFonts w:eastAsia="Times New Roman"/>
        </w:rPr>
        <w:t xml:space="preserve">Lööf, H., &amp; Heshmati, A. (2006). On the relationship between innovation and performance: A sensitivity analysis. </w:t>
      </w:r>
      <w:r w:rsidRPr="009C5EDE">
        <w:rPr>
          <w:rFonts w:eastAsia="Times New Roman"/>
          <w:i/>
          <w:iCs/>
        </w:rPr>
        <w:t>Economics of Innovation and New Technology</w:t>
      </w:r>
      <w:r w:rsidRPr="00A517D0">
        <w:rPr>
          <w:rFonts w:eastAsia="Times New Roman"/>
        </w:rPr>
        <w:t>, 15(4-5), 317-344.</w:t>
      </w:r>
    </w:p>
    <w:p w14:paraId="4C3B0140" w14:textId="77777777" w:rsidR="00E60E08" w:rsidRPr="00BB6980" w:rsidRDefault="00E60E08" w:rsidP="00E60E08">
      <w:pPr>
        <w:spacing w:before="100" w:beforeAutospacing="1" w:after="100" w:afterAutospacing="1"/>
        <w:jc w:val="both"/>
        <w:rPr>
          <w:rFonts w:eastAsia="Times New Roman"/>
          <w:lang w:val="sr-Latn-RS"/>
        </w:rPr>
      </w:pPr>
      <w:r w:rsidRPr="00023BF3">
        <w:rPr>
          <w:rFonts w:eastAsia="Times New Roman"/>
        </w:rPr>
        <w:t>Lu, Y., Tao, Z., &amp; Zhu, L. (2017). Identifying FDI spillovers. </w:t>
      </w:r>
      <w:r w:rsidRPr="00023BF3">
        <w:rPr>
          <w:rFonts w:eastAsia="Times New Roman"/>
          <w:i/>
          <w:iCs/>
        </w:rPr>
        <w:t>Journal of International Economics</w:t>
      </w:r>
      <w:r w:rsidRPr="00023BF3">
        <w:rPr>
          <w:rFonts w:eastAsia="Times New Roman"/>
        </w:rPr>
        <w:t>, </w:t>
      </w:r>
      <w:r w:rsidRPr="00023BF3">
        <w:rPr>
          <w:rFonts w:eastAsia="Times New Roman"/>
          <w:i/>
          <w:iCs/>
        </w:rPr>
        <w:t>107</w:t>
      </w:r>
      <w:r w:rsidRPr="00023BF3">
        <w:rPr>
          <w:rFonts w:eastAsia="Times New Roman"/>
        </w:rPr>
        <w:t>, 75-90.</w:t>
      </w:r>
    </w:p>
    <w:p w14:paraId="0EABC660" w14:textId="77777777" w:rsidR="00E60E08" w:rsidRDefault="00E60E08" w:rsidP="00E60E08">
      <w:pPr>
        <w:spacing w:before="100" w:beforeAutospacing="1" w:after="100" w:afterAutospacing="1"/>
        <w:jc w:val="both"/>
        <w:rPr>
          <w:rFonts w:eastAsia="Times New Roman"/>
        </w:rPr>
      </w:pPr>
      <w:r w:rsidRPr="002B0D6F">
        <w:rPr>
          <w:rFonts w:eastAsia="Times New Roman"/>
        </w:rPr>
        <w:t>Mowery, D. C., &amp; Oxley, J. E. (1995). Inward technology transfer and competitiveness: the role of national innovation systems. </w:t>
      </w:r>
      <w:r w:rsidRPr="002B0D6F">
        <w:rPr>
          <w:rFonts w:eastAsia="Times New Roman"/>
          <w:i/>
          <w:iCs/>
        </w:rPr>
        <w:t>Cambridge journal of economics</w:t>
      </w:r>
      <w:r w:rsidRPr="002B0D6F">
        <w:rPr>
          <w:rFonts w:eastAsia="Times New Roman"/>
        </w:rPr>
        <w:t>, </w:t>
      </w:r>
      <w:r w:rsidRPr="002B0D6F">
        <w:rPr>
          <w:rFonts w:eastAsia="Times New Roman"/>
          <w:i/>
          <w:iCs/>
        </w:rPr>
        <w:t>19</w:t>
      </w:r>
      <w:r w:rsidRPr="002B0D6F">
        <w:rPr>
          <w:rFonts w:eastAsia="Times New Roman"/>
        </w:rPr>
        <w:t>(1), 67-93.</w:t>
      </w:r>
    </w:p>
    <w:p w14:paraId="6EE60758" w14:textId="01E84AC4" w:rsidR="00E60E08" w:rsidRPr="00133730" w:rsidRDefault="00E60E08" w:rsidP="00BD30CE">
      <w:pPr>
        <w:spacing w:before="100" w:beforeAutospacing="1" w:after="100" w:afterAutospacing="1"/>
        <w:jc w:val="both"/>
        <w:rPr>
          <w:rFonts w:eastAsia="Times New Roman"/>
          <w:lang w:val="sr-Latn-RS"/>
        </w:rPr>
      </w:pPr>
      <w:r w:rsidRPr="00133730">
        <w:rPr>
          <w:rFonts w:eastAsia="Times New Roman"/>
        </w:rPr>
        <w:t xml:space="preserve">Nelson, R. R., &amp; Phelps, E. S. (1966). Investment in humans, technological diffusion, and economic growth. </w:t>
      </w:r>
      <w:r w:rsidRPr="009C5EDE">
        <w:rPr>
          <w:rFonts w:eastAsia="Times New Roman"/>
          <w:i/>
          <w:iCs/>
        </w:rPr>
        <w:t xml:space="preserve">The American </w:t>
      </w:r>
      <w:r w:rsidR="00BD30CE" w:rsidRPr="009C5EDE">
        <w:rPr>
          <w:rFonts w:eastAsia="Times New Roman"/>
          <w:i/>
          <w:iCs/>
        </w:rPr>
        <w:t>E</w:t>
      </w:r>
      <w:r w:rsidRPr="009C5EDE">
        <w:rPr>
          <w:rFonts w:eastAsia="Times New Roman"/>
          <w:i/>
          <w:iCs/>
        </w:rPr>
        <w:t xml:space="preserve">conomic </w:t>
      </w:r>
      <w:r w:rsidR="00BD30CE" w:rsidRPr="009C5EDE">
        <w:rPr>
          <w:rFonts w:eastAsia="Times New Roman"/>
          <w:i/>
          <w:iCs/>
        </w:rPr>
        <w:t>R</w:t>
      </w:r>
      <w:r w:rsidRPr="009C5EDE">
        <w:rPr>
          <w:rFonts w:eastAsia="Times New Roman"/>
          <w:i/>
          <w:iCs/>
        </w:rPr>
        <w:t>eview</w:t>
      </w:r>
      <w:r w:rsidRPr="00133730">
        <w:rPr>
          <w:rFonts w:eastAsia="Times New Roman"/>
        </w:rPr>
        <w:t>, 56(1/2), 69-75.</w:t>
      </w:r>
    </w:p>
    <w:p w14:paraId="09B4BD33" w14:textId="77777777" w:rsidR="00E60E08" w:rsidRPr="00044ED0" w:rsidRDefault="00E60E08" w:rsidP="00E60E08">
      <w:pPr>
        <w:spacing w:before="100" w:beforeAutospacing="1" w:after="100" w:afterAutospacing="1"/>
        <w:jc w:val="both"/>
        <w:rPr>
          <w:rFonts w:ascii="TimesNewRomanPSMT" w:eastAsia="Times New Roman" w:hAnsi="TimesNewRomanPSMT" w:cs="TimesNewRomanPSMT"/>
          <w:lang w:val="sr-Latn-RS"/>
        </w:rPr>
      </w:pPr>
      <w:r w:rsidRPr="00044ED0">
        <w:rPr>
          <w:rFonts w:ascii="TimesNewRomanPSMT" w:eastAsia="Times New Roman" w:hAnsi="TimesNewRomanPSMT" w:cs="TimesNewRomanPSMT"/>
        </w:rPr>
        <w:t>Nicolini, M., &amp; Resmini, L. (2010). Which firms create them and which firms really benefit? FDI spillovers in new EU member states. </w:t>
      </w:r>
      <w:r w:rsidRPr="00044ED0">
        <w:rPr>
          <w:rFonts w:ascii="TimesNewRomanPSMT" w:eastAsia="Times New Roman" w:hAnsi="TimesNewRomanPSMT" w:cs="TimesNewRomanPSMT"/>
          <w:i/>
          <w:iCs/>
        </w:rPr>
        <w:t>Economics of Transition</w:t>
      </w:r>
      <w:r w:rsidRPr="00044ED0">
        <w:rPr>
          <w:rFonts w:ascii="TimesNewRomanPSMT" w:eastAsia="Times New Roman" w:hAnsi="TimesNewRomanPSMT" w:cs="TimesNewRomanPSMT"/>
        </w:rPr>
        <w:t>, </w:t>
      </w:r>
      <w:r w:rsidRPr="00044ED0">
        <w:rPr>
          <w:rFonts w:ascii="TimesNewRomanPSMT" w:eastAsia="Times New Roman" w:hAnsi="TimesNewRomanPSMT" w:cs="TimesNewRomanPSMT"/>
          <w:i/>
          <w:iCs/>
        </w:rPr>
        <w:t>18</w:t>
      </w:r>
      <w:r w:rsidRPr="00044ED0">
        <w:rPr>
          <w:rFonts w:ascii="TimesNewRomanPSMT" w:eastAsia="Times New Roman" w:hAnsi="TimesNewRomanPSMT" w:cs="TimesNewRomanPSMT"/>
        </w:rPr>
        <w:t>(3), 487-511.</w:t>
      </w:r>
    </w:p>
    <w:p w14:paraId="75CAF550" w14:textId="77777777" w:rsidR="00E60E08" w:rsidRPr="009C2827" w:rsidRDefault="00E60E08" w:rsidP="00E60E08">
      <w:pPr>
        <w:spacing w:before="100" w:beforeAutospacing="1" w:after="100" w:afterAutospacing="1"/>
        <w:jc w:val="both"/>
        <w:rPr>
          <w:rFonts w:eastAsia="Times New Roman"/>
          <w:lang w:val="sr-Latn-RS"/>
        </w:rPr>
      </w:pPr>
      <w:r w:rsidRPr="00CB5058">
        <w:rPr>
          <w:rFonts w:eastAsia="Times New Roman"/>
        </w:rPr>
        <w:t xml:space="preserve">Polder, Michael Leeuwen, George van, Raymond, W., l, &amp; Mohnen, P. (2009). </w:t>
      </w:r>
      <w:r w:rsidRPr="009C5EDE">
        <w:rPr>
          <w:rFonts w:eastAsia="Times New Roman"/>
        </w:rPr>
        <w:t>Productivity effects of innovation modes</w:t>
      </w:r>
      <w:r w:rsidRPr="00CB5058">
        <w:rPr>
          <w:rFonts w:eastAsia="Times New Roman"/>
          <w:i/>
          <w:iCs/>
        </w:rPr>
        <w:t xml:space="preserve">. </w:t>
      </w:r>
      <w:r w:rsidRPr="00CB5058">
        <w:rPr>
          <w:rFonts w:eastAsia="Times New Roman"/>
        </w:rPr>
        <w:t xml:space="preserve">MPRA Paper No. 18893. Retrieved from http://econpapers.repec.org/paper/pramprapa/18893.htm </w:t>
      </w:r>
    </w:p>
    <w:p w14:paraId="0631E937" w14:textId="77777777" w:rsidR="00E60E08" w:rsidRDefault="00E60E08" w:rsidP="00E60E08">
      <w:pPr>
        <w:spacing w:before="100" w:beforeAutospacing="1" w:after="100" w:afterAutospacing="1"/>
        <w:jc w:val="both"/>
        <w:rPr>
          <w:rFonts w:eastAsia="Times New Roman"/>
        </w:rPr>
      </w:pPr>
      <w:r w:rsidRPr="002B0D6F">
        <w:rPr>
          <w:rFonts w:eastAsia="Times New Roman"/>
        </w:rPr>
        <w:t>Radosevic, S. (1999). International technology transfer policy: from “contract bargaining” to “sourcing”. </w:t>
      </w:r>
      <w:r w:rsidRPr="002B0D6F">
        <w:rPr>
          <w:rFonts w:eastAsia="Times New Roman"/>
          <w:i/>
          <w:iCs/>
        </w:rPr>
        <w:t>Technovation</w:t>
      </w:r>
      <w:r w:rsidRPr="002B0D6F">
        <w:rPr>
          <w:rFonts w:eastAsia="Times New Roman"/>
        </w:rPr>
        <w:t>, </w:t>
      </w:r>
      <w:r w:rsidRPr="002B0D6F">
        <w:rPr>
          <w:rFonts w:eastAsia="Times New Roman"/>
          <w:i/>
          <w:iCs/>
        </w:rPr>
        <w:t>19</w:t>
      </w:r>
      <w:r w:rsidRPr="002B0D6F">
        <w:rPr>
          <w:rFonts w:eastAsia="Times New Roman"/>
        </w:rPr>
        <w:t>(6-7), 433-444.</w:t>
      </w:r>
    </w:p>
    <w:p w14:paraId="43CC8CDE" w14:textId="77777777" w:rsidR="00E60E08" w:rsidRDefault="00E60E08" w:rsidP="00E60E08">
      <w:pPr>
        <w:spacing w:before="100" w:beforeAutospacing="1" w:after="100" w:afterAutospacing="1"/>
        <w:jc w:val="both"/>
        <w:rPr>
          <w:rFonts w:eastAsia="Times New Roman"/>
        </w:rPr>
      </w:pPr>
      <w:r w:rsidRPr="00DB348C">
        <w:rPr>
          <w:rFonts w:eastAsia="Times New Roman"/>
        </w:rPr>
        <w:t>Radošević, S. (2015). Synthesis report: WP3. Innovation, entrepreneurship and industrial dynamics. Technology upgrading and innovation policy in Central and Eastern Europe (GRINCOH Working Paper Series, Paper No. 3).</w:t>
      </w:r>
    </w:p>
    <w:p w14:paraId="1944E8BB" w14:textId="27C6065D" w:rsidR="00A030BB" w:rsidRDefault="00A030BB" w:rsidP="005C2C19">
      <w:pPr>
        <w:spacing w:before="100" w:beforeAutospacing="1" w:after="100" w:afterAutospacing="1"/>
        <w:jc w:val="both"/>
        <w:rPr>
          <w:rFonts w:eastAsia="Times New Roman"/>
        </w:rPr>
      </w:pPr>
      <w:r w:rsidRPr="00A030BB">
        <w:rPr>
          <w:rFonts w:eastAsia="Times New Roman"/>
        </w:rPr>
        <w:t>Radosevic S (2016)</w:t>
      </w:r>
      <w:r w:rsidR="00BD30CE">
        <w:rPr>
          <w:rFonts w:eastAsia="Times New Roman"/>
        </w:rPr>
        <w:t>.</w:t>
      </w:r>
      <w:r w:rsidRPr="00A030BB">
        <w:rPr>
          <w:rFonts w:eastAsia="Times New Roman"/>
        </w:rPr>
        <w:t xml:space="preserve"> </w:t>
      </w:r>
      <w:r w:rsidRPr="009C5EDE">
        <w:rPr>
          <w:rFonts w:eastAsia="Times New Roman"/>
        </w:rPr>
        <w:t>The role of public research in economic development</w:t>
      </w:r>
      <w:r w:rsidR="00BD30CE">
        <w:rPr>
          <w:rFonts w:eastAsia="Times New Roman"/>
        </w:rPr>
        <w:t>.</w:t>
      </w:r>
      <w:r w:rsidRPr="00A030BB">
        <w:rPr>
          <w:rFonts w:eastAsia="Times New Roman"/>
        </w:rPr>
        <w:t xml:space="preserve"> </w:t>
      </w:r>
      <w:r w:rsidR="00BD30CE">
        <w:rPr>
          <w:rFonts w:eastAsia="Times New Roman"/>
        </w:rPr>
        <w:t>I</w:t>
      </w:r>
      <w:r w:rsidRPr="00A030BB">
        <w:rPr>
          <w:rFonts w:eastAsia="Times New Roman"/>
        </w:rPr>
        <w:t xml:space="preserve">n </w:t>
      </w:r>
      <w:bookmarkStart w:id="1" w:name="_GoBack"/>
      <w:bookmarkEnd w:id="1"/>
      <w:r w:rsidRPr="00A030BB">
        <w:rPr>
          <w:rFonts w:eastAsia="Times New Roman"/>
        </w:rPr>
        <w:t>E</w:t>
      </w:r>
      <w:r w:rsidR="00467C36">
        <w:rPr>
          <w:rFonts w:eastAsia="Times New Roman"/>
        </w:rPr>
        <w:t xml:space="preserve">uropean </w:t>
      </w:r>
      <w:r w:rsidRPr="00A030BB">
        <w:rPr>
          <w:rFonts w:eastAsia="Times New Roman"/>
        </w:rPr>
        <w:t>C</w:t>
      </w:r>
      <w:r w:rsidR="00467C36">
        <w:rPr>
          <w:rFonts w:eastAsia="Times New Roman"/>
        </w:rPr>
        <w:t>ommission</w:t>
      </w:r>
      <w:r w:rsidRPr="00A030BB">
        <w:rPr>
          <w:rFonts w:eastAsia="Times New Roman"/>
        </w:rPr>
        <w:t xml:space="preserve">, Science, Research and Innovation performance of the EU. A contribution to the Open Innovation, Open Science, Open to the World agenda, DG for Research and Innovation, pp119-139. </w:t>
      </w:r>
      <w:r w:rsidR="00467C36">
        <w:rPr>
          <w:rFonts w:eastAsia="Times New Roman"/>
        </w:rPr>
        <w:t xml:space="preserve">Available at: </w:t>
      </w:r>
      <w:r w:rsidRPr="00A030BB">
        <w:rPr>
          <w:rFonts w:eastAsia="Times New Roman"/>
        </w:rPr>
        <w:t>https://op.europa.eu/en/publication-detail/-/publication/744d5735-e1d4-11e5-8a50-01aa75ed71a1</w:t>
      </w:r>
      <w:r w:rsidR="00467C36">
        <w:rPr>
          <w:rFonts w:eastAsia="Times New Roman"/>
        </w:rPr>
        <w:t>.</w:t>
      </w:r>
    </w:p>
    <w:p w14:paraId="03A11DBC" w14:textId="43D8CDC9" w:rsidR="00E60E08" w:rsidRPr="008A2FAA" w:rsidRDefault="00E60E08" w:rsidP="00E60E08">
      <w:pPr>
        <w:spacing w:before="100" w:beforeAutospacing="1" w:after="100" w:afterAutospacing="1"/>
        <w:jc w:val="both"/>
        <w:rPr>
          <w:rFonts w:eastAsia="Times New Roman"/>
          <w:lang w:val="sr-Latn-RS"/>
        </w:rPr>
      </w:pPr>
      <w:r w:rsidRPr="00DB348C">
        <w:rPr>
          <w:rFonts w:eastAsia="Times New Roman"/>
        </w:rPr>
        <w:t>Rado</w:t>
      </w:r>
      <w:r>
        <w:rPr>
          <w:rFonts w:eastAsia="Times New Roman"/>
          <w:lang w:val="sr-Latn-RS"/>
        </w:rPr>
        <w:t>š</w:t>
      </w:r>
      <w:r w:rsidRPr="00DB348C">
        <w:rPr>
          <w:rFonts w:eastAsia="Times New Roman"/>
        </w:rPr>
        <w:t>evi</w:t>
      </w:r>
      <w:r>
        <w:rPr>
          <w:rFonts w:eastAsia="Times New Roman"/>
        </w:rPr>
        <w:t>ć</w:t>
      </w:r>
      <w:r w:rsidRPr="00DB348C">
        <w:rPr>
          <w:rFonts w:eastAsia="Times New Roman"/>
        </w:rPr>
        <w:t>, S. (2017). Upgrading technology in Central and Eastern European economies. IZA World of Labor</w:t>
      </w:r>
      <w:r w:rsidR="00BA47DF">
        <w:rPr>
          <w:rFonts w:eastAsia="Times New Roman"/>
        </w:rPr>
        <w:t xml:space="preserve"> 338</w:t>
      </w:r>
      <w:r w:rsidRPr="00DB348C">
        <w:rPr>
          <w:rFonts w:eastAsia="Times New Roman"/>
        </w:rPr>
        <w:t>.</w:t>
      </w:r>
    </w:p>
    <w:p w14:paraId="56FE79EE" w14:textId="77777777" w:rsidR="00E60E08" w:rsidRDefault="00E60E08" w:rsidP="00E60E08">
      <w:pPr>
        <w:spacing w:before="100" w:beforeAutospacing="1" w:after="100" w:afterAutospacing="1"/>
        <w:jc w:val="both"/>
        <w:rPr>
          <w:rFonts w:eastAsia="Times New Roman"/>
        </w:rPr>
      </w:pPr>
      <w:r w:rsidRPr="009C2827">
        <w:rPr>
          <w:rFonts w:eastAsia="Times New Roman"/>
        </w:rPr>
        <w:t>Radosevic, S., &amp; Yoruk, E. (2018). Technology upgrading of middle income economies: A new approach and results. </w:t>
      </w:r>
      <w:r w:rsidRPr="009C2827">
        <w:rPr>
          <w:rFonts w:eastAsia="Times New Roman"/>
          <w:i/>
          <w:iCs/>
        </w:rPr>
        <w:t>Technological Forecasting and Social Change</w:t>
      </w:r>
      <w:r w:rsidRPr="009C2827">
        <w:rPr>
          <w:rFonts w:eastAsia="Times New Roman"/>
        </w:rPr>
        <w:t>, </w:t>
      </w:r>
      <w:r w:rsidRPr="009C2827">
        <w:rPr>
          <w:rFonts w:eastAsia="Times New Roman"/>
          <w:i/>
          <w:iCs/>
        </w:rPr>
        <w:t>129</w:t>
      </w:r>
      <w:r w:rsidRPr="009C2827">
        <w:rPr>
          <w:rFonts w:eastAsia="Times New Roman"/>
        </w:rPr>
        <w:t>, 56-75.</w:t>
      </w:r>
    </w:p>
    <w:p w14:paraId="7B9887FC" w14:textId="77777777" w:rsidR="00E60E08" w:rsidRDefault="00E60E08" w:rsidP="00E60E08">
      <w:pPr>
        <w:spacing w:before="100" w:beforeAutospacing="1" w:after="100" w:afterAutospacing="1"/>
        <w:jc w:val="both"/>
        <w:rPr>
          <w:rFonts w:eastAsia="Times New Roman"/>
        </w:rPr>
      </w:pPr>
      <w:r w:rsidRPr="008E47ED">
        <w:rPr>
          <w:rFonts w:eastAsia="Times New Roman"/>
        </w:rPr>
        <w:t xml:space="preserve">Radosevic, S., &amp; Yoruk, E. (2016). Why do we need a theory and metrics of technology upgrading?. </w:t>
      </w:r>
      <w:r w:rsidRPr="009C5EDE">
        <w:rPr>
          <w:rFonts w:eastAsia="Times New Roman"/>
          <w:i/>
          <w:iCs/>
        </w:rPr>
        <w:t>Asian Journal of Technology Innovation</w:t>
      </w:r>
      <w:r w:rsidRPr="008E47ED">
        <w:rPr>
          <w:rFonts w:eastAsia="Times New Roman"/>
        </w:rPr>
        <w:t>, 24(sup1), 8-32.</w:t>
      </w:r>
    </w:p>
    <w:p w14:paraId="25A5B74C" w14:textId="353D4267" w:rsidR="00E60E08" w:rsidRPr="00E04503" w:rsidRDefault="00E60E08" w:rsidP="00BD30CE">
      <w:pPr>
        <w:spacing w:before="100" w:beforeAutospacing="1" w:after="100" w:afterAutospacing="1"/>
        <w:jc w:val="both"/>
        <w:rPr>
          <w:rFonts w:eastAsia="Times New Roman"/>
          <w:lang w:val="sr-Latn-RS"/>
        </w:rPr>
      </w:pPr>
      <w:r w:rsidRPr="00133730">
        <w:rPr>
          <w:rFonts w:eastAsia="Times New Roman"/>
          <w:lang w:val="sr-Latn-RS"/>
        </w:rPr>
        <w:t xml:space="preserve">Romer, P. M. (1986). Increasing returns and long-run growth. </w:t>
      </w:r>
      <w:r w:rsidRPr="009C5EDE">
        <w:rPr>
          <w:rFonts w:eastAsia="Times New Roman"/>
          <w:i/>
          <w:iCs/>
          <w:lang w:val="sr-Latn-RS"/>
        </w:rPr>
        <w:t xml:space="preserve">Journal of </w:t>
      </w:r>
      <w:r w:rsidR="00BD30CE" w:rsidRPr="009C5EDE">
        <w:rPr>
          <w:rFonts w:eastAsia="Times New Roman"/>
          <w:i/>
          <w:iCs/>
          <w:lang w:val="sr-Latn-RS"/>
        </w:rPr>
        <w:t>P</w:t>
      </w:r>
      <w:r w:rsidRPr="009C5EDE">
        <w:rPr>
          <w:rFonts w:eastAsia="Times New Roman"/>
          <w:i/>
          <w:iCs/>
          <w:lang w:val="sr-Latn-RS"/>
        </w:rPr>
        <w:t xml:space="preserve">olitical </w:t>
      </w:r>
      <w:r w:rsidR="00BD30CE" w:rsidRPr="009C5EDE">
        <w:rPr>
          <w:rFonts w:eastAsia="Times New Roman"/>
          <w:i/>
          <w:iCs/>
          <w:lang w:val="sr-Latn-RS"/>
        </w:rPr>
        <w:t>E</w:t>
      </w:r>
      <w:r w:rsidRPr="009C5EDE">
        <w:rPr>
          <w:rFonts w:eastAsia="Times New Roman"/>
          <w:i/>
          <w:iCs/>
          <w:lang w:val="sr-Latn-RS"/>
        </w:rPr>
        <w:t>conomy</w:t>
      </w:r>
      <w:r w:rsidRPr="00133730">
        <w:rPr>
          <w:rFonts w:eastAsia="Times New Roman"/>
          <w:lang w:val="sr-Latn-RS"/>
        </w:rPr>
        <w:t>, 94(5), 1002-1037.</w:t>
      </w:r>
    </w:p>
    <w:p w14:paraId="6175B60D" w14:textId="77777777" w:rsidR="00E60E08" w:rsidRPr="009C2827" w:rsidRDefault="00E60E08" w:rsidP="00E60E08">
      <w:pPr>
        <w:spacing w:before="100" w:beforeAutospacing="1" w:after="100" w:afterAutospacing="1"/>
        <w:jc w:val="both"/>
        <w:rPr>
          <w:rFonts w:eastAsia="Times New Roman"/>
          <w:lang w:val="sr-Latn-RS"/>
        </w:rPr>
      </w:pPr>
      <w:r w:rsidRPr="009C2827">
        <w:rPr>
          <w:rFonts w:eastAsia="Times New Roman"/>
        </w:rPr>
        <w:t>Roud, V. (2018). Understanding the heterogeneity of innovation modes: Performance effects, barriers, and demand for state support. </w:t>
      </w:r>
      <w:r w:rsidRPr="009C2827">
        <w:rPr>
          <w:rFonts w:eastAsia="Times New Roman"/>
          <w:i/>
          <w:iCs/>
        </w:rPr>
        <w:t>Technological Forecasting and Social Change</w:t>
      </w:r>
      <w:r w:rsidRPr="009C2827">
        <w:rPr>
          <w:rFonts w:eastAsia="Times New Roman"/>
        </w:rPr>
        <w:t>, </w:t>
      </w:r>
      <w:r w:rsidRPr="009C2827">
        <w:rPr>
          <w:rFonts w:eastAsia="Times New Roman"/>
          <w:i/>
          <w:iCs/>
        </w:rPr>
        <w:t>133</w:t>
      </w:r>
      <w:r w:rsidRPr="009C2827">
        <w:rPr>
          <w:rFonts w:eastAsia="Times New Roman"/>
        </w:rPr>
        <w:t>, 238-253.</w:t>
      </w:r>
    </w:p>
    <w:p w14:paraId="7BD5E996" w14:textId="23D332CB" w:rsidR="00E60E08" w:rsidRDefault="00E60E08" w:rsidP="00BD30CE">
      <w:pPr>
        <w:spacing w:before="100" w:beforeAutospacing="1" w:after="100" w:afterAutospacing="1"/>
        <w:jc w:val="both"/>
        <w:rPr>
          <w:rFonts w:eastAsia="Times New Roman"/>
        </w:rPr>
      </w:pPr>
      <w:r w:rsidRPr="00DA0E06">
        <w:rPr>
          <w:rFonts w:eastAsia="Times New Roman"/>
        </w:rPr>
        <w:t xml:space="preserve">Saggi, K. (2006). Foreign direct investment, linkages, and technology spillovers. </w:t>
      </w:r>
      <w:r w:rsidRPr="00DA0E06">
        <w:rPr>
          <w:rFonts w:eastAsia="Times New Roman"/>
          <w:i/>
          <w:iCs/>
        </w:rPr>
        <w:t xml:space="preserve">Global </w:t>
      </w:r>
      <w:r w:rsidR="00BD30CE">
        <w:rPr>
          <w:rFonts w:eastAsia="Times New Roman"/>
          <w:i/>
          <w:iCs/>
        </w:rPr>
        <w:t>I</w:t>
      </w:r>
      <w:r w:rsidRPr="00DA0E06">
        <w:rPr>
          <w:rFonts w:eastAsia="Times New Roman"/>
          <w:i/>
          <w:iCs/>
        </w:rPr>
        <w:t xml:space="preserve">ntegration and </w:t>
      </w:r>
      <w:r w:rsidR="00BD30CE">
        <w:rPr>
          <w:rFonts w:eastAsia="Times New Roman"/>
          <w:i/>
          <w:iCs/>
        </w:rPr>
        <w:t>T</w:t>
      </w:r>
      <w:r w:rsidRPr="00DA0E06">
        <w:rPr>
          <w:rFonts w:eastAsia="Times New Roman"/>
          <w:i/>
          <w:iCs/>
        </w:rPr>
        <w:t xml:space="preserve">echnology </w:t>
      </w:r>
      <w:r w:rsidR="00BD30CE">
        <w:rPr>
          <w:rFonts w:eastAsia="Times New Roman"/>
          <w:i/>
          <w:iCs/>
        </w:rPr>
        <w:t>T</w:t>
      </w:r>
      <w:r w:rsidRPr="00DA0E06">
        <w:rPr>
          <w:rFonts w:eastAsia="Times New Roman"/>
          <w:i/>
          <w:iCs/>
        </w:rPr>
        <w:t>ransfer. 2006, pp. 51-65</w:t>
      </w:r>
      <w:r w:rsidR="00BD30CE">
        <w:rPr>
          <w:rFonts w:eastAsia="Times New Roman"/>
          <w:i/>
          <w:iCs/>
        </w:rPr>
        <w:t>.</w:t>
      </w:r>
      <w:r w:rsidRPr="00DA0E06">
        <w:rPr>
          <w:rFonts w:eastAsia="Times New Roman"/>
        </w:rPr>
        <w:t xml:space="preserve"> </w:t>
      </w:r>
    </w:p>
    <w:p w14:paraId="586F09AA" w14:textId="015A828D" w:rsidR="00E60E08" w:rsidRDefault="00E60E08" w:rsidP="00BD30CE">
      <w:pPr>
        <w:spacing w:before="100" w:beforeAutospacing="1" w:after="100" w:afterAutospacing="1"/>
        <w:jc w:val="both"/>
        <w:rPr>
          <w:rFonts w:eastAsia="Times New Roman"/>
        </w:rPr>
      </w:pPr>
      <w:r w:rsidRPr="00CB5058">
        <w:rPr>
          <w:rFonts w:eastAsia="Times New Roman"/>
        </w:rPr>
        <w:t>Sinani, E., &amp; Meyer, K. E. (2004). Spillovers of technology transfer from FDI: the case of Estonia. </w:t>
      </w:r>
      <w:r w:rsidRPr="00CB5058">
        <w:rPr>
          <w:rFonts w:eastAsia="Times New Roman"/>
          <w:i/>
          <w:iCs/>
        </w:rPr>
        <w:t xml:space="preserve">Journal of </w:t>
      </w:r>
      <w:r w:rsidR="00BD30CE">
        <w:rPr>
          <w:rFonts w:eastAsia="Times New Roman"/>
          <w:i/>
          <w:iCs/>
        </w:rPr>
        <w:t>C</w:t>
      </w:r>
      <w:r w:rsidRPr="00CB5058">
        <w:rPr>
          <w:rFonts w:eastAsia="Times New Roman"/>
          <w:i/>
          <w:iCs/>
        </w:rPr>
        <w:t xml:space="preserve">omparative </w:t>
      </w:r>
      <w:r w:rsidR="00BD30CE">
        <w:rPr>
          <w:rFonts w:eastAsia="Times New Roman"/>
          <w:i/>
          <w:iCs/>
        </w:rPr>
        <w:t>E</w:t>
      </w:r>
      <w:r w:rsidRPr="00CB5058">
        <w:rPr>
          <w:rFonts w:eastAsia="Times New Roman"/>
          <w:i/>
          <w:iCs/>
        </w:rPr>
        <w:t>conomics</w:t>
      </w:r>
      <w:r w:rsidRPr="00CB5058">
        <w:rPr>
          <w:rFonts w:eastAsia="Times New Roman"/>
        </w:rPr>
        <w:t>, </w:t>
      </w:r>
      <w:r w:rsidRPr="00CB5058">
        <w:rPr>
          <w:rFonts w:eastAsia="Times New Roman"/>
          <w:i/>
          <w:iCs/>
        </w:rPr>
        <w:t>32</w:t>
      </w:r>
      <w:r w:rsidRPr="00CB5058">
        <w:rPr>
          <w:rFonts w:eastAsia="Times New Roman"/>
        </w:rPr>
        <w:t>(3), 445-466.</w:t>
      </w:r>
    </w:p>
    <w:p w14:paraId="36D2A76F" w14:textId="77777777" w:rsidR="00E60E08" w:rsidRDefault="00E60E08" w:rsidP="00E60E08">
      <w:pPr>
        <w:spacing w:before="100" w:beforeAutospacing="1" w:after="100" w:afterAutospacing="1"/>
        <w:jc w:val="both"/>
        <w:rPr>
          <w:rFonts w:eastAsia="Times New Roman"/>
        </w:rPr>
      </w:pPr>
      <w:r w:rsidRPr="00DB348C">
        <w:rPr>
          <w:rFonts w:eastAsia="Times New Roman"/>
        </w:rPr>
        <w:t>Stojčić, N. (202</w:t>
      </w:r>
      <w:r w:rsidR="0032655A">
        <w:rPr>
          <w:rFonts w:eastAsia="Times New Roman"/>
        </w:rPr>
        <w:t>1</w:t>
      </w:r>
      <w:r w:rsidRPr="00DB348C">
        <w:rPr>
          <w:rFonts w:eastAsia="Times New Roman"/>
        </w:rPr>
        <w:t>). Collaborative innovation in emerging innovation systems: Evidence from Central and Eastern Europe. </w:t>
      </w:r>
      <w:r w:rsidRPr="00DB348C">
        <w:rPr>
          <w:rFonts w:eastAsia="Times New Roman"/>
          <w:i/>
          <w:iCs/>
        </w:rPr>
        <w:t>The Journal of Technology Transfer</w:t>
      </w:r>
      <w:r w:rsidRPr="00DB348C">
        <w:rPr>
          <w:rFonts w:eastAsia="Times New Roman"/>
        </w:rPr>
        <w:t xml:space="preserve">, </w:t>
      </w:r>
      <w:r w:rsidR="0032655A">
        <w:rPr>
          <w:rFonts w:eastAsia="Times New Roman"/>
        </w:rPr>
        <w:t>46(2). 531-562</w:t>
      </w:r>
      <w:r w:rsidRPr="00DB348C">
        <w:rPr>
          <w:rFonts w:eastAsia="Times New Roman"/>
        </w:rPr>
        <w:t>.</w:t>
      </w:r>
    </w:p>
    <w:p w14:paraId="4A6E1DA6" w14:textId="77777777" w:rsidR="00E60E08" w:rsidRPr="009B216F" w:rsidRDefault="00E60E08" w:rsidP="00E60E08">
      <w:pPr>
        <w:spacing w:before="100" w:beforeAutospacing="1" w:after="100" w:afterAutospacing="1"/>
        <w:jc w:val="both"/>
        <w:rPr>
          <w:rFonts w:eastAsia="Times New Roman"/>
          <w:lang w:val="sr-Latn-RS"/>
        </w:rPr>
      </w:pPr>
      <w:r w:rsidRPr="00BB6980">
        <w:rPr>
          <w:rFonts w:eastAsia="Times New Roman"/>
        </w:rPr>
        <w:t>Stojčić, N., &amp; Orlić, E. (2020). Spatial dependence, foreign investment and productivity spillovers in new EU member states. </w:t>
      </w:r>
      <w:r w:rsidRPr="00BB6980">
        <w:rPr>
          <w:rFonts w:eastAsia="Times New Roman"/>
          <w:i/>
          <w:iCs/>
        </w:rPr>
        <w:t>Regional Studies</w:t>
      </w:r>
      <w:r w:rsidRPr="00BB6980">
        <w:rPr>
          <w:rFonts w:eastAsia="Times New Roman"/>
        </w:rPr>
        <w:t>, </w:t>
      </w:r>
      <w:r w:rsidRPr="00BB6980">
        <w:rPr>
          <w:rFonts w:eastAsia="Times New Roman"/>
          <w:i/>
          <w:iCs/>
        </w:rPr>
        <w:t>54</w:t>
      </w:r>
      <w:r w:rsidRPr="00BB6980">
        <w:rPr>
          <w:rFonts w:eastAsia="Times New Roman"/>
        </w:rPr>
        <w:t>(8), 1057-1068.</w:t>
      </w:r>
    </w:p>
    <w:p w14:paraId="7D74385A" w14:textId="77777777" w:rsidR="00E60E08" w:rsidRPr="00725B01" w:rsidRDefault="00E60E08" w:rsidP="00E60E08">
      <w:pPr>
        <w:spacing w:before="100" w:beforeAutospacing="1" w:after="100" w:afterAutospacing="1"/>
        <w:jc w:val="both"/>
        <w:rPr>
          <w:rFonts w:eastAsia="Times New Roman"/>
        </w:rPr>
      </w:pPr>
      <w:r w:rsidRPr="002B0D6F">
        <w:rPr>
          <w:rFonts w:eastAsia="Times New Roman"/>
        </w:rPr>
        <w:t>Stojčić, N., Srhoj, S., &amp; Coad, A. (2020). Innovation procurement as capability-building: Evaluating innovation policies in eight Central and Eastern European countries. </w:t>
      </w:r>
      <w:r w:rsidRPr="002B0D6F">
        <w:rPr>
          <w:rFonts w:eastAsia="Times New Roman"/>
          <w:i/>
          <w:iCs/>
        </w:rPr>
        <w:t>European Economic Review</w:t>
      </w:r>
      <w:r w:rsidRPr="002B0D6F">
        <w:rPr>
          <w:rFonts w:eastAsia="Times New Roman"/>
        </w:rPr>
        <w:t>, </w:t>
      </w:r>
      <w:r w:rsidRPr="002B0D6F">
        <w:rPr>
          <w:rFonts w:eastAsia="Times New Roman"/>
          <w:i/>
          <w:iCs/>
        </w:rPr>
        <w:t>121</w:t>
      </w:r>
      <w:r w:rsidRPr="002B0D6F">
        <w:rPr>
          <w:rFonts w:eastAsia="Times New Roman"/>
        </w:rPr>
        <w:t>, 103330.</w:t>
      </w:r>
    </w:p>
    <w:p w14:paraId="6EA2C6BC" w14:textId="77777777" w:rsidR="00E60E08" w:rsidRDefault="00E60E08" w:rsidP="00E60E08">
      <w:pPr>
        <w:spacing w:before="100" w:beforeAutospacing="1" w:after="100" w:afterAutospacing="1"/>
        <w:jc w:val="both"/>
        <w:rPr>
          <w:rFonts w:eastAsia="Times New Roman"/>
        </w:rPr>
      </w:pPr>
      <w:r w:rsidRPr="00725B01">
        <w:rPr>
          <w:rFonts w:eastAsia="Times New Roman"/>
        </w:rPr>
        <w:t xml:space="preserve">Vahter, P. (2011). Does FDI spur productivity, knowledge sourcing and innovation by incumbent firms? Evidence from manufacturing industry in Estonia. </w:t>
      </w:r>
      <w:r w:rsidRPr="009C5EDE">
        <w:rPr>
          <w:rFonts w:eastAsia="Times New Roman"/>
          <w:i/>
          <w:iCs/>
        </w:rPr>
        <w:t>The World Economy</w:t>
      </w:r>
      <w:r w:rsidRPr="00725B01">
        <w:rPr>
          <w:rFonts w:eastAsia="Times New Roman"/>
        </w:rPr>
        <w:t>, 34(8), 1308-1326.</w:t>
      </w:r>
    </w:p>
    <w:p w14:paraId="75AF05D1" w14:textId="7EEA67E7" w:rsidR="007602A9" w:rsidRDefault="007602A9" w:rsidP="00E60E08">
      <w:pPr>
        <w:spacing w:before="100" w:beforeAutospacing="1" w:after="100" w:afterAutospacing="1"/>
        <w:jc w:val="both"/>
        <w:rPr>
          <w:rFonts w:eastAsia="Times New Roman"/>
        </w:rPr>
      </w:pPr>
      <w:r w:rsidRPr="007602A9">
        <w:rPr>
          <w:rFonts w:eastAsia="Times New Roman"/>
        </w:rPr>
        <w:t>Vujanović, N., Stojčić, N., &amp; Hashi, I. (2021). FDI spillovers and firm productivity during crisis: Empirical evidence from transition economies. </w:t>
      </w:r>
      <w:r w:rsidRPr="007602A9">
        <w:rPr>
          <w:rFonts w:eastAsia="Times New Roman"/>
          <w:i/>
          <w:iCs/>
        </w:rPr>
        <w:t>Economic Systems</w:t>
      </w:r>
      <w:r w:rsidRPr="007602A9">
        <w:rPr>
          <w:rFonts w:eastAsia="Times New Roman"/>
        </w:rPr>
        <w:t xml:space="preserve">, </w:t>
      </w:r>
      <w:r w:rsidR="00E14EC2" w:rsidRPr="00E14EC2">
        <w:rPr>
          <w:rFonts w:eastAsia="Times New Roman"/>
        </w:rPr>
        <w:t>doi.org/10.1016/j.ecosys.2021.100865</w:t>
      </w:r>
      <w:r w:rsidRPr="007602A9">
        <w:rPr>
          <w:rFonts w:eastAsia="Times New Roman"/>
        </w:rPr>
        <w:t>.</w:t>
      </w:r>
    </w:p>
    <w:p w14:paraId="567F15F1" w14:textId="77777777" w:rsidR="00E60E08" w:rsidRDefault="00E60E08" w:rsidP="00E60E08">
      <w:pPr>
        <w:spacing w:before="100" w:beforeAutospacing="1" w:after="100" w:afterAutospacing="1"/>
        <w:jc w:val="both"/>
        <w:rPr>
          <w:rFonts w:eastAsia="Times New Roman"/>
          <w:lang w:val="sr-Latn-RS"/>
        </w:rPr>
      </w:pPr>
      <w:r>
        <w:rPr>
          <w:rFonts w:eastAsia="Times New Roman"/>
        </w:rPr>
        <w:t>World Bank (2020)</w:t>
      </w:r>
      <w:r>
        <w:rPr>
          <w:rFonts w:eastAsia="Times New Roman"/>
          <w:lang w:val="sr-Latn-RS"/>
        </w:rPr>
        <w:t xml:space="preserve"> Foreign direct investment, net inflows (% of GDP) </w:t>
      </w:r>
      <w:hyperlink r:id="rId23" w:history="1">
        <w:r w:rsidRPr="00D86588">
          <w:rPr>
            <w:rStyle w:val="Hyperlink"/>
            <w:rFonts w:eastAsia="Times New Roman"/>
            <w:lang w:val="sr-Latn-RS"/>
          </w:rPr>
          <w:t>https://data.worldbank.org/indicator/BX.KLT.DINV.WD.GD.ZS?end=2019&amp;start=1970</w:t>
        </w:r>
      </w:hyperlink>
      <w:r>
        <w:rPr>
          <w:rFonts w:eastAsia="Times New Roman"/>
          <w:lang w:val="sr-Latn-RS"/>
        </w:rPr>
        <w:t xml:space="preserve"> </w:t>
      </w:r>
    </w:p>
    <w:p w14:paraId="6479917F" w14:textId="32959C2C" w:rsidR="00E60E08" w:rsidRPr="0066218F" w:rsidRDefault="00E60E08" w:rsidP="00BD30CE">
      <w:pPr>
        <w:spacing w:before="100" w:beforeAutospacing="1" w:after="100" w:afterAutospacing="1"/>
        <w:jc w:val="both"/>
        <w:rPr>
          <w:rFonts w:eastAsia="Times New Roman"/>
          <w:lang w:val="sr-Latn-RS"/>
        </w:rPr>
      </w:pPr>
      <w:r w:rsidRPr="00963E71">
        <w:rPr>
          <w:rFonts w:eastAsia="Times New Roman"/>
          <w:lang w:val="sr-Latn-RS"/>
        </w:rPr>
        <w:t xml:space="preserve">Zellner, A., &amp; Theil, H. (1992). Three-stage least squares: simultaneous estimation of simultaneous equations. In </w:t>
      </w:r>
      <w:r w:rsidR="00BD30CE">
        <w:rPr>
          <w:rFonts w:eastAsia="Times New Roman"/>
          <w:lang w:val="sr-Latn-RS"/>
        </w:rPr>
        <w:t xml:space="preserve">Theil, </w:t>
      </w:r>
      <w:r w:rsidRPr="00963E71">
        <w:rPr>
          <w:rFonts w:eastAsia="Times New Roman"/>
          <w:lang w:val="sr-Latn-RS"/>
        </w:rPr>
        <w:t>Henri</w:t>
      </w:r>
      <w:r w:rsidR="00BD30CE">
        <w:rPr>
          <w:rFonts w:eastAsia="Times New Roman"/>
          <w:lang w:val="sr-Latn-RS"/>
        </w:rPr>
        <w:t>,</w:t>
      </w:r>
      <w:r w:rsidRPr="00963E71">
        <w:rPr>
          <w:rFonts w:eastAsia="Times New Roman"/>
          <w:lang w:val="sr-Latn-RS"/>
        </w:rPr>
        <w:t xml:space="preserve">  </w:t>
      </w:r>
      <w:r w:rsidRPr="009C5EDE">
        <w:rPr>
          <w:rFonts w:eastAsia="Times New Roman"/>
          <w:i/>
          <w:iCs/>
          <w:lang w:val="sr-Latn-RS"/>
        </w:rPr>
        <w:t>Contributions to Economics and Econometrics</w:t>
      </w:r>
      <w:r w:rsidRPr="00963E71">
        <w:rPr>
          <w:rFonts w:eastAsia="Times New Roman"/>
          <w:lang w:val="sr-Latn-RS"/>
        </w:rPr>
        <w:t xml:space="preserve"> (pp. 147-178). Springer, Dordrecht.</w:t>
      </w:r>
    </w:p>
    <w:p w14:paraId="26CF91E6" w14:textId="77777777" w:rsidR="00E60E08" w:rsidRDefault="00E60E08" w:rsidP="00590163">
      <w:pPr>
        <w:spacing w:before="100" w:beforeAutospacing="1" w:after="100" w:afterAutospacing="1"/>
        <w:jc w:val="both"/>
        <w:rPr>
          <w:rFonts w:eastAsia="Times New Roman"/>
        </w:rPr>
      </w:pPr>
    </w:p>
    <w:p w14:paraId="041CF974" w14:textId="77777777" w:rsidR="006F410C" w:rsidRDefault="006F410C" w:rsidP="00590163">
      <w:pPr>
        <w:spacing w:before="100" w:beforeAutospacing="1" w:after="100" w:afterAutospacing="1"/>
        <w:jc w:val="both"/>
        <w:rPr>
          <w:rFonts w:eastAsia="Times New Roman"/>
        </w:rPr>
      </w:pPr>
    </w:p>
    <w:p w14:paraId="669A82E6" w14:textId="77777777" w:rsidR="006F410C" w:rsidRDefault="006F410C" w:rsidP="00590163">
      <w:pPr>
        <w:spacing w:before="100" w:beforeAutospacing="1" w:after="100" w:afterAutospacing="1"/>
        <w:jc w:val="both"/>
        <w:rPr>
          <w:rFonts w:eastAsia="Times New Roman"/>
        </w:rPr>
      </w:pPr>
    </w:p>
    <w:p w14:paraId="509C8E64" w14:textId="77777777" w:rsidR="006F410C" w:rsidRDefault="006F410C" w:rsidP="00590163">
      <w:pPr>
        <w:spacing w:before="100" w:beforeAutospacing="1" w:after="100" w:afterAutospacing="1"/>
        <w:jc w:val="both"/>
        <w:rPr>
          <w:rFonts w:eastAsia="Times New Roman"/>
        </w:rPr>
      </w:pPr>
    </w:p>
    <w:p w14:paraId="210F6E31" w14:textId="77777777" w:rsidR="006F410C" w:rsidRDefault="006F410C" w:rsidP="00590163">
      <w:pPr>
        <w:spacing w:before="100" w:beforeAutospacing="1" w:after="100" w:afterAutospacing="1"/>
        <w:jc w:val="both"/>
        <w:rPr>
          <w:rFonts w:eastAsia="Times New Roman"/>
        </w:rPr>
      </w:pPr>
    </w:p>
    <w:p w14:paraId="68031BCD" w14:textId="77777777" w:rsidR="006F410C" w:rsidRDefault="006F410C" w:rsidP="00590163">
      <w:pPr>
        <w:spacing w:before="100" w:beforeAutospacing="1" w:after="100" w:afterAutospacing="1"/>
        <w:jc w:val="both"/>
        <w:rPr>
          <w:rFonts w:eastAsia="Times New Roman"/>
        </w:rPr>
      </w:pPr>
    </w:p>
    <w:p w14:paraId="5A4E64AF" w14:textId="77777777" w:rsidR="006F410C" w:rsidRDefault="006F410C" w:rsidP="00590163">
      <w:pPr>
        <w:spacing w:before="100" w:beforeAutospacing="1" w:after="100" w:afterAutospacing="1"/>
        <w:jc w:val="both"/>
        <w:rPr>
          <w:rFonts w:eastAsia="Times New Roman"/>
        </w:rPr>
      </w:pPr>
    </w:p>
    <w:p w14:paraId="0C7965EB" w14:textId="77777777" w:rsidR="006F410C" w:rsidRDefault="006F410C" w:rsidP="00590163">
      <w:pPr>
        <w:spacing w:before="100" w:beforeAutospacing="1" w:after="100" w:afterAutospacing="1"/>
        <w:jc w:val="both"/>
        <w:rPr>
          <w:rFonts w:eastAsia="Times New Roman"/>
        </w:rPr>
      </w:pPr>
    </w:p>
    <w:p w14:paraId="2847A1C5" w14:textId="77777777" w:rsidR="006F410C" w:rsidRDefault="006F410C" w:rsidP="00590163">
      <w:pPr>
        <w:spacing w:before="100" w:beforeAutospacing="1" w:after="100" w:afterAutospacing="1"/>
        <w:jc w:val="both"/>
        <w:rPr>
          <w:rFonts w:eastAsia="Times New Roman"/>
        </w:rPr>
      </w:pPr>
    </w:p>
    <w:p w14:paraId="5F15BB49" w14:textId="77777777" w:rsidR="006F410C" w:rsidRDefault="006F410C" w:rsidP="00590163">
      <w:pPr>
        <w:spacing w:before="100" w:beforeAutospacing="1" w:after="100" w:afterAutospacing="1"/>
        <w:jc w:val="both"/>
        <w:rPr>
          <w:rFonts w:eastAsia="Times New Roman"/>
        </w:rPr>
      </w:pPr>
    </w:p>
    <w:p w14:paraId="5FBECC9D" w14:textId="77777777" w:rsidR="006F410C" w:rsidRDefault="006F410C" w:rsidP="00590163">
      <w:pPr>
        <w:spacing w:before="100" w:beforeAutospacing="1" w:after="100" w:afterAutospacing="1"/>
        <w:jc w:val="both"/>
        <w:rPr>
          <w:rFonts w:eastAsia="Times New Roman"/>
        </w:rPr>
      </w:pPr>
    </w:p>
    <w:p w14:paraId="35BC8EDC" w14:textId="77777777" w:rsidR="0032655A" w:rsidRDefault="0032655A" w:rsidP="00590163">
      <w:pPr>
        <w:spacing w:before="100" w:beforeAutospacing="1" w:after="100" w:afterAutospacing="1"/>
        <w:jc w:val="both"/>
        <w:rPr>
          <w:rFonts w:eastAsia="Times New Roman"/>
        </w:rPr>
      </w:pPr>
    </w:p>
    <w:p w14:paraId="1DC15003" w14:textId="77777777" w:rsidR="00E60E08" w:rsidRDefault="00E60E08" w:rsidP="00E60E08">
      <w:pPr>
        <w:spacing w:before="100" w:beforeAutospacing="1" w:after="100" w:afterAutospacing="1"/>
        <w:jc w:val="both"/>
        <w:rPr>
          <w:rFonts w:eastAsia="Times New Roman"/>
        </w:rPr>
      </w:pPr>
    </w:p>
    <w:p w14:paraId="1C273E83" w14:textId="77777777" w:rsidR="00633AF8" w:rsidRPr="00590163" w:rsidRDefault="00633AF8" w:rsidP="00E60E08">
      <w:pPr>
        <w:spacing w:before="100" w:beforeAutospacing="1" w:after="100" w:afterAutospacing="1"/>
        <w:jc w:val="both"/>
        <w:rPr>
          <w:rFonts w:eastAsia="Times New Roman"/>
        </w:rPr>
      </w:pPr>
    </w:p>
    <w:sectPr w:rsidR="00633AF8" w:rsidRPr="00590163" w:rsidSect="00A562FA">
      <w:footerReference w:type="even" r:id="rId24"/>
      <w:footerReference w:type="default" r:id="rId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F97F3" w14:textId="77777777" w:rsidR="00946AAE" w:rsidRDefault="00946AAE" w:rsidP="00600671">
      <w:r>
        <w:separator/>
      </w:r>
    </w:p>
  </w:endnote>
  <w:endnote w:type="continuationSeparator" w:id="0">
    <w:p w14:paraId="5A68A122" w14:textId="77777777" w:rsidR="00946AAE" w:rsidRDefault="00946AAE" w:rsidP="0060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7C3F8" w14:textId="77777777" w:rsidR="00C56882" w:rsidRDefault="00C56882" w:rsidP="00007C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5CCFF" w14:textId="77777777" w:rsidR="00C56882" w:rsidRDefault="00C56882" w:rsidP="003F1C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7F5DD" w14:textId="536C2254" w:rsidR="00C56882" w:rsidRDefault="00C56882" w:rsidP="00007C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2CA9">
      <w:rPr>
        <w:rStyle w:val="PageNumber"/>
        <w:noProof/>
      </w:rPr>
      <w:t>27</w:t>
    </w:r>
    <w:r>
      <w:rPr>
        <w:rStyle w:val="PageNumber"/>
      </w:rPr>
      <w:fldChar w:fldCharType="end"/>
    </w:r>
  </w:p>
  <w:p w14:paraId="707FF48D" w14:textId="77777777" w:rsidR="00C56882" w:rsidRDefault="00C56882" w:rsidP="003F1C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D5DFE" w14:textId="77777777" w:rsidR="00946AAE" w:rsidRDefault="00946AAE" w:rsidP="00600671">
      <w:r>
        <w:separator/>
      </w:r>
    </w:p>
  </w:footnote>
  <w:footnote w:type="continuationSeparator" w:id="0">
    <w:p w14:paraId="77AE6A4C" w14:textId="77777777" w:rsidR="00946AAE" w:rsidRDefault="00946AAE" w:rsidP="00600671">
      <w:r>
        <w:continuationSeparator/>
      </w:r>
    </w:p>
  </w:footnote>
  <w:footnote w:id="1">
    <w:p w14:paraId="0F81DCCE" w14:textId="77777777" w:rsidR="00C56882" w:rsidRPr="004407D6" w:rsidRDefault="00C56882" w:rsidP="00520EEB">
      <w:pPr>
        <w:jc w:val="both"/>
        <w:rPr>
          <w:sz w:val="20"/>
          <w:szCs w:val="20"/>
        </w:rPr>
      </w:pPr>
      <w:r w:rsidRPr="004407D6">
        <w:rPr>
          <w:rStyle w:val="FootnoteReference"/>
          <w:sz w:val="20"/>
          <w:szCs w:val="20"/>
        </w:rPr>
        <w:footnoteRef/>
      </w:r>
      <w:r w:rsidRPr="004407D6">
        <w:rPr>
          <w:sz w:val="20"/>
          <w:szCs w:val="20"/>
        </w:rPr>
        <w:t xml:space="preserve"> These benefits will be more tangible if their investment strategy corresponds to and complements the foreign firms’ technology and knowledge, or if there is some cognitive proximity with foreign firms. The impact of any spillover will be rather limited if domestic firms focus their innovation efforts on creating their own technology through investment in R&amp;D. In such cases the opportunities for benefiting from labour mobility, imitation or better-quality inputs will be limited. This is because firms that create new knowledge (R&amp;D intensive firms) may focus more on exploiting their internal knowledge potential rather than ‘free-riding’ on other firms’ knowledge. </w:t>
      </w:r>
    </w:p>
    <w:p w14:paraId="04008A14" w14:textId="77777777" w:rsidR="00C56882" w:rsidRPr="004407D6" w:rsidRDefault="00C56882">
      <w:pPr>
        <w:pStyle w:val="FootnoteText"/>
        <w:rPr>
          <w:sz w:val="20"/>
          <w:szCs w:val="20"/>
          <w:lang w:val="hr-HR"/>
        </w:rPr>
      </w:pPr>
    </w:p>
  </w:footnote>
  <w:footnote w:id="2">
    <w:p w14:paraId="23BDE06F" w14:textId="77777777" w:rsidR="00C56882" w:rsidRPr="004407D6" w:rsidRDefault="00C56882" w:rsidP="0009607D">
      <w:pPr>
        <w:autoSpaceDE w:val="0"/>
        <w:autoSpaceDN w:val="0"/>
        <w:adjustRightInd w:val="0"/>
        <w:jc w:val="both"/>
        <w:rPr>
          <w:sz w:val="20"/>
          <w:szCs w:val="20"/>
        </w:rPr>
      </w:pPr>
      <w:r w:rsidRPr="004407D6">
        <w:rPr>
          <w:rStyle w:val="FootnoteReference"/>
          <w:sz w:val="20"/>
          <w:szCs w:val="20"/>
        </w:rPr>
        <w:footnoteRef/>
      </w:r>
      <w:r w:rsidRPr="004407D6">
        <w:rPr>
          <w:sz w:val="20"/>
          <w:szCs w:val="20"/>
        </w:rPr>
        <w:t xml:space="preserve"> The above distinction is well established in innovation studies on developing countries under notion of production and technology capabilities (Dahlman and Westphal, 1982; Dahlman et al, 1987; Bell and Pavitt, 1993). Production capabilities refer to capabilities to produce industrial goods with given technology. Technology capabilities which include R&amp;D, design and engineering knowledge are capabilities to generate and manage change in the technologies used by firms. On a broader level, this is similar to the differentiation between technological competences and technological capabilities elaborated by Iammarino et al. (2012). Competences refer to the firm’s resources (machinery, equipment and employees’ knowledge) which can be used to produce goods reflecting the current state of knowledge. Capabilities, on the other hand, refer to the ability of firms to develop new knowledge manifesting itself in new products.</w:t>
      </w:r>
    </w:p>
    <w:p w14:paraId="4657BA85" w14:textId="77777777" w:rsidR="00C56882" w:rsidRPr="0009607D" w:rsidRDefault="00C56882">
      <w:pPr>
        <w:pStyle w:val="FootnoteText"/>
        <w:rPr>
          <w:lang w:val="hr-HR"/>
        </w:rPr>
      </w:pPr>
    </w:p>
  </w:footnote>
  <w:footnote w:id="3">
    <w:p w14:paraId="2E9B6300" w14:textId="77777777" w:rsidR="00C56882" w:rsidRPr="004407D6" w:rsidRDefault="00C56882" w:rsidP="004407D6">
      <w:pPr>
        <w:jc w:val="both"/>
        <w:rPr>
          <w:bCs/>
          <w:sz w:val="20"/>
          <w:szCs w:val="20"/>
        </w:rPr>
      </w:pPr>
      <w:r w:rsidRPr="004407D6">
        <w:rPr>
          <w:rStyle w:val="FootnoteReference"/>
          <w:sz w:val="20"/>
          <w:szCs w:val="20"/>
        </w:rPr>
        <w:footnoteRef/>
      </w:r>
      <w:r w:rsidRPr="004407D6">
        <w:rPr>
          <w:sz w:val="20"/>
          <w:szCs w:val="20"/>
        </w:rPr>
        <w:t xml:space="preserve"> </w:t>
      </w:r>
      <w:r w:rsidRPr="004407D6">
        <w:rPr>
          <w:bCs/>
          <w:sz w:val="20"/>
          <w:szCs w:val="20"/>
        </w:rPr>
        <w:t xml:space="preserve">Whether each of these effects will materialize and whether they take place through horizontal or vertical channels depend on the proximity between foreign and domestic firms. Cohen and Levinthal (1989) and Nelson and Phelps (1966) theory implies that the greater the gap between technological levels of local and foreign firms, the less spillovers will be absorbed, due to local firms’ lack of the necessary competences. Moreover, as Boschma (2005) explains, firms purposely search for knowledge “proximate” to their own, which sets the limitation to how much these firms can learn through FDI spillovers, irrespective of whether they are sourced from horizontal or vertical linkages.  </w:t>
      </w:r>
    </w:p>
    <w:p w14:paraId="1A31B2F2" w14:textId="77777777" w:rsidR="00C56882" w:rsidRPr="004407D6" w:rsidRDefault="00C56882">
      <w:pPr>
        <w:pStyle w:val="FootnoteText"/>
        <w:rPr>
          <w:lang w:val="hr-HR"/>
        </w:rPr>
      </w:pPr>
    </w:p>
  </w:footnote>
  <w:footnote w:id="4">
    <w:p w14:paraId="7FAAAD60" w14:textId="77777777" w:rsidR="00C56882" w:rsidRPr="00AB0223" w:rsidRDefault="00C56882" w:rsidP="00C714AD">
      <w:pPr>
        <w:pStyle w:val="FootnoteText"/>
        <w:jc w:val="both"/>
        <w:rPr>
          <w:rFonts w:ascii="Times New Roman" w:hAnsi="Times New Roman"/>
          <w:i/>
          <w:sz w:val="20"/>
          <w:szCs w:val="20"/>
        </w:rPr>
      </w:pPr>
      <w:r w:rsidRPr="009F52A5">
        <w:rPr>
          <w:rStyle w:val="FootnoteReference"/>
          <w:rFonts w:ascii="Times New Roman" w:hAnsi="Times New Roman"/>
        </w:rPr>
        <w:footnoteRef/>
      </w:r>
      <w:r>
        <w:rPr>
          <w:rFonts w:ascii="Times New Roman" w:hAnsi="Times New Roman"/>
        </w:rPr>
        <w:t xml:space="preserve"> </w:t>
      </w:r>
      <w:r w:rsidRPr="00D55AE3">
        <w:rPr>
          <w:rFonts w:ascii="Times New Roman" w:hAnsi="Times New Roman"/>
          <w:sz w:val="20"/>
          <w:szCs w:val="20"/>
        </w:rPr>
        <w:t xml:space="preserve">In the original Crépon et al. (1998) paper </w:t>
      </w:r>
      <w:r w:rsidRPr="00D55AE3">
        <w:rPr>
          <w:rFonts w:ascii="Times New Roman" w:hAnsi="Times New Roman"/>
          <w:i/>
          <w:sz w:val="20"/>
          <w:szCs w:val="20"/>
        </w:rPr>
        <w:t>t</w:t>
      </w:r>
      <w:r w:rsidRPr="00D55AE3">
        <w:rPr>
          <w:rFonts w:ascii="Times New Roman" w:hAnsi="Times New Roman"/>
          <w:i/>
          <w:sz w:val="20"/>
          <w:szCs w:val="20"/>
          <w:vertAlign w:val="superscript"/>
        </w:rPr>
        <w:t>*</w:t>
      </w:r>
      <w:r w:rsidRPr="00D55AE3">
        <w:rPr>
          <w:rFonts w:ascii="Times New Roman" w:hAnsi="Times New Roman"/>
          <w:sz w:val="20"/>
          <w:szCs w:val="20"/>
        </w:rPr>
        <w:t xml:space="preserve"> refers to unobserved, true innovation output. However, in most </w:t>
      </w:r>
      <w:r>
        <w:rPr>
          <w:rFonts w:ascii="Times New Roman" w:hAnsi="Times New Roman"/>
          <w:sz w:val="20"/>
          <w:szCs w:val="20"/>
        </w:rPr>
        <w:t xml:space="preserve">empirical </w:t>
      </w:r>
      <w:r w:rsidRPr="00D55AE3">
        <w:rPr>
          <w:rFonts w:ascii="Times New Roman" w:hAnsi="Times New Roman"/>
          <w:sz w:val="20"/>
          <w:szCs w:val="20"/>
        </w:rPr>
        <w:t xml:space="preserve">papers (Lööf and Heshmati, 2002, 2006; Griffith et al., 2006; Hashi and Stojčić, 2013) </w:t>
      </w:r>
      <w:r w:rsidRPr="00D55AE3">
        <w:rPr>
          <w:rFonts w:ascii="Times New Roman" w:hAnsi="Times New Roman"/>
          <w:i/>
          <w:sz w:val="20"/>
          <w:szCs w:val="20"/>
        </w:rPr>
        <w:t>t</w:t>
      </w:r>
      <w:r w:rsidRPr="00D55AE3">
        <w:rPr>
          <w:rFonts w:ascii="Times New Roman" w:hAnsi="Times New Roman"/>
          <w:i/>
          <w:sz w:val="20"/>
          <w:szCs w:val="20"/>
          <w:vertAlign w:val="superscript"/>
        </w:rPr>
        <w:t>*</w:t>
      </w:r>
      <w:r w:rsidRPr="00D55AE3">
        <w:rPr>
          <w:rFonts w:ascii="Times New Roman" w:hAnsi="Times New Roman"/>
          <w:sz w:val="20"/>
          <w:szCs w:val="20"/>
        </w:rPr>
        <w:t xml:space="preserve"> represents observed innovation output. The latter literature in defining the third stage’s dependent variable is followed in our model and labelled with </w:t>
      </w:r>
      <w:r w:rsidRPr="00D55AE3">
        <w:rPr>
          <w:rFonts w:ascii="Times New Roman" w:hAnsi="Times New Roman"/>
          <w:i/>
          <w:sz w:val="20"/>
          <w:szCs w:val="20"/>
        </w:rPr>
        <w:t>t</w:t>
      </w:r>
      <w:r>
        <w:rPr>
          <w:rFonts w:ascii="Times New Roman" w:hAnsi="Times New Roman"/>
          <w:i/>
          <w:sz w:val="20"/>
          <w:szCs w:val="20"/>
        </w:rPr>
        <w:t>.</w:t>
      </w:r>
    </w:p>
  </w:footnote>
  <w:footnote w:id="5">
    <w:p w14:paraId="51CA364F" w14:textId="77777777" w:rsidR="00C56882" w:rsidRDefault="00C56882" w:rsidP="00C714AD">
      <w:pPr>
        <w:pStyle w:val="FootnoteText"/>
        <w:jc w:val="both"/>
      </w:pPr>
      <w:r w:rsidRPr="008E6403">
        <w:rPr>
          <w:rFonts w:ascii="Times New Roman" w:hAnsi="Times New Roman"/>
          <w:sz w:val="20"/>
          <w:szCs w:val="20"/>
          <w:vertAlign w:val="superscript"/>
        </w:rPr>
        <w:footnoteRef/>
      </w:r>
      <w:r w:rsidRPr="008E6403">
        <w:rPr>
          <w:rFonts w:ascii="Times New Roman" w:hAnsi="Times New Roman"/>
          <w:sz w:val="20"/>
          <w:szCs w:val="20"/>
          <w:vertAlign w:val="superscript"/>
        </w:rPr>
        <w:t xml:space="preserve"> </w:t>
      </w:r>
      <w:r w:rsidRPr="001E6FE3">
        <w:rPr>
          <w:rFonts w:ascii="Times New Roman" w:hAnsi="Times New Roman"/>
          <w:sz w:val="20"/>
          <w:szCs w:val="20"/>
        </w:rPr>
        <w:t>The 3SLS estimation allows for correlation of the disturbance terms across the two equations, although assuming homoscedasticity, and is used when outcome variables in multiple equations are jointly dependent or endogenous.</w:t>
      </w:r>
    </w:p>
  </w:footnote>
  <w:footnote w:id="6">
    <w:p w14:paraId="5592470B" w14:textId="77777777" w:rsidR="00C56882" w:rsidRDefault="00C56882" w:rsidP="00C714AD">
      <w:pPr>
        <w:pStyle w:val="FootnoteText"/>
      </w:pPr>
      <w:r w:rsidRPr="0031746D">
        <w:rPr>
          <w:rStyle w:val="FootnoteReference"/>
          <w:rFonts w:ascii="Times New Roman" w:hAnsi="Times New Roman"/>
        </w:rPr>
        <w:footnoteRef/>
      </w:r>
      <w:r>
        <w:t xml:space="preserve"> </w:t>
      </w:r>
      <w:r w:rsidRPr="007803DC">
        <w:rPr>
          <w:rFonts w:ascii="Times New Roman" w:hAnsi="Times New Roman"/>
          <w:sz w:val="20"/>
          <w:szCs w:val="20"/>
        </w:rPr>
        <w:t>Source:</w:t>
      </w:r>
      <w:r w:rsidRPr="007803DC">
        <w:rPr>
          <w:sz w:val="20"/>
          <w:szCs w:val="20"/>
        </w:rPr>
        <w:t xml:space="preserve"> </w:t>
      </w:r>
      <w:r w:rsidRPr="007803DC">
        <w:rPr>
          <w:rFonts w:ascii="Times New Roman" w:hAnsi="Times New Roman"/>
          <w:sz w:val="20"/>
          <w:szCs w:val="20"/>
        </w:rPr>
        <w:t>http://worldmrio.com</w:t>
      </w:r>
      <w:r>
        <w:rPr>
          <w:rFonts w:ascii="Times New Roman" w:hAnsi="Times New Roman"/>
          <w:sz w:val="20"/>
          <w:szCs w:val="20"/>
        </w:rPr>
        <w:t xml:space="preserve"> </w:t>
      </w:r>
    </w:p>
  </w:footnote>
  <w:footnote w:id="7">
    <w:p w14:paraId="67BC62BC" w14:textId="77777777" w:rsidR="00C56882" w:rsidRPr="00517F73" w:rsidRDefault="00C56882" w:rsidP="00C714AD">
      <w:pPr>
        <w:pStyle w:val="FootnoteText"/>
        <w:jc w:val="both"/>
        <w:rPr>
          <w:lang w:val="en-US"/>
        </w:rPr>
      </w:pPr>
      <w:r>
        <w:rPr>
          <w:rStyle w:val="FootnoteReference"/>
        </w:rPr>
        <w:footnoteRef/>
      </w:r>
      <w:r>
        <w:t xml:space="preserve"> </w:t>
      </w:r>
      <w:r w:rsidRPr="00517F73">
        <w:rPr>
          <w:rFonts w:ascii="Times New Roman" w:hAnsi="Times New Roman"/>
          <w:sz w:val="20"/>
          <w:szCs w:val="20"/>
        </w:rPr>
        <w:t>The importance of rivals</w:t>
      </w:r>
      <w:r>
        <w:rPr>
          <w:rFonts w:ascii="Times New Roman" w:hAnsi="Times New Roman"/>
          <w:sz w:val="20"/>
          <w:szCs w:val="20"/>
        </w:rPr>
        <w:t>’</w:t>
      </w:r>
      <w:r w:rsidRPr="00517F73">
        <w:rPr>
          <w:rFonts w:ascii="Times New Roman" w:hAnsi="Times New Roman"/>
          <w:sz w:val="20"/>
          <w:szCs w:val="20"/>
        </w:rPr>
        <w:t xml:space="preserve"> dominant market share as an obstacle to meeting goals. </w:t>
      </w:r>
      <w:r>
        <w:rPr>
          <w:rFonts w:ascii="Times New Roman" w:hAnsi="Times New Roman"/>
          <w:sz w:val="20"/>
          <w:szCs w:val="20"/>
        </w:rPr>
        <w:t xml:space="preserve">This variable has </w:t>
      </w:r>
      <w:r w:rsidRPr="00517F73">
        <w:rPr>
          <w:rFonts w:ascii="Times New Roman" w:hAnsi="Times New Roman"/>
          <w:sz w:val="20"/>
          <w:szCs w:val="20"/>
        </w:rPr>
        <w:t>values ranging from 0 (negligible importance) to 3 (high importance)</w:t>
      </w:r>
      <w:r w:rsidRPr="00517F73">
        <w:rPr>
          <w:lang w:val="en-US"/>
        </w:rPr>
        <w:t xml:space="preserve"> </w:t>
      </w:r>
    </w:p>
  </w:footnote>
  <w:footnote w:id="8">
    <w:p w14:paraId="4124BC29" w14:textId="77777777" w:rsidR="00C56882" w:rsidRPr="00827153" w:rsidRDefault="00C56882" w:rsidP="00827153">
      <w:pPr>
        <w:pStyle w:val="FootnoteText"/>
        <w:jc w:val="both"/>
        <w:rPr>
          <w:rFonts w:ascii="Times New Roman" w:hAnsi="Times New Roman"/>
          <w:sz w:val="20"/>
          <w:szCs w:val="20"/>
        </w:rPr>
      </w:pPr>
      <w:r>
        <w:rPr>
          <w:rStyle w:val="FootnoteReference"/>
        </w:rPr>
        <w:footnoteRef/>
      </w:r>
      <w:r>
        <w:t xml:space="preserve"> </w:t>
      </w:r>
      <w:r>
        <w:rPr>
          <w:rFonts w:ascii="Times New Roman" w:hAnsi="Times New Roman"/>
          <w:sz w:val="20"/>
          <w:szCs w:val="20"/>
        </w:rPr>
        <w:t>This variable is created through factor analysis</w:t>
      </w:r>
      <w:r>
        <w:rPr>
          <w:rFonts w:ascii="Times New Roman" w:hAnsi="Times New Roman"/>
          <w:sz w:val="20"/>
          <w:szCs w:val="20"/>
          <w:lang w:val="en-US"/>
        </w:rPr>
        <w:t>. It represents the variation of two variables taking values 0 to 3 and showing the</w:t>
      </w:r>
      <w:r w:rsidRPr="00751C3F">
        <w:rPr>
          <w:rFonts w:ascii="Times New Roman" w:hAnsi="Times New Roman"/>
          <w:sz w:val="20"/>
          <w:szCs w:val="20"/>
          <w:lang w:val="en-US"/>
        </w:rPr>
        <w:t xml:space="preserve"> importance of unpredictable demand as an obstacle to meeting goals</w:t>
      </w:r>
      <w:r>
        <w:rPr>
          <w:rFonts w:ascii="Times New Roman" w:hAnsi="Times New Roman"/>
          <w:sz w:val="20"/>
          <w:szCs w:val="20"/>
          <w:lang w:val="en-US"/>
        </w:rPr>
        <w:t xml:space="preserve"> </w:t>
      </w:r>
      <w:r w:rsidRPr="00751C3F">
        <w:rPr>
          <w:rFonts w:ascii="Times New Roman" w:hAnsi="Times New Roman"/>
          <w:sz w:val="20"/>
          <w:szCs w:val="20"/>
          <w:lang w:val="en-US"/>
        </w:rPr>
        <w:t xml:space="preserve">and </w:t>
      </w:r>
      <w:r>
        <w:rPr>
          <w:rFonts w:ascii="Times New Roman" w:hAnsi="Times New Roman"/>
          <w:sz w:val="20"/>
          <w:szCs w:val="20"/>
          <w:lang w:val="en-US"/>
        </w:rPr>
        <w:t>t</w:t>
      </w:r>
      <w:r w:rsidRPr="00751C3F">
        <w:rPr>
          <w:rFonts w:ascii="Times New Roman" w:hAnsi="Times New Roman"/>
          <w:sz w:val="20"/>
          <w:szCs w:val="20"/>
          <w:lang w:val="en-US"/>
        </w:rPr>
        <w:t>he importance of rivals’ innovation as an obstacle to meeting goals</w:t>
      </w:r>
      <w:r>
        <w:rPr>
          <w:rFonts w:ascii="Times New Roman" w:hAnsi="Times New Roman"/>
          <w:sz w:val="20"/>
          <w:szCs w:val="20"/>
          <w:lang w:val="en-US"/>
        </w:rPr>
        <w:t>.</w:t>
      </w:r>
    </w:p>
  </w:footnote>
  <w:footnote w:id="9">
    <w:p w14:paraId="39534005" w14:textId="77777777" w:rsidR="00C56882" w:rsidRPr="00BA41CD" w:rsidRDefault="00C56882" w:rsidP="00590163">
      <w:pPr>
        <w:pStyle w:val="FootnoteText"/>
        <w:jc w:val="both"/>
        <w:rPr>
          <w:sz w:val="20"/>
          <w:szCs w:val="20"/>
        </w:rPr>
      </w:pPr>
      <w:r w:rsidRPr="00BA41CD">
        <w:rPr>
          <w:rStyle w:val="FootnoteReference"/>
          <w:sz w:val="20"/>
          <w:szCs w:val="20"/>
        </w:rPr>
        <w:footnoteRef/>
      </w:r>
      <w:r w:rsidRPr="00BA41CD">
        <w:rPr>
          <w:sz w:val="20"/>
          <w:szCs w:val="20"/>
        </w:rPr>
        <w:t xml:space="preserve"> In equation 1, the 95% confidence intervals for the horizontal spillovers effect are, respectively, [0.011, 0.144] and [0.166, 0.318] for </w:t>
      </w:r>
      <w:r>
        <w:rPr>
          <w:sz w:val="20"/>
          <w:szCs w:val="20"/>
        </w:rPr>
        <w:t>specification a</w:t>
      </w:r>
      <w:r w:rsidRPr="00BA41CD">
        <w:rPr>
          <w:sz w:val="20"/>
          <w:szCs w:val="20"/>
        </w:rPr>
        <w:t xml:space="preserve"> and </w:t>
      </w:r>
      <w:r>
        <w:rPr>
          <w:sz w:val="20"/>
          <w:szCs w:val="20"/>
        </w:rPr>
        <w:t>specification b</w:t>
      </w:r>
      <w:r w:rsidRPr="00BA41CD">
        <w:rPr>
          <w:sz w:val="20"/>
          <w:szCs w:val="20"/>
        </w:rPr>
        <w:t xml:space="preserve"> while respective confidence intervals are [0.023, 0.897] and [1.447, 2.757] for equation 2. </w:t>
      </w:r>
      <w:r w:rsidRPr="00BA41CD">
        <w:t xml:space="preserve"> </w:t>
      </w:r>
    </w:p>
  </w:footnote>
  <w:footnote w:id="10">
    <w:p w14:paraId="49CBD276" w14:textId="77777777" w:rsidR="00C56882" w:rsidRDefault="00C56882" w:rsidP="00BD1810">
      <w:pPr>
        <w:pStyle w:val="FootnoteText"/>
        <w:jc w:val="both"/>
      </w:pPr>
      <w:r>
        <w:rPr>
          <w:rStyle w:val="FootnoteReference"/>
        </w:rPr>
        <w:footnoteRef/>
      </w:r>
      <w:r>
        <w:t xml:space="preserve"> </w:t>
      </w:r>
      <w:r w:rsidRPr="00506BAE">
        <w:rPr>
          <w:sz w:val="20"/>
          <w:szCs w:val="20"/>
        </w:rPr>
        <w:t>HH index is a measure of market concentration, as presented in the table of results. If the effect of market conce</w:t>
      </w:r>
      <w:r>
        <w:rPr>
          <w:sz w:val="20"/>
          <w:szCs w:val="20"/>
        </w:rPr>
        <w:t>ntration</w:t>
      </w:r>
      <w:r w:rsidRPr="00506BAE">
        <w:rPr>
          <w:sz w:val="20"/>
          <w:szCs w:val="20"/>
        </w:rPr>
        <w:t xml:space="preserve"> is positive/negative, the effect of market concentration is reversed – negative/positive.</w:t>
      </w:r>
      <w:r>
        <w:t xml:space="preserve"> </w:t>
      </w:r>
    </w:p>
  </w:footnote>
  <w:footnote w:id="11">
    <w:p w14:paraId="2B55E01F" w14:textId="77777777" w:rsidR="00C56882" w:rsidRPr="00590163" w:rsidRDefault="00C56882" w:rsidP="00922A89">
      <w:pPr>
        <w:pStyle w:val="NormalWeb"/>
        <w:jc w:val="both"/>
        <w:rPr>
          <w:rFonts w:ascii="Calibri" w:eastAsia="Times New Roman" w:hAnsi="Calibri"/>
          <w:sz w:val="20"/>
          <w:szCs w:val="20"/>
        </w:rPr>
      </w:pPr>
      <w:r w:rsidRPr="00BA41CD">
        <w:rPr>
          <w:rStyle w:val="FootnoteReference"/>
          <w:rFonts w:ascii="Calibri" w:hAnsi="Calibri"/>
        </w:rPr>
        <w:footnoteRef/>
      </w:r>
      <w:r w:rsidRPr="00BA41CD">
        <w:rPr>
          <w:rFonts w:ascii="Calibri" w:hAnsi="Calibri"/>
        </w:rPr>
        <w:t xml:space="preserve"> </w:t>
      </w:r>
      <w:r w:rsidRPr="00590163">
        <w:rPr>
          <w:rFonts w:ascii="Calibri" w:hAnsi="Calibri"/>
          <w:sz w:val="20"/>
          <w:szCs w:val="20"/>
        </w:rPr>
        <w:t xml:space="preserve">In this study vertical spillovers represent combined learning between various industries engaged in customer-supplier relationship, aggregated together, regardless of how closely related they are technologically and in terms of markets they serve. With lower level of aggregation, one can distinguish learning through vertical linkage occurring between closely related industries. However, when higher level of aggregation is used, vertical spillovers reveal aggregated learning effect emerging between </w:t>
      </w:r>
      <w:r w:rsidRPr="00590163">
        <w:rPr>
          <w:rFonts w:ascii="Calibri" w:eastAsia="Times New Roman" w:hAnsi="Calibri"/>
          <w:sz w:val="20"/>
          <w:szCs w:val="20"/>
        </w:rPr>
        <w:t xml:space="preserve">different industries (with different technological intensities and production) engaged in customer-supplier relationship. This might explain strong combined effect of backward spillovers in particular. Considering this and the nature of this measure overall, the economic significance of vertical spillovers will not be discussed. </w:t>
      </w:r>
    </w:p>
    <w:p w14:paraId="1883C447" w14:textId="77777777" w:rsidR="00C56882" w:rsidRPr="0053516D" w:rsidRDefault="00C56882" w:rsidP="00922A89">
      <w:pPr>
        <w:pStyle w:val="FootnoteText"/>
      </w:pPr>
    </w:p>
    <w:p w14:paraId="120DA86B" w14:textId="77777777" w:rsidR="00C56882" w:rsidRDefault="00C56882" w:rsidP="00922A89">
      <w:pPr>
        <w:pStyle w:val="FootnoteText"/>
      </w:pPr>
    </w:p>
  </w:footnote>
  <w:footnote w:id="12">
    <w:p w14:paraId="669EA8CE" w14:textId="74205F8B" w:rsidR="00C56882" w:rsidRPr="00B37699" w:rsidRDefault="00C56882" w:rsidP="005C2C19">
      <w:pPr>
        <w:pStyle w:val="FootnoteText"/>
        <w:jc w:val="both"/>
        <w:rPr>
          <w:sz w:val="20"/>
          <w:szCs w:val="20"/>
        </w:rPr>
      </w:pPr>
      <w:r w:rsidRPr="00B37699">
        <w:rPr>
          <w:rStyle w:val="FootnoteReference"/>
          <w:sz w:val="20"/>
          <w:szCs w:val="20"/>
        </w:rPr>
        <w:footnoteRef/>
      </w:r>
      <w:r w:rsidRPr="00B37699">
        <w:rPr>
          <w:sz w:val="20"/>
          <w:szCs w:val="20"/>
        </w:rPr>
        <w:t xml:space="preserve"> The dependent variable in Equation 3 is </w:t>
      </w:r>
      <w:r w:rsidR="005C2C19">
        <w:rPr>
          <w:sz w:val="20"/>
          <w:szCs w:val="20"/>
        </w:rPr>
        <w:t>the percentage</w:t>
      </w:r>
      <w:r w:rsidRPr="00B37699">
        <w:rPr>
          <w:sz w:val="20"/>
          <w:szCs w:val="20"/>
        </w:rPr>
        <w:t xml:space="preserve"> of sales revenue coming from new products and services. If innovation spending affect</w:t>
      </w:r>
      <w:r w:rsidR="005C2C19">
        <w:rPr>
          <w:sz w:val="20"/>
          <w:szCs w:val="20"/>
        </w:rPr>
        <w:t>s</w:t>
      </w:r>
      <w:r w:rsidRPr="00B37699">
        <w:rPr>
          <w:sz w:val="20"/>
          <w:szCs w:val="20"/>
        </w:rPr>
        <w:t xml:space="preserve"> the </w:t>
      </w:r>
      <w:r w:rsidR="005C2C19">
        <w:rPr>
          <w:sz w:val="20"/>
          <w:szCs w:val="20"/>
        </w:rPr>
        <w:t>percentage</w:t>
      </w:r>
      <w:r w:rsidRPr="00B37699">
        <w:rPr>
          <w:sz w:val="20"/>
          <w:szCs w:val="20"/>
        </w:rPr>
        <w:t xml:space="preserve"> of sales revenue coming from </w:t>
      </w:r>
      <w:r w:rsidRPr="00B37699">
        <w:rPr>
          <w:i/>
          <w:sz w:val="20"/>
          <w:szCs w:val="20"/>
        </w:rPr>
        <w:t>new</w:t>
      </w:r>
      <w:r w:rsidRPr="00B37699">
        <w:rPr>
          <w:sz w:val="20"/>
          <w:szCs w:val="20"/>
        </w:rPr>
        <w:t xml:space="preserve"> products and services</w:t>
      </w:r>
      <w:r w:rsidR="005C2C19" w:rsidRPr="005C2C19">
        <w:rPr>
          <w:sz w:val="20"/>
          <w:szCs w:val="20"/>
        </w:rPr>
        <w:t xml:space="preserve"> </w:t>
      </w:r>
      <w:r w:rsidR="005C2C19" w:rsidRPr="00B37699">
        <w:rPr>
          <w:sz w:val="20"/>
          <w:szCs w:val="20"/>
        </w:rPr>
        <w:t>negatively</w:t>
      </w:r>
      <w:r>
        <w:rPr>
          <w:sz w:val="20"/>
          <w:szCs w:val="20"/>
        </w:rPr>
        <w:t xml:space="preserve">, then </w:t>
      </w:r>
      <w:r w:rsidR="005C2C19">
        <w:rPr>
          <w:sz w:val="20"/>
          <w:szCs w:val="20"/>
        </w:rPr>
        <w:t xml:space="preserve">it </w:t>
      </w:r>
      <w:r>
        <w:rPr>
          <w:sz w:val="20"/>
          <w:szCs w:val="20"/>
        </w:rPr>
        <w:t xml:space="preserve">should affect </w:t>
      </w:r>
      <w:r w:rsidR="005C2C19">
        <w:rPr>
          <w:sz w:val="20"/>
          <w:szCs w:val="20"/>
        </w:rPr>
        <w:t>the percentage</w:t>
      </w:r>
      <w:r>
        <w:rPr>
          <w:sz w:val="20"/>
          <w:szCs w:val="20"/>
        </w:rPr>
        <w:t xml:space="preserve"> of sales revenue coming from </w:t>
      </w:r>
      <w:r w:rsidRPr="00B37699">
        <w:rPr>
          <w:i/>
          <w:sz w:val="20"/>
          <w:szCs w:val="20"/>
        </w:rPr>
        <w:t xml:space="preserve">existing </w:t>
      </w:r>
      <w:r>
        <w:rPr>
          <w:i/>
          <w:sz w:val="20"/>
          <w:szCs w:val="20"/>
        </w:rPr>
        <w:t xml:space="preserve"> </w:t>
      </w:r>
      <w:r>
        <w:rPr>
          <w:sz w:val="20"/>
          <w:szCs w:val="20"/>
        </w:rPr>
        <w:t>product</w:t>
      </w:r>
      <w:r w:rsidR="005C2C19">
        <w:rPr>
          <w:sz w:val="20"/>
          <w:szCs w:val="20"/>
        </w:rPr>
        <w:t>s</w:t>
      </w:r>
      <w:r>
        <w:rPr>
          <w:sz w:val="20"/>
          <w:szCs w:val="20"/>
        </w:rPr>
        <w:t xml:space="preserve"> and services</w:t>
      </w:r>
      <w:r w:rsidR="005C2C19" w:rsidRPr="005C2C19">
        <w:rPr>
          <w:sz w:val="20"/>
          <w:szCs w:val="20"/>
        </w:rPr>
        <w:t xml:space="preserve"> </w:t>
      </w:r>
      <w:r w:rsidR="005C2C19">
        <w:rPr>
          <w:sz w:val="20"/>
          <w:szCs w:val="20"/>
        </w:rPr>
        <w:t>positively</w:t>
      </w: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F6A5C"/>
    <w:multiLevelType w:val="hybridMultilevel"/>
    <w:tmpl w:val="B182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27AFF"/>
    <w:multiLevelType w:val="multilevel"/>
    <w:tmpl w:val="BAF6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E051F"/>
    <w:multiLevelType w:val="multilevel"/>
    <w:tmpl w:val="5AB08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645CFA"/>
    <w:multiLevelType w:val="hybridMultilevel"/>
    <w:tmpl w:val="7E6A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0D440F"/>
    <w:multiLevelType w:val="hybridMultilevel"/>
    <w:tmpl w:val="7F0C7856"/>
    <w:lvl w:ilvl="0" w:tplc="801AF86E">
      <w:numFmt w:val="bullet"/>
      <w:lvlText w:val="-"/>
      <w:lvlJc w:val="left"/>
      <w:pPr>
        <w:ind w:left="720" w:hanging="360"/>
      </w:pPr>
      <w:rPr>
        <w:rFonts w:ascii="Times New Roman" w:eastAsia="Calibri" w:hAnsi="Times New Roman" w:cs="Times New Roman" w:hint="default"/>
      </w:rPr>
    </w:lvl>
    <w:lvl w:ilvl="1" w:tplc="2C2C1A72" w:tentative="1">
      <w:start w:val="1"/>
      <w:numFmt w:val="bullet"/>
      <w:lvlText w:val="o"/>
      <w:lvlJc w:val="left"/>
      <w:pPr>
        <w:ind w:left="1440" w:hanging="360"/>
      </w:pPr>
      <w:rPr>
        <w:rFonts w:ascii="Courier New" w:hAnsi="Courier New" w:cs="Courier New" w:hint="default"/>
      </w:rPr>
    </w:lvl>
    <w:lvl w:ilvl="2" w:tplc="DAC8A33E" w:tentative="1">
      <w:start w:val="1"/>
      <w:numFmt w:val="bullet"/>
      <w:lvlText w:val=""/>
      <w:lvlJc w:val="left"/>
      <w:pPr>
        <w:ind w:left="2160" w:hanging="360"/>
      </w:pPr>
      <w:rPr>
        <w:rFonts w:ascii="Wingdings" w:hAnsi="Wingdings" w:hint="default"/>
      </w:rPr>
    </w:lvl>
    <w:lvl w:ilvl="3" w:tplc="EA8A5920" w:tentative="1">
      <w:start w:val="1"/>
      <w:numFmt w:val="bullet"/>
      <w:lvlText w:val=""/>
      <w:lvlJc w:val="left"/>
      <w:pPr>
        <w:ind w:left="2880" w:hanging="360"/>
      </w:pPr>
      <w:rPr>
        <w:rFonts w:ascii="Symbol" w:hAnsi="Symbol" w:hint="default"/>
      </w:rPr>
    </w:lvl>
    <w:lvl w:ilvl="4" w:tplc="7A8A6B8E" w:tentative="1">
      <w:start w:val="1"/>
      <w:numFmt w:val="bullet"/>
      <w:lvlText w:val="o"/>
      <w:lvlJc w:val="left"/>
      <w:pPr>
        <w:ind w:left="3600" w:hanging="360"/>
      </w:pPr>
      <w:rPr>
        <w:rFonts w:ascii="Courier New" w:hAnsi="Courier New" w:cs="Courier New" w:hint="default"/>
      </w:rPr>
    </w:lvl>
    <w:lvl w:ilvl="5" w:tplc="A5A07BAC" w:tentative="1">
      <w:start w:val="1"/>
      <w:numFmt w:val="bullet"/>
      <w:lvlText w:val=""/>
      <w:lvlJc w:val="left"/>
      <w:pPr>
        <w:ind w:left="4320" w:hanging="360"/>
      </w:pPr>
      <w:rPr>
        <w:rFonts w:ascii="Wingdings" w:hAnsi="Wingdings" w:hint="default"/>
      </w:rPr>
    </w:lvl>
    <w:lvl w:ilvl="6" w:tplc="F3627B54" w:tentative="1">
      <w:start w:val="1"/>
      <w:numFmt w:val="bullet"/>
      <w:lvlText w:val=""/>
      <w:lvlJc w:val="left"/>
      <w:pPr>
        <w:ind w:left="5040" w:hanging="360"/>
      </w:pPr>
      <w:rPr>
        <w:rFonts w:ascii="Symbol" w:hAnsi="Symbol" w:hint="default"/>
      </w:rPr>
    </w:lvl>
    <w:lvl w:ilvl="7" w:tplc="C446429A" w:tentative="1">
      <w:start w:val="1"/>
      <w:numFmt w:val="bullet"/>
      <w:lvlText w:val="o"/>
      <w:lvlJc w:val="left"/>
      <w:pPr>
        <w:ind w:left="5760" w:hanging="360"/>
      </w:pPr>
      <w:rPr>
        <w:rFonts w:ascii="Courier New" w:hAnsi="Courier New" w:cs="Courier New" w:hint="default"/>
      </w:rPr>
    </w:lvl>
    <w:lvl w:ilvl="8" w:tplc="5BA6878E"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3MDQzNTA0NDExNzBS0lEKTi0uzszPAykwqQUAjfy6OSwAAAA="/>
  </w:docVars>
  <w:rsids>
    <w:rsidRoot w:val="002423FF"/>
    <w:rsid w:val="00006FB7"/>
    <w:rsid w:val="00007CE6"/>
    <w:rsid w:val="00012FD3"/>
    <w:rsid w:val="00013CCB"/>
    <w:rsid w:val="00014DC2"/>
    <w:rsid w:val="000158E8"/>
    <w:rsid w:val="0001618E"/>
    <w:rsid w:val="00016864"/>
    <w:rsid w:val="0002240E"/>
    <w:rsid w:val="00027A3B"/>
    <w:rsid w:val="00027F05"/>
    <w:rsid w:val="00033071"/>
    <w:rsid w:val="000343C2"/>
    <w:rsid w:val="00035A44"/>
    <w:rsid w:val="0003641C"/>
    <w:rsid w:val="00036909"/>
    <w:rsid w:val="00043BF0"/>
    <w:rsid w:val="000457F0"/>
    <w:rsid w:val="00047026"/>
    <w:rsid w:val="00050419"/>
    <w:rsid w:val="000508A2"/>
    <w:rsid w:val="00054015"/>
    <w:rsid w:val="00057A50"/>
    <w:rsid w:val="00060836"/>
    <w:rsid w:val="0006459F"/>
    <w:rsid w:val="00065376"/>
    <w:rsid w:val="0007423D"/>
    <w:rsid w:val="000808C8"/>
    <w:rsid w:val="00081C6C"/>
    <w:rsid w:val="00094AB8"/>
    <w:rsid w:val="0009607D"/>
    <w:rsid w:val="00097C6D"/>
    <w:rsid w:val="000A0531"/>
    <w:rsid w:val="000A0C5E"/>
    <w:rsid w:val="000A1C53"/>
    <w:rsid w:val="000A306B"/>
    <w:rsid w:val="000A332C"/>
    <w:rsid w:val="000A42F3"/>
    <w:rsid w:val="000A5537"/>
    <w:rsid w:val="000A6EAD"/>
    <w:rsid w:val="000A7D05"/>
    <w:rsid w:val="000B1C36"/>
    <w:rsid w:val="000B21C5"/>
    <w:rsid w:val="000B2B77"/>
    <w:rsid w:val="000B3B10"/>
    <w:rsid w:val="000B49CA"/>
    <w:rsid w:val="000B4B7F"/>
    <w:rsid w:val="000B4D17"/>
    <w:rsid w:val="000B6097"/>
    <w:rsid w:val="000C4784"/>
    <w:rsid w:val="000C4DC6"/>
    <w:rsid w:val="000C52CC"/>
    <w:rsid w:val="000D2181"/>
    <w:rsid w:val="000D28D5"/>
    <w:rsid w:val="000D5050"/>
    <w:rsid w:val="000D64E1"/>
    <w:rsid w:val="000D75A5"/>
    <w:rsid w:val="000E0842"/>
    <w:rsid w:val="000E0D6B"/>
    <w:rsid w:val="000E458B"/>
    <w:rsid w:val="000E53E4"/>
    <w:rsid w:val="000F237C"/>
    <w:rsid w:val="000F2C87"/>
    <w:rsid w:val="000F76DA"/>
    <w:rsid w:val="00102824"/>
    <w:rsid w:val="00103A5E"/>
    <w:rsid w:val="001058E9"/>
    <w:rsid w:val="00110FF9"/>
    <w:rsid w:val="0011196F"/>
    <w:rsid w:val="00112416"/>
    <w:rsid w:val="00114129"/>
    <w:rsid w:val="0011538B"/>
    <w:rsid w:val="00117648"/>
    <w:rsid w:val="0012006F"/>
    <w:rsid w:val="001227C4"/>
    <w:rsid w:val="00123F2E"/>
    <w:rsid w:val="001242F4"/>
    <w:rsid w:val="001325C8"/>
    <w:rsid w:val="00132C88"/>
    <w:rsid w:val="00142499"/>
    <w:rsid w:val="00143328"/>
    <w:rsid w:val="00143913"/>
    <w:rsid w:val="00145E6E"/>
    <w:rsid w:val="0015163F"/>
    <w:rsid w:val="00151E44"/>
    <w:rsid w:val="001536DF"/>
    <w:rsid w:val="00160DE9"/>
    <w:rsid w:val="001635C0"/>
    <w:rsid w:val="00163714"/>
    <w:rsid w:val="00164508"/>
    <w:rsid w:val="00165D62"/>
    <w:rsid w:val="00167542"/>
    <w:rsid w:val="00170DE0"/>
    <w:rsid w:val="00171140"/>
    <w:rsid w:val="00171F40"/>
    <w:rsid w:val="00176CE0"/>
    <w:rsid w:val="00182CE7"/>
    <w:rsid w:val="00186836"/>
    <w:rsid w:val="00186A4D"/>
    <w:rsid w:val="001876EA"/>
    <w:rsid w:val="001920C6"/>
    <w:rsid w:val="0019390E"/>
    <w:rsid w:val="001B3CF0"/>
    <w:rsid w:val="001B659D"/>
    <w:rsid w:val="001C1B16"/>
    <w:rsid w:val="001C3B8C"/>
    <w:rsid w:val="001C637A"/>
    <w:rsid w:val="001C67CF"/>
    <w:rsid w:val="001C74D4"/>
    <w:rsid w:val="001D1457"/>
    <w:rsid w:val="001D4BB1"/>
    <w:rsid w:val="001D75E0"/>
    <w:rsid w:val="001E1E55"/>
    <w:rsid w:val="001E2511"/>
    <w:rsid w:val="001E6358"/>
    <w:rsid w:val="001F1AC1"/>
    <w:rsid w:val="001F2CA9"/>
    <w:rsid w:val="001F6F7F"/>
    <w:rsid w:val="001F77FF"/>
    <w:rsid w:val="002003E0"/>
    <w:rsid w:val="00200F31"/>
    <w:rsid w:val="00204208"/>
    <w:rsid w:val="00204235"/>
    <w:rsid w:val="0020532A"/>
    <w:rsid w:val="00213329"/>
    <w:rsid w:val="00214AB2"/>
    <w:rsid w:val="00217950"/>
    <w:rsid w:val="00227F2B"/>
    <w:rsid w:val="00235648"/>
    <w:rsid w:val="00240388"/>
    <w:rsid w:val="002423FF"/>
    <w:rsid w:val="00242D0E"/>
    <w:rsid w:val="002441FF"/>
    <w:rsid w:val="002452D7"/>
    <w:rsid w:val="0024621D"/>
    <w:rsid w:val="00247EF8"/>
    <w:rsid w:val="002504E4"/>
    <w:rsid w:val="00253476"/>
    <w:rsid w:val="002534AA"/>
    <w:rsid w:val="00253509"/>
    <w:rsid w:val="00256AE0"/>
    <w:rsid w:val="0026054A"/>
    <w:rsid w:val="002640B4"/>
    <w:rsid w:val="00264B81"/>
    <w:rsid w:val="00265517"/>
    <w:rsid w:val="0027001D"/>
    <w:rsid w:val="00270DC3"/>
    <w:rsid w:val="0027128B"/>
    <w:rsid w:val="00277147"/>
    <w:rsid w:val="00281265"/>
    <w:rsid w:val="00283BE5"/>
    <w:rsid w:val="00287C73"/>
    <w:rsid w:val="00292EE8"/>
    <w:rsid w:val="00294D7B"/>
    <w:rsid w:val="002A06F7"/>
    <w:rsid w:val="002A1D62"/>
    <w:rsid w:val="002A6C57"/>
    <w:rsid w:val="002B0FC9"/>
    <w:rsid w:val="002B4964"/>
    <w:rsid w:val="002B7BDF"/>
    <w:rsid w:val="002C2086"/>
    <w:rsid w:val="002C3159"/>
    <w:rsid w:val="002D06E7"/>
    <w:rsid w:val="002D5860"/>
    <w:rsid w:val="002E14B2"/>
    <w:rsid w:val="002E2952"/>
    <w:rsid w:val="002E3537"/>
    <w:rsid w:val="002E42DB"/>
    <w:rsid w:val="002E4A8C"/>
    <w:rsid w:val="002E5064"/>
    <w:rsid w:val="002E6AC8"/>
    <w:rsid w:val="002E7C7A"/>
    <w:rsid w:val="002F2B84"/>
    <w:rsid w:val="002F2E65"/>
    <w:rsid w:val="0030165E"/>
    <w:rsid w:val="00301FDD"/>
    <w:rsid w:val="00306137"/>
    <w:rsid w:val="003061D9"/>
    <w:rsid w:val="00310645"/>
    <w:rsid w:val="00310D0A"/>
    <w:rsid w:val="0031105A"/>
    <w:rsid w:val="00315271"/>
    <w:rsid w:val="0031551D"/>
    <w:rsid w:val="003165A8"/>
    <w:rsid w:val="00322F43"/>
    <w:rsid w:val="0032655A"/>
    <w:rsid w:val="00327ED1"/>
    <w:rsid w:val="00330194"/>
    <w:rsid w:val="003328D4"/>
    <w:rsid w:val="003444D5"/>
    <w:rsid w:val="00347127"/>
    <w:rsid w:val="00350488"/>
    <w:rsid w:val="00361620"/>
    <w:rsid w:val="00363902"/>
    <w:rsid w:val="00363EE4"/>
    <w:rsid w:val="00364D2F"/>
    <w:rsid w:val="003654AB"/>
    <w:rsid w:val="0037338D"/>
    <w:rsid w:val="003744A2"/>
    <w:rsid w:val="00374A92"/>
    <w:rsid w:val="0038083F"/>
    <w:rsid w:val="003819F3"/>
    <w:rsid w:val="00383271"/>
    <w:rsid w:val="00383A21"/>
    <w:rsid w:val="00384290"/>
    <w:rsid w:val="00387CA6"/>
    <w:rsid w:val="003922AF"/>
    <w:rsid w:val="003936D6"/>
    <w:rsid w:val="00393A2C"/>
    <w:rsid w:val="00394DE8"/>
    <w:rsid w:val="00397AE8"/>
    <w:rsid w:val="003A13CA"/>
    <w:rsid w:val="003A21A2"/>
    <w:rsid w:val="003A4CE2"/>
    <w:rsid w:val="003A69E0"/>
    <w:rsid w:val="003A752C"/>
    <w:rsid w:val="003A777C"/>
    <w:rsid w:val="003B38B5"/>
    <w:rsid w:val="003B72DF"/>
    <w:rsid w:val="003C039E"/>
    <w:rsid w:val="003C4067"/>
    <w:rsid w:val="003C6125"/>
    <w:rsid w:val="003C67EF"/>
    <w:rsid w:val="003C705B"/>
    <w:rsid w:val="003D0FEC"/>
    <w:rsid w:val="003D4D38"/>
    <w:rsid w:val="003D55BA"/>
    <w:rsid w:val="003D5D61"/>
    <w:rsid w:val="003D7CA7"/>
    <w:rsid w:val="003F0219"/>
    <w:rsid w:val="003F1CF8"/>
    <w:rsid w:val="003F2884"/>
    <w:rsid w:val="003F2CFB"/>
    <w:rsid w:val="0040379F"/>
    <w:rsid w:val="00404071"/>
    <w:rsid w:val="00407C5D"/>
    <w:rsid w:val="00412762"/>
    <w:rsid w:val="00415636"/>
    <w:rsid w:val="00416314"/>
    <w:rsid w:val="004203B0"/>
    <w:rsid w:val="004351B7"/>
    <w:rsid w:val="004407D6"/>
    <w:rsid w:val="00440A4A"/>
    <w:rsid w:val="00444BAA"/>
    <w:rsid w:val="004456ED"/>
    <w:rsid w:val="00450607"/>
    <w:rsid w:val="00450935"/>
    <w:rsid w:val="004531B1"/>
    <w:rsid w:val="00454CCA"/>
    <w:rsid w:val="004615F3"/>
    <w:rsid w:val="00462848"/>
    <w:rsid w:val="00463108"/>
    <w:rsid w:val="00466110"/>
    <w:rsid w:val="00467145"/>
    <w:rsid w:val="00467C36"/>
    <w:rsid w:val="00470717"/>
    <w:rsid w:val="00472A7F"/>
    <w:rsid w:val="00473506"/>
    <w:rsid w:val="00474DCE"/>
    <w:rsid w:val="00475EB3"/>
    <w:rsid w:val="00477581"/>
    <w:rsid w:val="00482CC7"/>
    <w:rsid w:val="004833F3"/>
    <w:rsid w:val="004844C8"/>
    <w:rsid w:val="00487368"/>
    <w:rsid w:val="0049067B"/>
    <w:rsid w:val="00491733"/>
    <w:rsid w:val="00492EDB"/>
    <w:rsid w:val="00497C53"/>
    <w:rsid w:val="004A2840"/>
    <w:rsid w:val="004A4546"/>
    <w:rsid w:val="004A7AE1"/>
    <w:rsid w:val="004B4535"/>
    <w:rsid w:val="004B4649"/>
    <w:rsid w:val="004C2915"/>
    <w:rsid w:val="004C6CB8"/>
    <w:rsid w:val="004D3DBE"/>
    <w:rsid w:val="004E0800"/>
    <w:rsid w:val="004E1BE5"/>
    <w:rsid w:val="004E6893"/>
    <w:rsid w:val="004E7BA4"/>
    <w:rsid w:val="004F108F"/>
    <w:rsid w:val="004F2527"/>
    <w:rsid w:val="004F26D3"/>
    <w:rsid w:val="005013EC"/>
    <w:rsid w:val="00506004"/>
    <w:rsid w:val="00506526"/>
    <w:rsid w:val="00506BAE"/>
    <w:rsid w:val="00510034"/>
    <w:rsid w:val="00514B45"/>
    <w:rsid w:val="00517F73"/>
    <w:rsid w:val="00520EEB"/>
    <w:rsid w:val="00521BB6"/>
    <w:rsid w:val="00523D21"/>
    <w:rsid w:val="00523D6D"/>
    <w:rsid w:val="005302D8"/>
    <w:rsid w:val="00530709"/>
    <w:rsid w:val="0053279E"/>
    <w:rsid w:val="00533AE1"/>
    <w:rsid w:val="00534F94"/>
    <w:rsid w:val="0053516D"/>
    <w:rsid w:val="005378BA"/>
    <w:rsid w:val="00540404"/>
    <w:rsid w:val="00545829"/>
    <w:rsid w:val="00547C61"/>
    <w:rsid w:val="00552620"/>
    <w:rsid w:val="00552EEA"/>
    <w:rsid w:val="00555C18"/>
    <w:rsid w:val="005571FA"/>
    <w:rsid w:val="005603DB"/>
    <w:rsid w:val="00563138"/>
    <w:rsid w:val="00563EED"/>
    <w:rsid w:val="00565B69"/>
    <w:rsid w:val="005752F0"/>
    <w:rsid w:val="00575E01"/>
    <w:rsid w:val="00577D4E"/>
    <w:rsid w:val="00586582"/>
    <w:rsid w:val="0058780C"/>
    <w:rsid w:val="00587CC6"/>
    <w:rsid w:val="00590163"/>
    <w:rsid w:val="00591BF5"/>
    <w:rsid w:val="0059245F"/>
    <w:rsid w:val="00593A35"/>
    <w:rsid w:val="005942B2"/>
    <w:rsid w:val="00596F5F"/>
    <w:rsid w:val="005A4EA9"/>
    <w:rsid w:val="005A5EFC"/>
    <w:rsid w:val="005B11C5"/>
    <w:rsid w:val="005B1ED4"/>
    <w:rsid w:val="005B366F"/>
    <w:rsid w:val="005B369D"/>
    <w:rsid w:val="005C0085"/>
    <w:rsid w:val="005C2C19"/>
    <w:rsid w:val="005C536A"/>
    <w:rsid w:val="005D1E79"/>
    <w:rsid w:val="005D27D3"/>
    <w:rsid w:val="005D3787"/>
    <w:rsid w:val="005D4A65"/>
    <w:rsid w:val="005D73EF"/>
    <w:rsid w:val="005E0349"/>
    <w:rsid w:val="005E3BEB"/>
    <w:rsid w:val="005E7AD9"/>
    <w:rsid w:val="005F2E1C"/>
    <w:rsid w:val="00600671"/>
    <w:rsid w:val="006055C8"/>
    <w:rsid w:val="006055E0"/>
    <w:rsid w:val="006112F8"/>
    <w:rsid w:val="00612B60"/>
    <w:rsid w:val="006143D0"/>
    <w:rsid w:val="00621E76"/>
    <w:rsid w:val="00623D99"/>
    <w:rsid w:val="0062697A"/>
    <w:rsid w:val="006273F6"/>
    <w:rsid w:val="006319F5"/>
    <w:rsid w:val="00633AF8"/>
    <w:rsid w:val="006346A2"/>
    <w:rsid w:val="00640D6E"/>
    <w:rsid w:val="006410C8"/>
    <w:rsid w:val="00641FA1"/>
    <w:rsid w:val="00641FE2"/>
    <w:rsid w:val="00642CD6"/>
    <w:rsid w:val="00643866"/>
    <w:rsid w:val="00645FCF"/>
    <w:rsid w:val="006512B4"/>
    <w:rsid w:val="00651FA6"/>
    <w:rsid w:val="00652917"/>
    <w:rsid w:val="00654FBA"/>
    <w:rsid w:val="00660025"/>
    <w:rsid w:val="00661B49"/>
    <w:rsid w:val="00663799"/>
    <w:rsid w:val="00664356"/>
    <w:rsid w:val="00667C75"/>
    <w:rsid w:val="00667DBF"/>
    <w:rsid w:val="00671A51"/>
    <w:rsid w:val="0067466C"/>
    <w:rsid w:val="00675C51"/>
    <w:rsid w:val="00680F20"/>
    <w:rsid w:val="00684812"/>
    <w:rsid w:val="00690465"/>
    <w:rsid w:val="006937F4"/>
    <w:rsid w:val="006A2DEE"/>
    <w:rsid w:val="006A4220"/>
    <w:rsid w:val="006A61FD"/>
    <w:rsid w:val="006B0310"/>
    <w:rsid w:val="006B5199"/>
    <w:rsid w:val="006B6E15"/>
    <w:rsid w:val="006C1377"/>
    <w:rsid w:val="006C18CF"/>
    <w:rsid w:val="006C2167"/>
    <w:rsid w:val="006C2A75"/>
    <w:rsid w:val="006C42D8"/>
    <w:rsid w:val="006C4675"/>
    <w:rsid w:val="006D522E"/>
    <w:rsid w:val="006D5E2A"/>
    <w:rsid w:val="006D755A"/>
    <w:rsid w:val="006E60DA"/>
    <w:rsid w:val="006E7198"/>
    <w:rsid w:val="006F1404"/>
    <w:rsid w:val="006F3EB7"/>
    <w:rsid w:val="006F410C"/>
    <w:rsid w:val="006F5AFD"/>
    <w:rsid w:val="00702B08"/>
    <w:rsid w:val="0070500F"/>
    <w:rsid w:val="00705C70"/>
    <w:rsid w:val="00706769"/>
    <w:rsid w:val="00710979"/>
    <w:rsid w:val="00720098"/>
    <w:rsid w:val="00720F77"/>
    <w:rsid w:val="007238A2"/>
    <w:rsid w:val="00723B2F"/>
    <w:rsid w:val="00735231"/>
    <w:rsid w:val="00735F8E"/>
    <w:rsid w:val="00742466"/>
    <w:rsid w:val="0074516C"/>
    <w:rsid w:val="00751C3F"/>
    <w:rsid w:val="00754A77"/>
    <w:rsid w:val="00754E21"/>
    <w:rsid w:val="007560F9"/>
    <w:rsid w:val="00756D43"/>
    <w:rsid w:val="00757B07"/>
    <w:rsid w:val="007602A9"/>
    <w:rsid w:val="00761F95"/>
    <w:rsid w:val="007662F7"/>
    <w:rsid w:val="0076740E"/>
    <w:rsid w:val="0077058B"/>
    <w:rsid w:val="007729D7"/>
    <w:rsid w:val="00777928"/>
    <w:rsid w:val="007803DC"/>
    <w:rsid w:val="00781F2D"/>
    <w:rsid w:val="00783E92"/>
    <w:rsid w:val="00784948"/>
    <w:rsid w:val="007850B7"/>
    <w:rsid w:val="00791DDF"/>
    <w:rsid w:val="00796103"/>
    <w:rsid w:val="007A2F5D"/>
    <w:rsid w:val="007A3416"/>
    <w:rsid w:val="007A3AA8"/>
    <w:rsid w:val="007A54F7"/>
    <w:rsid w:val="007B294E"/>
    <w:rsid w:val="007B2AAB"/>
    <w:rsid w:val="007B472F"/>
    <w:rsid w:val="007B48D7"/>
    <w:rsid w:val="007B7D71"/>
    <w:rsid w:val="007C266C"/>
    <w:rsid w:val="007C7DD0"/>
    <w:rsid w:val="007D2FEA"/>
    <w:rsid w:val="007D494B"/>
    <w:rsid w:val="007D77DA"/>
    <w:rsid w:val="007E2FE3"/>
    <w:rsid w:val="007E45F6"/>
    <w:rsid w:val="007F390E"/>
    <w:rsid w:val="007F3C67"/>
    <w:rsid w:val="007F3DFE"/>
    <w:rsid w:val="007F538C"/>
    <w:rsid w:val="0080174C"/>
    <w:rsid w:val="00803E9C"/>
    <w:rsid w:val="008111E1"/>
    <w:rsid w:val="008114B5"/>
    <w:rsid w:val="008115E5"/>
    <w:rsid w:val="00812B54"/>
    <w:rsid w:val="0081383A"/>
    <w:rsid w:val="008141AF"/>
    <w:rsid w:val="008164F3"/>
    <w:rsid w:val="00817360"/>
    <w:rsid w:val="00817A19"/>
    <w:rsid w:val="008210FE"/>
    <w:rsid w:val="008270FC"/>
    <w:rsid w:val="00827153"/>
    <w:rsid w:val="0083361B"/>
    <w:rsid w:val="008360A8"/>
    <w:rsid w:val="00837228"/>
    <w:rsid w:val="0083733C"/>
    <w:rsid w:val="008418D1"/>
    <w:rsid w:val="008442E5"/>
    <w:rsid w:val="00854CB4"/>
    <w:rsid w:val="00855CD6"/>
    <w:rsid w:val="00855E6E"/>
    <w:rsid w:val="00861103"/>
    <w:rsid w:val="00862963"/>
    <w:rsid w:val="0086332A"/>
    <w:rsid w:val="0086483A"/>
    <w:rsid w:val="00866DE4"/>
    <w:rsid w:val="00867361"/>
    <w:rsid w:val="00867D6A"/>
    <w:rsid w:val="008725C4"/>
    <w:rsid w:val="008778EB"/>
    <w:rsid w:val="00895425"/>
    <w:rsid w:val="00896EEA"/>
    <w:rsid w:val="008A3508"/>
    <w:rsid w:val="008A42CB"/>
    <w:rsid w:val="008A7E22"/>
    <w:rsid w:val="008B2B58"/>
    <w:rsid w:val="008B7C3C"/>
    <w:rsid w:val="008C069B"/>
    <w:rsid w:val="008C1AD2"/>
    <w:rsid w:val="008C22C4"/>
    <w:rsid w:val="008C51D9"/>
    <w:rsid w:val="008C79B9"/>
    <w:rsid w:val="008D1B60"/>
    <w:rsid w:val="008D6C9D"/>
    <w:rsid w:val="008E6403"/>
    <w:rsid w:val="008F05A2"/>
    <w:rsid w:val="008F2BD6"/>
    <w:rsid w:val="008F6302"/>
    <w:rsid w:val="008F77AE"/>
    <w:rsid w:val="00906A21"/>
    <w:rsid w:val="00906F46"/>
    <w:rsid w:val="0091167D"/>
    <w:rsid w:val="0091414B"/>
    <w:rsid w:val="00915740"/>
    <w:rsid w:val="00915D1F"/>
    <w:rsid w:val="00922A89"/>
    <w:rsid w:val="0092305E"/>
    <w:rsid w:val="00924099"/>
    <w:rsid w:val="00924DBE"/>
    <w:rsid w:val="009254DF"/>
    <w:rsid w:val="00925E92"/>
    <w:rsid w:val="00932550"/>
    <w:rsid w:val="009327AA"/>
    <w:rsid w:val="00933C08"/>
    <w:rsid w:val="00934840"/>
    <w:rsid w:val="00946AAE"/>
    <w:rsid w:val="00952641"/>
    <w:rsid w:val="00956FA8"/>
    <w:rsid w:val="00957079"/>
    <w:rsid w:val="00960DE8"/>
    <w:rsid w:val="0096157B"/>
    <w:rsid w:val="00964A14"/>
    <w:rsid w:val="0096686E"/>
    <w:rsid w:val="009668D1"/>
    <w:rsid w:val="0096778B"/>
    <w:rsid w:val="00971DD0"/>
    <w:rsid w:val="00974349"/>
    <w:rsid w:val="0097652B"/>
    <w:rsid w:val="00982F4B"/>
    <w:rsid w:val="009863B2"/>
    <w:rsid w:val="00986706"/>
    <w:rsid w:val="009901CF"/>
    <w:rsid w:val="009924CD"/>
    <w:rsid w:val="00994727"/>
    <w:rsid w:val="0099544E"/>
    <w:rsid w:val="00996A8C"/>
    <w:rsid w:val="009A10B8"/>
    <w:rsid w:val="009A18AB"/>
    <w:rsid w:val="009A5113"/>
    <w:rsid w:val="009A5253"/>
    <w:rsid w:val="009B010B"/>
    <w:rsid w:val="009B5095"/>
    <w:rsid w:val="009C3854"/>
    <w:rsid w:val="009C5795"/>
    <w:rsid w:val="009C5EDE"/>
    <w:rsid w:val="009C6A57"/>
    <w:rsid w:val="009D0159"/>
    <w:rsid w:val="009D408F"/>
    <w:rsid w:val="009D5953"/>
    <w:rsid w:val="009D7771"/>
    <w:rsid w:val="009E046C"/>
    <w:rsid w:val="009E0855"/>
    <w:rsid w:val="009E0DC0"/>
    <w:rsid w:val="009E2A02"/>
    <w:rsid w:val="009E47B5"/>
    <w:rsid w:val="009E69A4"/>
    <w:rsid w:val="009F203A"/>
    <w:rsid w:val="009F673F"/>
    <w:rsid w:val="009F6E5F"/>
    <w:rsid w:val="009F7B94"/>
    <w:rsid w:val="00A021AA"/>
    <w:rsid w:val="00A030BB"/>
    <w:rsid w:val="00A055B3"/>
    <w:rsid w:val="00A06577"/>
    <w:rsid w:val="00A06AD2"/>
    <w:rsid w:val="00A1375B"/>
    <w:rsid w:val="00A1491C"/>
    <w:rsid w:val="00A157D4"/>
    <w:rsid w:val="00A15BFC"/>
    <w:rsid w:val="00A178FC"/>
    <w:rsid w:val="00A206C4"/>
    <w:rsid w:val="00A240AB"/>
    <w:rsid w:val="00A25990"/>
    <w:rsid w:val="00A265E5"/>
    <w:rsid w:val="00A26FFC"/>
    <w:rsid w:val="00A32A8B"/>
    <w:rsid w:val="00A35DE8"/>
    <w:rsid w:val="00A360DE"/>
    <w:rsid w:val="00A37966"/>
    <w:rsid w:val="00A41D2A"/>
    <w:rsid w:val="00A41F7A"/>
    <w:rsid w:val="00A45CBD"/>
    <w:rsid w:val="00A472CA"/>
    <w:rsid w:val="00A47AA9"/>
    <w:rsid w:val="00A5492D"/>
    <w:rsid w:val="00A552DC"/>
    <w:rsid w:val="00A55CF9"/>
    <w:rsid w:val="00A562FA"/>
    <w:rsid w:val="00A57368"/>
    <w:rsid w:val="00A638E9"/>
    <w:rsid w:val="00A66249"/>
    <w:rsid w:val="00A70439"/>
    <w:rsid w:val="00A71A02"/>
    <w:rsid w:val="00A73C46"/>
    <w:rsid w:val="00A7538A"/>
    <w:rsid w:val="00A76D2E"/>
    <w:rsid w:val="00A809A9"/>
    <w:rsid w:val="00A84126"/>
    <w:rsid w:val="00A911B4"/>
    <w:rsid w:val="00A91EE2"/>
    <w:rsid w:val="00A923F2"/>
    <w:rsid w:val="00A9248B"/>
    <w:rsid w:val="00A93231"/>
    <w:rsid w:val="00A94A87"/>
    <w:rsid w:val="00A94AAC"/>
    <w:rsid w:val="00A94D42"/>
    <w:rsid w:val="00A9620C"/>
    <w:rsid w:val="00AA11C7"/>
    <w:rsid w:val="00AA1A58"/>
    <w:rsid w:val="00AA22F1"/>
    <w:rsid w:val="00AA37FF"/>
    <w:rsid w:val="00AA613E"/>
    <w:rsid w:val="00AA6A77"/>
    <w:rsid w:val="00AB0223"/>
    <w:rsid w:val="00AB2958"/>
    <w:rsid w:val="00AB4255"/>
    <w:rsid w:val="00AB6C92"/>
    <w:rsid w:val="00AB6E5C"/>
    <w:rsid w:val="00AB7E31"/>
    <w:rsid w:val="00AC0E5B"/>
    <w:rsid w:val="00AC116D"/>
    <w:rsid w:val="00AD5999"/>
    <w:rsid w:val="00AE37F8"/>
    <w:rsid w:val="00AE4881"/>
    <w:rsid w:val="00AF2B9C"/>
    <w:rsid w:val="00AF32BC"/>
    <w:rsid w:val="00AF408B"/>
    <w:rsid w:val="00AF547F"/>
    <w:rsid w:val="00AF6109"/>
    <w:rsid w:val="00B03B03"/>
    <w:rsid w:val="00B04762"/>
    <w:rsid w:val="00B05B54"/>
    <w:rsid w:val="00B06F59"/>
    <w:rsid w:val="00B126ED"/>
    <w:rsid w:val="00B1273A"/>
    <w:rsid w:val="00B20192"/>
    <w:rsid w:val="00B2213C"/>
    <w:rsid w:val="00B22699"/>
    <w:rsid w:val="00B25379"/>
    <w:rsid w:val="00B30FBC"/>
    <w:rsid w:val="00B3154B"/>
    <w:rsid w:val="00B351D5"/>
    <w:rsid w:val="00B36C61"/>
    <w:rsid w:val="00B37699"/>
    <w:rsid w:val="00B402FB"/>
    <w:rsid w:val="00B4033C"/>
    <w:rsid w:val="00B41DE3"/>
    <w:rsid w:val="00B47322"/>
    <w:rsid w:val="00B47A4F"/>
    <w:rsid w:val="00B50EBF"/>
    <w:rsid w:val="00B54B9C"/>
    <w:rsid w:val="00B55F62"/>
    <w:rsid w:val="00B63B2D"/>
    <w:rsid w:val="00B64F21"/>
    <w:rsid w:val="00B67DB8"/>
    <w:rsid w:val="00B73066"/>
    <w:rsid w:val="00B83E3B"/>
    <w:rsid w:val="00B87218"/>
    <w:rsid w:val="00B9251E"/>
    <w:rsid w:val="00B93CDB"/>
    <w:rsid w:val="00BA04B6"/>
    <w:rsid w:val="00BA2AED"/>
    <w:rsid w:val="00BA41CD"/>
    <w:rsid w:val="00BA47DF"/>
    <w:rsid w:val="00BA5064"/>
    <w:rsid w:val="00BA5897"/>
    <w:rsid w:val="00BA6ED3"/>
    <w:rsid w:val="00BB0137"/>
    <w:rsid w:val="00BB433A"/>
    <w:rsid w:val="00BB4D99"/>
    <w:rsid w:val="00BB56F3"/>
    <w:rsid w:val="00BC1223"/>
    <w:rsid w:val="00BC33C0"/>
    <w:rsid w:val="00BC3471"/>
    <w:rsid w:val="00BC4CFC"/>
    <w:rsid w:val="00BD1810"/>
    <w:rsid w:val="00BD278B"/>
    <w:rsid w:val="00BD30CE"/>
    <w:rsid w:val="00BD439B"/>
    <w:rsid w:val="00BD43A6"/>
    <w:rsid w:val="00BE141A"/>
    <w:rsid w:val="00BF4206"/>
    <w:rsid w:val="00BF4659"/>
    <w:rsid w:val="00BF4780"/>
    <w:rsid w:val="00BF66C5"/>
    <w:rsid w:val="00BF6B09"/>
    <w:rsid w:val="00C00685"/>
    <w:rsid w:val="00C01DFF"/>
    <w:rsid w:val="00C03980"/>
    <w:rsid w:val="00C053D7"/>
    <w:rsid w:val="00C104E5"/>
    <w:rsid w:val="00C14B43"/>
    <w:rsid w:val="00C16631"/>
    <w:rsid w:val="00C167B6"/>
    <w:rsid w:val="00C2031D"/>
    <w:rsid w:val="00C20DA1"/>
    <w:rsid w:val="00C2198E"/>
    <w:rsid w:val="00C22EB4"/>
    <w:rsid w:val="00C23932"/>
    <w:rsid w:val="00C3176C"/>
    <w:rsid w:val="00C3186E"/>
    <w:rsid w:val="00C3378F"/>
    <w:rsid w:val="00C33C5D"/>
    <w:rsid w:val="00C33DB0"/>
    <w:rsid w:val="00C35CEF"/>
    <w:rsid w:val="00C372CB"/>
    <w:rsid w:val="00C44F2F"/>
    <w:rsid w:val="00C459C2"/>
    <w:rsid w:val="00C46E2D"/>
    <w:rsid w:val="00C5249B"/>
    <w:rsid w:val="00C524CD"/>
    <w:rsid w:val="00C5494C"/>
    <w:rsid w:val="00C54C73"/>
    <w:rsid w:val="00C54EE9"/>
    <w:rsid w:val="00C56672"/>
    <w:rsid w:val="00C56882"/>
    <w:rsid w:val="00C60526"/>
    <w:rsid w:val="00C612C8"/>
    <w:rsid w:val="00C615DB"/>
    <w:rsid w:val="00C62BE0"/>
    <w:rsid w:val="00C62FE8"/>
    <w:rsid w:val="00C64A32"/>
    <w:rsid w:val="00C66234"/>
    <w:rsid w:val="00C662A6"/>
    <w:rsid w:val="00C713C8"/>
    <w:rsid w:val="00C714AD"/>
    <w:rsid w:val="00C71581"/>
    <w:rsid w:val="00C755B1"/>
    <w:rsid w:val="00C75A2A"/>
    <w:rsid w:val="00C81AFA"/>
    <w:rsid w:val="00C83AF5"/>
    <w:rsid w:val="00C84C33"/>
    <w:rsid w:val="00C855DD"/>
    <w:rsid w:val="00C906E7"/>
    <w:rsid w:val="00C92276"/>
    <w:rsid w:val="00C925BB"/>
    <w:rsid w:val="00C93852"/>
    <w:rsid w:val="00C97825"/>
    <w:rsid w:val="00CA15B7"/>
    <w:rsid w:val="00CA25B5"/>
    <w:rsid w:val="00CA2EC0"/>
    <w:rsid w:val="00CA3767"/>
    <w:rsid w:val="00CA37ED"/>
    <w:rsid w:val="00CA5D4C"/>
    <w:rsid w:val="00CA745C"/>
    <w:rsid w:val="00CB062F"/>
    <w:rsid w:val="00CB31B8"/>
    <w:rsid w:val="00CB5093"/>
    <w:rsid w:val="00CC00D9"/>
    <w:rsid w:val="00CC214D"/>
    <w:rsid w:val="00CD49A1"/>
    <w:rsid w:val="00CD56A6"/>
    <w:rsid w:val="00CD79EC"/>
    <w:rsid w:val="00CD7C88"/>
    <w:rsid w:val="00CE11C3"/>
    <w:rsid w:val="00CE27F5"/>
    <w:rsid w:val="00CE3363"/>
    <w:rsid w:val="00CE7984"/>
    <w:rsid w:val="00CF0C4C"/>
    <w:rsid w:val="00CF4582"/>
    <w:rsid w:val="00D00E89"/>
    <w:rsid w:val="00D036F2"/>
    <w:rsid w:val="00D069A5"/>
    <w:rsid w:val="00D10D1E"/>
    <w:rsid w:val="00D139D9"/>
    <w:rsid w:val="00D20F1D"/>
    <w:rsid w:val="00D22695"/>
    <w:rsid w:val="00D22A7D"/>
    <w:rsid w:val="00D2604C"/>
    <w:rsid w:val="00D26B6C"/>
    <w:rsid w:val="00D313E4"/>
    <w:rsid w:val="00D355CC"/>
    <w:rsid w:val="00D36625"/>
    <w:rsid w:val="00D37DBB"/>
    <w:rsid w:val="00D40D96"/>
    <w:rsid w:val="00D43D86"/>
    <w:rsid w:val="00D43F56"/>
    <w:rsid w:val="00D448F5"/>
    <w:rsid w:val="00D4519F"/>
    <w:rsid w:val="00D45772"/>
    <w:rsid w:val="00D458FC"/>
    <w:rsid w:val="00D53AB2"/>
    <w:rsid w:val="00D55AE3"/>
    <w:rsid w:val="00D60E3F"/>
    <w:rsid w:val="00D63FD4"/>
    <w:rsid w:val="00D650D9"/>
    <w:rsid w:val="00D665D6"/>
    <w:rsid w:val="00D70724"/>
    <w:rsid w:val="00D80163"/>
    <w:rsid w:val="00D81B00"/>
    <w:rsid w:val="00D8306C"/>
    <w:rsid w:val="00D92691"/>
    <w:rsid w:val="00D9382F"/>
    <w:rsid w:val="00DA0490"/>
    <w:rsid w:val="00DA65C4"/>
    <w:rsid w:val="00DB2137"/>
    <w:rsid w:val="00DB2C1D"/>
    <w:rsid w:val="00DB4564"/>
    <w:rsid w:val="00DB4713"/>
    <w:rsid w:val="00DB6C48"/>
    <w:rsid w:val="00DC70DE"/>
    <w:rsid w:val="00DD09CD"/>
    <w:rsid w:val="00DD0E4A"/>
    <w:rsid w:val="00DD2FF5"/>
    <w:rsid w:val="00DE277B"/>
    <w:rsid w:val="00DE316D"/>
    <w:rsid w:val="00DE45C5"/>
    <w:rsid w:val="00DE5845"/>
    <w:rsid w:val="00DF1069"/>
    <w:rsid w:val="00DF1C1C"/>
    <w:rsid w:val="00DF233D"/>
    <w:rsid w:val="00E01434"/>
    <w:rsid w:val="00E1153C"/>
    <w:rsid w:val="00E12D09"/>
    <w:rsid w:val="00E141AE"/>
    <w:rsid w:val="00E14EC2"/>
    <w:rsid w:val="00E150EF"/>
    <w:rsid w:val="00E2143A"/>
    <w:rsid w:val="00E24171"/>
    <w:rsid w:val="00E31424"/>
    <w:rsid w:val="00E31768"/>
    <w:rsid w:val="00E3195D"/>
    <w:rsid w:val="00E32043"/>
    <w:rsid w:val="00E32ED6"/>
    <w:rsid w:val="00E34DA9"/>
    <w:rsid w:val="00E34F0F"/>
    <w:rsid w:val="00E3574E"/>
    <w:rsid w:val="00E41C57"/>
    <w:rsid w:val="00E42A1B"/>
    <w:rsid w:val="00E44240"/>
    <w:rsid w:val="00E4638C"/>
    <w:rsid w:val="00E53866"/>
    <w:rsid w:val="00E55485"/>
    <w:rsid w:val="00E56243"/>
    <w:rsid w:val="00E60E08"/>
    <w:rsid w:val="00E6110F"/>
    <w:rsid w:val="00E702A2"/>
    <w:rsid w:val="00E7044A"/>
    <w:rsid w:val="00E715DE"/>
    <w:rsid w:val="00E7432E"/>
    <w:rsid w:val="00E7793F"/>
    <w:rsid w:val="00E8622B"/>
    <w:rsid w:val="00E87077"/>
    <w:rsid w:val="00E915A4"/>
    <w:rsid w:val="00EA29DD"/>
    <w:rsid w:val="00EA5718"/>
    <w:rsid w:val="00EA7CE7"/>
    <w:rsid w:val="00EB3F9F"/>
    <w:rsid w:val="00EB462C"/>
    <w:rsid w:val="00EB496B"/>
    <w:rsid w:val="00EB5BEB"/>
    <w:rsid w:val="00EC0977"/>
    <w:rsid w:val="00EC2ED9"/>
    <w:rsid w:val="00EC53DC"/>
    <w:rsid w:val="00ED0B67"/>
    <w:rsid w:val="00ED0BD2"/>
    <w:rsid w:val="00ED4042"/>
    <w:rsid w:val="00ED4A02"/>
    <w:rsid w:val="00ED4F05"/>
    <w:rsid w:val="00ED4F5E"/>
    <w:rsid w:val="00ED5F38"/>
    <w:rsid w:val="00EE05BB"/>
    <w:rsid w:val="00EF3269"/>
    <w:rsid w:val="00EF4806"/>
    <w:rsid w:val="00EF798A"/>
    <w:rsid w:val="00F01300"/>
    <w:rsid w:val="00F033B7"/>
    <w:rsid w:val="00F03B47"/>
    <w:rsid w:val="00F045ED"/>
    <w:rsid w:val="00F05164"/>
    <w:rsid w:val="00F05275"/>
    <w:rsid w:val="00F05E0A"/>
    <w:rsid w:val="00F10522"/>
    <w:rsid w:val="00F11AE8"/>
    <w:rsid w:val="00F12D9B"/>
    <w:rsid w:val="00F1788F"/>
    <w:rsid w:val="00F20338"/>
    <w:rsid w:val="00F20391"/>
    <w:rsid w:val="00F314BA"/>
    <w:rsid w:val="00F315FE"/>
    <w:rsid w:val="00F32A9C"/>
    <w:rsid w:val="00F37C5A"/>
    <w:rsid w:val="00F4389A"/>
    <w:rsid w:val="00F43AD5"/>
    <w:rsid w:val="00F503C8"/>
    <w:rsid w:val="00F51A4E"/>
    <w:rsid w:val="00F52F60"/>
    <w:rsid w:val="00F5490C"/>
    <w:rsid w:val="00F54DB3"/>
    <w:rsid w:val="00F60341"/>
    <w:rsid w:val="00F67040"/>
    <w:rsid w:val="00F725CD"/>
    <w:rsid w:val="00F72C97"/>
    <w:rsid w:val="00F73949"/>
    <w:rsid w:val="00F77072"/>
    <w:rsid w:val="00F90639"/>
    <w:rsid w:val="00F93648"/>
    <w:rsid w:val="00F948F5"/>
    <w:rsid w:val="00F952DD"/>
    <w:rsid w:val="00F96598"/>
    <w:rsid w:val="00FA5885"/>
    <w:rsid w:val="00FB3205"/>
    <w:rsid w:val="00FB59F0"/>
    <w:rsid w:val="00FB59FA"/>
    <w:rsid w:val="00FC1519"/>
    <w:rsid w:val="00FC2083"/>
    <w:rsid w:val="00FC50F8"/>
    <w:rsid w:val="00FC548C"/>
    <w:rsid w:val="00FC5A6E"/>
    <w:rsid w:val="00FC6FF1"/>
    <w:rsid w:val="00FC7F71"/>
    <w:rsid w:val="00FD1F47"/>
    <w:rsid w:val="00FD2187"/>
    <w:rsid w:val="00FD3EB2"/>
    <w:rsid w:val="00FD60C0"/>
    <w:rsid w:val="00FD7B74"/>
    <w:rsid w:val="00FD7E61"/>
    <w:rsid w:val="00FE443A"/>
    <w:rsid w:val="00FE62B7"/>
    <w:rsid w:val="00FF2841"/>
    <w:rsid w:val="00FF2C1D"/>
    <w:rsid w:val="00FF72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4158A827"/>
  <w15:chartTrackingRefBased/>
  <w15:docId w15:val="{8E17E397-4CF6-764B-90C6-36DA41AA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648"/>
    <w:rPr>
      <w:rFonts w:ascii="Times New Roman" w:hAnsi="Times New Roman"/>
      <w:sz w:val="18"/>
      <w:szCs w:val="18"/>
    </w:rPr>
  </w:style>
  <w:style w:type="character" w:customStyle="1" w:styleId="BalloonTextChar">
    <w:name w:val="Balloon Text Char"/>
    <w:link w:val="BalloonText"/>
    <w:uiPriority w:val="99"/>
    <w:semiHidden/>
    <w:rsid w:val="00F93648"/>
    <w:rPr>
      <w:rFonts w:ascii="Times New Roman" w:hAnsi="Times New Roman" w:cs="Times New Roman"/>
      <w:sz w:val="18"/>
      <w:szCs w:val="18"/>
      <w:lang w:val="en-GB"/>
    </w:rPr>
  </w:style>
  <w:style w:type="paragraph" w:customStyle="1" w:styleId="ColourfulListAccent11">
    <w:name w:val="Colourful List – Accent 11"/>
    <w:basedOn w:val="Normal"/>
    <w:uiPriority w:val="34"/>
    <w:qFormat/>
    <w:rsid w:val="00B50EBF"/>
    <w:pPr>
      <w:ind w:left="720"/>
      <w:contextualSpacing/>
    </w:pPr>
  </w:style>
  <w:style w:type="character" w:styleId="CommentReference">
    <w:name w:val="annotation reference"/>
    <w:uiPriority w:val="99"/>
    <w:semiHidden/>
    <w:unhideWhenUsed/>
    <w:rsid w:val="006F3EB7"/>
    <w:rPr>
      <w:sz w:val="18"/>
      <w:szCs w:val="18"/>
    </w:rPr>
  </w:style>
  <w:style w:type="paragraph" w:styleId="CommentText">
    <w:name w:val="annotation text"/>
    <w:basedOn w:val="Normal"/>
    <w:link w:val="CommentTextChar"/>
    <w:uiPriority w:val="99"/>
    <w:unhideWhenUsed/>
    <w:rsid w:val="006F3EB7"/>
  </w:style>
  <w:style w:type="character" w:customStyle="1" w:styleId="CommentTextChar">
    <w:name w:val="Comment Text Char"/>
    <w:link w:val="CommentText"/>
    <w:uiPriority w:val="99"/>
    <w:rsid w:val="006F3EB7"/>
    <w:rPr>
      <w:lang w:val="en-GB"/>
    </w:rPr>
  </w:style>
  <w:style w:type="paragraph" w:styleId="CommentSubject">
    <w:name w:val="annotation subject"/>
    <w:basedOn w:val="CommentText"/>
    <w:next w:val="CommentText"/>
    <w:link w:val="CommentSubjectChar"/>
    <w:uiPriority w:val="99"/>
    <w:semiHidden/>
    <w:unhideWhenUsed/>
    <w:rsid w:val="00AB6C92"/>
    <w:rPr>
      <w:b/>
      <w:bCs/>
      <w:sz w:val="20"/>
      <w:szCs w:val="20"/>
    </w:rPr>
  </w:style>
  <w:style w:type="character" w:customStyle="1" w:styleId="CommentSubjectChar">
    <w:name w:val="Comment Subject Char"/>
    <w:link w:val="CommentSubject"/>
    <w:uiPriority w:val="99"/>
    <w:semiHidden/>
    <w:rsid w:val="00AB6C92"/>
    <w:rPr>
      <w:b/>
      <w:bCs/>
      <w:sz w:val="20"/>
      <w:szCs w:val="20"/>
      <w:lang w:val="en-GB"/>
    </w:rPr>
  </w:style>
  <w:style w:type="paragraph" w:styleId="FootnoteText">
    <w:name w:val="footnote text"/>
    <w:basedOn w:val="Normal"/>
    <w:link w:val="FootnoteTextChar"/>
    <w:uiPriority w:val="99"/>
    <w:unhideWhenUsed/>
    <w:rsid w:val="00600671"/>
  </w:style>
  <w:style w:type="character" w:customStyle="1" w:styleId="FootnoteTextChar">
    <w:name w:val="Footnote Text Char"/>
    <w:link w:val="FootnoteText"/>
    <w:uiPriority w:val="99"/>
    <w:rsid w:val="00600671"/>
    <w:rPr>
      <w:lang w:val="en-GB"/>
    </w:rPr>
  </w:style>
  <w:style w:type="character" w:styleId="FootnoteReference">
    <w:name w:val="footnote reference"/>
    <w:uiPriority w:val="99"/>
    <w:rsid w:val="00600671"/>
    <w:rPr>
      <w:vertAlign w:val="superscript"/>
    </w:rPr>
  </w:style>
  <w:style w:type="paragraph" w:styleId="Footer">
    <w:name w:val="footer"/>
    <w:basedOn w:val="Normal"/>
    <w:link w:val="FooterChar"/>
    <w:uiPriority w:val="99"/>
    <w:unhideWhenUsed/>
    <w:rsid w:val="003F1CF8"/>
    <w:pPr>
      <w:tabs>
        <w:tab w:val="center" w:pos="4513"/>
        <w:tab w:val="right" w:pos="9026"/>
      </w:tabs>
    </w:pPr>
  </w:style>
  <w:style w:type="character" w:customStyle="1" w:styleId="FooterChar">
    <w:name w:val="Footer Char"/>
    <w:link w:val="Footer"/>
    <w:uiPriority w:val="99"/>
    <w:rsid w:val="003F1CF8"/>
    <w:rPr>
      <w:lang w:val="en-GB"/>
    </w:rPr>
  </w:style>
  <w:style w:type="character" w:styleId="PageNumber">
    <w:name w:val="page number"/>
    <w:basedOn w:val="DefaultParagraphFont"/>
    <w:uiPriority w:val="99"/>
    <w:semiHidden/>
    <w:unhideWhenUsed/>
    <w:rsid w:val="003F1CF8"/>
  </w:style>
  <w:style w:type="character" w:customStyle="1" w:styleId="MediumGrid11">
    <w:name w:val="Medium Grid 11"/>
    <w:uiPriority w:val="99"/>
    <w:semiHidden/>
    <w:rsid w:val="008778EB"/>
    <w:rPr>
      <w:color w:val="808080"/>
    </w:rPr>
  </w:style>
  <w:style w:type="character" w:styleId="HTMLCite">
    <w:name w:val="HTML Cite"/>
    <w:uiPriority w:val="99"/>
    <w:semiHidden/>
    <w:unhideWhenUsed/>
    <w:rsid w:val="00F725CD"/>
    <w:rPr>
      <w:i/>
      <w:iCs/>
    </w:rPr>
  </w:style>
  <w:style w:type="character" w:styleId="Hyperlink">
    <w:name w:val="Hyperlink"/>
    <w:uiPriority w:val="99"/>
    <w:unhideWhenUsed/>
    <w:rsid w:val="00F725CD"/>
    <w:rPr>
      <w:color w:val="0000FF"/>
      <w:u w:val="single"/>
    </w:rPr>
  </w:style>
  <w:style w:type="paragraph" w:customStyle="1" w:styleId="ColourfulShadingAccent11">
    <w:name w:val="Colourful Shading – Accent 11"/>
    <w:hidden/>
    <w:uiPriority w:val="99"/>
    <w:semiHidden/>
    <w:rsid w:val="00563EED"/>
    <w:rPr>
      <w:sz w:val="24"/>
      <w:szCs w:val="24"/>
      <w:lang w:eastAsia="en-US"/>
    </w:rPr>
  </w:style>
  <w:style w:type="character" w:styleId="PlaceholderText">
    <w:name w:val="Placeholder Text"/>
    <w:uiPriority w:val="99"/>
    <w:rsid w:val="00896EEA"/>
    <w:rPr>
      <w:color w:val="808080"/>
    </w:rPr>
  </w:style>
  <w:style w:type="table" w:styleId="TableGrid">
    <w:name w:val="Table Grid"/>
    <w:basedOn w:val="TableNormal"/>
    <w:uiPriority w:val="39"/>
    <w:rsid w:val="00896EEA"/>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516D"/>
    <w:rPr>
      <w:rFonts w:ascii="Times New Roman" w:hAnsi="Times New Roman"/>
    </w:rPr>
  </w:style>
  <w:style w:type="paragraph" w:styleId="Revision">
    <w:name w:val="Revision"/>
    <w:hidden/>
    <w:uiPriority w:val="71"/>
    <w:unhideWhenUsed/>
    <w:rsid w:val="00235648"/>
    <w:rPr>
      <w:sz w:val="24"/>
      <w:szCs w:val="24"/>
      <w:lang w:eastAsia="en-US"/>
    </w:rPr>
  </w:style>
  <w:style w:type="character" w:customStyle="1" w:styleId="UnresolvedMention1">
    <w:name w:val="Unresolved Mention1"/>
    <w:basedOn w:val="DefaultParagraphFont"/>
    <w:uiPriority w:val="99"/>
    <w:semiHidden/>
    <w:unhideWhenUsed/>
    <w:rsid w:val="00867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46">
      <w:bodyDiv w:val="1"/>
      <w:marLeft w:val="0"/>
      <w:marRight w:val="0"/>
      <w:marTop w:val="0"/>
      <w:marBottom w:val="0"/>
      <w:divBdr>
        <w:top w:val="none" w:sz="0" w:space="0" w:color="auto"/>
        <w:left w:val="none" w:sz="0" w:space="0" w:color="auto"/>
        <w:bottom w:val="none" w:sz="0" w:space="0" w:color="auto"/>
        <w:right w:val="none" w:sz="0" w:space="0" w:color="auto"/>
      </w:divBdr>
    </w:div>
    <w:div w:id="33965209">
      <w:bodyDiv w:val="1"/>
      <w:marLeft w:val="0"/>
      <w:marRight w:val="0"/>
      <w:marTop w:val="0"/>
      <w:marBottom w:val="0"/>
      <w:divBdr>
        <w:top w:val="none" w:sz="0" w:space="0" w:color="auto"/>
        <w:left w:val="none" w:sz="0" w:space="0" w:color="auto"/>
        <w:bottom w:val="none" w:sz="0" w:space="0" w:color="auto"/>
        <w:right w:val="none" w:sz="0" w:space="0" w:color="auto"/>
      </w:divBdr>
      <w:divsChild>
        <w:div w:id="781151646">
          <w:marLeft w:val="0"/>
          <w:marRight w:val="0"/>
          <w:marTop w:val="0"/>
          <w:marBottom w:val="0"/>
          <w:divBdr>
            <w:top w:val="none" w:sz="0" w:space="0" w:color="auto"/>
            <w:left w:val="none" w:sz="0" w:space="0" w:color="auto"/>
            <w:bottom w:val="none" w:sz="0" w:space="0" w:color="auto"/>
            <w:right w:val="none" w:sz="0" w:space="0" w:color="auto"/>
          </w:divBdr>
          <w:divsChild>
            <w:div w:id="523058935">
              <w:marLeft w:val="0"/>
              <w:marRight w:val="0"/>
              <w:marTop w:val="0"/>
              <w:marBottom w:val="0"/>
              <w:divBdr>
                <w:top w:val="none" w:sz="0" w:space="0" w:color="auto"/>
                <w:left w:val="none" w:sz="0" w:space="0" w:color="auto"/>
                <w:bottom w:val="none" w:sz="0" w:space="0" w:color="auto"/>
                <w:right w:val="none" w:sz="0" w:space="0" w:color="auto"/>
              </w:divBdr>
              <w:divsChild>
                <w:div w:id="4595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6215">
      <w:bodyDiv w:val="1"/>
      <w:marLeft w:val="0"/>
      <w:marRight w:val="0"/>
      <w:marTop w:val="0"/>
      <w:marBottom w:val="0"/>
      <w:divBdr>
        <w:top w:val="none" w:sz="0" w:space="0" w:color="auto"/>
        <w:left w:val="none" w:sz="0" w:space="0" w:color="auto"/>
        <w:bottom w:val="none" w:sz="0" w:space="0" w:color="auto"/>
        <w:right w:val="none" w:sz="0" w:space="0" w:color="auto"/>
      </w:divBdr>
      <w:divsChild>
        <w:div w:id="1099066692">
          <w:marLeft w:val="0"/>
          <w:marRight w:val="0"/>
          <w:marTop w:val="0"/>
          <w:marBottom w:val="0"/>
          <w:divBdr>
            <w:top w:val="none" w:sz="0" w:space="0" w:color="auto"/>
            <w:left w:val="none" w:sz="0" w:space="0" w:color="auto"/>
            <w:bottom w:val="none" w:sz="0" w:space="0" w:color="auto"/>
            <w:right w:val="none" w:sz="0" w:space="0" w:color="auto"/>
          </w:divBdr>
          <w:divsChild>
            <w:div w:id="401299991">
              <w:marLeft w:val="0"/>
              <w:marRight w:val="0"/>
              <w:marTop w:val="0"/>
              <w:marBottom w:val="0"/>
              <w:divBdr>
                <w:top w:val="none" w:sz="0" w:space="0" w:color="auto"/>
                <w:left w:val="none" w:sz="0" w:space="0" w:color="auto"/>
                <w:bottom w:val="none" w:sz="0" w:space="0" w:color="auto"/>
                <w:right w:val="none" w:sz="0" w:space="0" w:color="auto"/>
              </w:divBdr>
              <w:divsChild>
                <w:div w:id="3686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5717">
      <w:bodyDiv w:val="1"/>
      <w:marLeft w:val="0"/>
      <w:marRight w:val="0"/>
      <w:marTop w:val="0"/>
      <w:marBottom w:val="0"/>
      <w:divBdr>
        <w:top w:val="none" w:sz="0" w:space="0" w:color="auto"/>
        <w:left w:val="none" w:sz="0" w:space="0" w:color="auto"/>
        <w:bottom w:val="none" w:sz="0" w:space="0" w:color="auto"/>
        <w:right w:val="none" w:sz="0" w:space="0" w:color="auto"/>
      </w:divBdr>
      <w:divsChild>
        <w:div w:id="18701565">
          <w:marLeft w:val="0"/>
          <w:marRight w:val="0"/>
          <w:marTop w:val="0"/>
          <w:marBottom w:val="0"/>
          <w:divBdr>
            <w:top w:val="none" w:sz="0" w:space="0" w:color="auto"/>
            <w:left w:val="none" w:sz="0" w:space="0" w:color="auto"/>
            <w:bottom w:val="none" w:sz="0" w:space="0" w:color="auto"/>
            <w:right w:val="none" w:sz="0" w:space="0" w:color="auto"/>
          </w:divBdr>
          <w:divsChild>
            <w:div w:id="650864147">
              <w:marLeft w:val="0"/>
              <w:marRight w:val="0"/>
              <w:marTop w:val="0"/>
              <w:marBottom w:val="0"/>
              <w:divBdr>
                <w:top w:val="none" w:sz="0" w:space="0" w:color="auto"/>
                <w:left w:val="none" w:sz="0" w:space="0" w:color="auto"/>
                <w:bottom w:val="none" w:sz="0" w:space="0" w:color="auto"/>
                <w:right w:val="none" w:sz="0" w:space="0" w:color="auto"/>
              </w:divBdr>
              <w:divsChild>
                <w:div w:id="10108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135">
      <w:bodyDiv w:val="1"/>
      <w:marLeft w:val="0"/>
      <w:marRight w:val="0"/>
      <w:marTop w:val="0"/>
      <w:marBottom w:val="0"/>
      <w:divBdr>
        <w:top w:val="none" w:sz="0" w:space="0" w:color="auto"/>
        <w:left w:val="none" w:sz="0" w:space="0" w:color="auto"/>
        <w:bottom w:val="none" w:sz="0" w:space="0" w:color="auto"/>
        <w:right w:val="none" w:sz="0" w:space="0" w:color="auto"/>
      </w:divBdr>
      <w:divsChild>
        <w:div w:id="818960961">
          <w:marLeft w:val="0"/>
          <w:marRight w:val="0"/>
          <w:marTop w:val="0"/>
          <w:marBottom w:val="0"/>
          <w:divBdr>
            <w:top w:val="none" w:sz="0" w:space="0" w:color="auto"/>
            <w:left w:val="none" w:sz="0" w:space="0" w:color="auto"/>
            <w:bottom w:val="none" w:sz="0" w:space="0" w:color="auto"/>
            <w:right w:val="none" w:sz="0" w:space="0" w:color="auto"/>
          </w:divBdr>
          <w:divsChild>
            <w:div w:id="1500533964">
              <w:marLeft w:val="0"/>
              <w:marRight w:val="0"/>
              <w:marTop w:val="0"/>
              <w:marBottom w:val="0"/>
              <w:divBdr>
                <w:top w:val="none" w:sz="0" w:space="0" w:color="auto"/>
                <w:left w:val="none" w:sz="0" w:space="0" w:color="auto"/>
                <w:bottom w:val="none" w:sz="0" w:space="0" w:color="auto"/>
                <w:right w:val="none" w:sz="0" w:space="0" w:color="auto"/>
              </w:divBdr>
              <w:divsChild>
                <w:div w:id="182315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4963">
      <w:bodyDiv w:val="1"/>
      <w:marLeft w:val="0"/>
      <w:marRight w:val="0"/>
      <w:marTop w:val="0"/>
      <w:marBottom w:val="0"/>
      <w:divBdr>
        <w:top w:val="none" w:sz="0" w:space="0" w:color="auto"/>
        <w:left w:val="none" w:sz="0" w:space="0" w:color="auto"/>
        <w:bottom w:val="none" w:sz="0" w:space="0" w:color="auto"/>
        <w:right w:val="none" w:sz="0" w:space="0" w:color="auto"/>
      </w:divBdr>
      <w:divsChild>
        <w:div w:id="858352788">
          <w:marLeft w:val="0"/>
          <w:marRight w:val="0"/>
          <w:marTop w:val="0"/>
          <w:marBottom w:val="0"/>
          <w:divBdr>
            <w:top w:val="none" w:sz="0" w:space="0" w:color="auto"/>
            <w:left w:val="none" w:sz="0" w:space="0" w:color="auto"/>
            <w:bottom w:val="none" w:sz="0" w:space="0" w:color="auto"/>
            <w:right w:val="none" w:sz="0" w:space="0" w:color="auto"/>
          </w:divBdr>
          <w:divsChild>
            <w:div w:id="96023934">
              <w:marLeft w:val="0"/>
              <w:marRight w:val="0"/>
              <w:marTop w:val="0"/>
              <w:marBottom w:val="0"/>
              <w:divBdr>
                <w:top w:val="none" w:sz="0" w:space="0" w:color="auto"/>
                <w:left w:val="none" w:sz="0" w:space="0" w:color="auto"/>
                <w:bottom w:val="none" w:sz="0" w:space="0" w:color="auto"/>
                <w:right w:val="none" w:sz="0" w:space="0" w:color="auto"/>
              </w:divBdr>
              <w:divsChild>
                <w:div w:id="7410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77256">
      <w:bodyDiv w:val="1"/>
      <w:marLeft w:val="0"/>
      <w:marRight w:val="0"/>
      <w:marTop w:val="0"/>
      <w:marBottom w:val="0"/>
      <w:divBdr>
        <w:top w:val="none" w:sz="0" w:space="0" w:color="auto"/>
        <w:left w:val="none" w:sz="0" w:space="0" w:color="auto"/>
        <w:bottom w:val="none" w:sz="0" w:space="0" w:color="auto"/>
        <w:right w:val="none" w:sz="0" w:space="0" w:color="auto"/>
      </w:divBdr>
      <w:divsChild>
        <w:div w:id="1710688997">
          <w:marLeft w:val="0"/>
          <w:marRight w:val="0"/>
          <w:marTop w:val="0"/>
          <w:marBottom w:val="0"/>
          <w:divBdr>
            <w:top w:val="none" w:sz="0" w:space="0" w:color="auto"/>
            <w:left w:val="none" w:sz="0" w:space="0" w:color="auto"/>
            <w:bottom w:val="none" w:sz="0" w:space="0" w:color="auto"/>
            <w:right w:val="none" w:sz="0" w:space="0" w:color="auto"/>
          </w:divBdr>
          <w:divsChild>
            <w:div w:id="1600337046">
              <w:marLeft w:val="0"/>
              <w:marRight w:val="0"/>
              <w:marTop w:val="0"/>
              <w:marBottom w:val="0"/>
              <w:divBdr>
                <w:top w:val="none" w:sz="0" w:space="0" w:color="auto"/>
                <w:left w:val="none" w:sz="0" w:space="0" w:color="auto"/>
                <w:bottom w:val="none" w:sz="0" w:space="0" w:color="auto"/>
                <w:right w:val="none" w:sz="0" w:space="0" w:color="auto"/>
              </w:divBdr>
              <w:divsChild>
                <w:div w:id="3164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97983">
      <w:bodyDiv w:val="1"/>
      <w:marLeft w:val="0"/>
      <w:marRight w:val="0"/>
      <w:marTop w:val="0"/>
      <w:marBottom w:val="0"/>
      <w:divBdr>
        <w:top w:val="none" w:sz="0" w:space="0" w:color="auto"/>
        <w:left w:val="none" w:sz="0" w:space="0" w:color="auto"/>
        <w:bottom w:val="none" w:sz="0" w:space="0" w:color="auto"/>
        <w:right w:val="none" w:sz="0" w:space="0" w:color="auto"/>
      </w:divBdr>
      <w:divsChild>
        <w:div w:id="1326939405">
          <w:marLeft w:val="0"/>
          <w:marRight w:val="0"/>
          <w:marTop w:val="0"/>
          <w:marBottom w:val="0"/>
          <w:divBdr>
            <w:top w:val="none" w:sz="0" w:space="0" w:color="auto"/>
            <w:left w:val="none" w:sz="0" w:space="0" w:color="auto"/>
            <w:bottom w:val="none" w:sz="0" w:space="0" w:color="auto"/>
            <w:right w:val="none" w:sz="0" w:space="0" w:color="auto"/>
          </w:divBdr>
          <w:divsChild>
            <w:div w:id="2046833119">
              <w:marLeft w:val="0"/>
              <w:marRight w:val="0"/>
              <w:marTop w:val="0"/>
              <w:marBottom w:val="0"/>
              <w:divBdr>
                <w:top w:val="none" w:sz="0" w:space="0" w:color="auto"/>
                <w:left w:val="none" w:sz="0" w:space="0" w:color="auto"/>
                <w:bottom w:val="none" w:sz="0" w:space="0" w:color="auto"/>
                <w:right w:val="none" w:sz="0" w:space="0" w:color="auto"/>
              </w:divBdr>
              <w:divsChild>
                <w:div w:id="10398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69205">
      <w:bodyDiv w:val="1"/>
      <w:marLeft w:val="0"/>
      <w:marRight w:val="0"/>
      <w:marTop w:val="0"/>
      <w:marBottom w:val="0"/>
      <w:divBdr>
        <w:top w:val="none" w:sz="0" w:space="0" w:color="auto"/>
        <w:left w:val="none" w:sz="0" w:space="0" w:color="auto"/>
        <w:bottom w:val="none" w:sz="0" w:space="0" w:color="auto"/>
        <w:right w:val="none" w:sz="0" w:space="0" w:color="auto"/>
      </w:divBdr>
    </w:div>
    <w:div w:id="364990851">
      <w:bodyDiv w:val="1"/>
      <w:marLeft w:val="0"/>
      <w:marRight w:val="0"/>
      <w:marTop w:val="0"/>
      <w:marBottom w:val="0"/>
      <w:divBdr>
        <w:top w:val="none" w:sz="0" w:space="0" w:color="auto"/>
        <w:left w:val="none" w:sz="0" w:space="0" w:color="auto"/>
        <w:bottom w:val="none" w:sz="0" w:space="0" w:color="auto"/>
        <w:right w:val="none" w:sz="0" w:space="0" w:color="auto"/>
      </w:divBdr>
      <w:divsChild>
        <w:div w:id="877397083">
          <w:marLeft w:val="0"/>
          <w:marRight w:val="0"/>
          <w:marTop w:val="0"/>
          <w:marBottom w:val="0"/>
          <w:divBdr>
            <w:top w:val="none" w:sz="0" w:space="0" w:color="auto"/>
            <w:left w:val="none" w:sz="0" w:space="0" w:color="auto"/>
            <w:bottom w:val="none" w:sz="0" w:space="0" w:color="auto"/>
            <w:right w:val="none" w:sz="0" w:space="0" w:color="auto"/>
          </w:divBdr>
          <w:divsChild>
            <w:div w:id="725494304">
              <w:marLeft w:val="0"/>
              <w:marRight w:val="0"/>
              <w:marTop w:val="0"/>
              <w:marBottom w:val="0"/>
              <w:divBdr>
                <w:top w:val="none" w:sz="0" w:space="0" w:color="auto"/>
                <w:left w:val="none" w:sz="0" w:space="0" w:color="auto"/>
                <w:bottom w:val="none" w:sz="0" w:space="0" w:color="auto"/>
                <w:right w:val="none" w:sz="0" w:space="0" w:color="auto"/>
              </w:divBdr>
              <w:divsChild>
                <w:div w:id="51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3407">
      <w:bodyDiv w:val="1"/>
      <w:marLeft w:val="0"/>
      <w:marRight w:val="0"/>
      <w:marTop w:val="0"/>
      <w:marBottom w:val="0"/>
      <w:divBdr>
        <w:top w:val="none" w:sz="0" w:space="0" w:color="auto"/>
        <w:left w:val="none" w:sz="0" w:space="0" w:color="auto"/>
        <w:bottom w:val="none" w:sz="0" w:space="0" w:color="auto"/>
        <w:right w:val="none" w:sz="0" w:space="0" w:color="auto"/>
      </w:divBdr>
      <w:divsChild>
        <w:div w:id="1950576355">
          <w:marLeft w:val="0"/>
          <w:marRight w:val="0"/>
          <w:marTop w:val="0"/>
          <w:marBottom w:val="0"/>
          <w:divBdr>
            <w:top w:val="none" w:sz="0" w:space="0" w:color="auto"/>
            <w:left w:val="none" w:sz="0" w:space="0" w:color="auto"/>
            <w:bottom w:val="none" w:sz="0" w:space="0" w:color="auto"/>
            <w:right w:val="none" w:sz="0" w:space="0" w:color="auto"/>
          </w:divBdr>
          <w:divsChild>
            <w:div w:id="659187992">
              <w:marLeft w:val="0"/>
              <w:marRight w:val="0"/>
              <w:marTop w:val="0"/>
              <w:marBottom w:val="0"/>
              <w:divBdr>
                <w:top w:val="none" w:sz="0" w:space="0" w:color="auto"/>
                <w:left w:val="none" w:sz="0" w:space="0" w:color="auto"/>
                <w:bottom w:val="none" w:sz="0" w:space="0" w:color="auto"/>
                <w:right w:val="none" w:sz="0" w:space="0" w:color="auto"/>
              </w:divBdr>
              <w:divsChild>
                <w:div w:id="1433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30970">
      <w:bodyDiv w:val="1"/>
      <w:marLeft w:val="0"/>
      <w:marRight w:val="0"/>
      <w:marTop w:val="0"/>
      <w:marBottom w:val="0"/>
      <w:divBdr>
        <w:top w:val="none" w:sz="0" w:space="0" w:color="auto"/>
        <w:left w:val="none" w:sz="0" w:space="0" w:color="auto"/>
        <w:bottom w:val="none" w:sz="0" w:space="0" w:color="auto"/>
        <w:right w:val="none" w:sz="0" w:space="0" w:color="auto"/>
      </w:divBdr>
      <w:divsChild>
        <w:div w:id="1855992022">
          <w:marLeft w:val="0"/>
          <w:marRight w:val="0"/>
          <w:marTop w:val="0"/>
          <w:marBottom w:val="0"/>
          <w:divBdr>
            <w:top w:val="none" w:sz="0" w:space="0" w:color="auto"/>
            <w:left w:val="none" w:sz="0" w:space="0" w:color="auto"/>
            <w:bottom w:val="none" w:sz="0" w:space="0" w:color="auto"/>
            <w:right w:val="none" w:sz="0" w:space="0" w:color="auto"/>
          </w:divBdr>
          <w:divsChild>
            <w:div w:id="847787705">
              <w:marLeft w:val="0"/>
              <w:marRight w:val="0"/>
              <w:marTop w:val="0"/>
              <w:marBottom w:val="0"/>
              <w:divBdr>
                <w:top w:val="none" w:sz="0" w:space="0" w:color="auto"/>
                <w:left w:val="none" w:sz="0" w:space="0" w:color="auto"/>
                <w:bottom w:val="none" w:sz="0" w:space="0" w:color="auto"/>
                <w:right w:val="none" w:sz="0" w:space="0" w:color="auto"/>
              </w:divBdr>
              <w:divsChild>
                <w:div w:id="13191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429198">
      <w:bodyDiv w:val="1"/>
      <w:marLeft w:val="0"/>
      <w:marRight w:val="0"/>
      <w:marTop w:val="0"/>
      <w:marBottom w:val="0"/>
      <w:divBdr>
        <w:top w:val="none" w:sz="0" w:space="0" w:color="auto"/>
        <w:left w:val="none" w:sz="0" w:space="0" w:color="auto"/>
        <w:bottom w:val="none" w:sz="0" w:space="0" w:color="auto"/>
        <w:right w:val="none" w:sz="0" w:space="0" w:color="auto"/>
      </w:divBdr>
      <w:divsChild>
        <w:div w:id="1684555428">
          <w:marLeft w:val="0"/>
          <w:marRight w:val="0"/>
          <w:marTop w:val="0"/>
          <w:marBottom w:val="0"/>
          <w:divBdr>
            <w:top w:val="none" w:sz="0" w:space="0" w:color="auto"/>
            <w:left w:val="none" w:sz="0" w:space="0" w:color="auto"/>
            <w:bottom w:val="none" w:sz="0" w:space="0" w:color="auto"/>
            <w:right w:val="none" w:sz="0" w:space="0" w:color="auto"/>
          </w:divBdr>
          <w:divsChild>
            <w:div w:id="566041211">
              <w:marLeft w:val="0"/>
              <w:marRight w:val="0"/>
              <w:marTop w:val="0"/>
              <w:marBottom w:val="0"/>
              <w:divBdr>
                <w:top w:val="none" w:sz="0" w:space="0" w:color="auto"/>
                <w:left w:val="none" w:sz="0" w:space="0" w:color="auto"/>
                <w:bottom w:val="none" w:sz="0" w:space="0" w:color="auto"/>
                <w:right w:val="none" w:sz="0" w:space="0" w:color="auto"/>
              </w:divBdr>
              <w:divsChild>
                <w:div w:id="47548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3258">
      <w:bodyDiv w:val="1"/>
      <w:marLeft w:val="0"/>
      <w:marRight w:val="0"/>
      <w:marTop w:val="0"/>
      <w:marBottom w:val="0"/>
      <w:divBdr>
        <w:top w:val="none" w:sz="0" w:space="0" w:color="auto"/>
        <w:left w:val="none" w:sz="0" w:space="0" w:color="auto"/>
        <w:bottom w:val="none" w:sz="0" w:space="0" w:color="auto"/>
        <w:right w:val="none" w:sz="0" w:space="0" w:color="auto"/>
      </w:divBdr>
      <w:divsChild>
        <w:div w:id="13582318">
          <w:marLeft w:val="0"/>
          <w:marRight w:val="0"/>
          <w:marTop w:val="0"/>
          <w:marBottom w:val="0"/>
          <w:divBdr>
            <w:top w:val="none" w:sz="0" w:space="0" w:color="auto"/>
            <w:left w:val="none" w:sz="0" w:space="0" w:color="auto"/>
            <w:bottom w:val="none" w:sz="0" w:space="0" w:color="auto"/>
            <w:right w:val="none" w:sz="0" w:space="0" w:color="auto"/>
          </w:divBdr>
          <w:divsChild>
            <w:div w:id="989595251">
              <w:marLeft w:val="0"/>
              <w:marRight w:val="0"/>
              <w:marTop w:val="0"/>
              <w:marBottom w:val="0"/>
              <w:divBdr>
                <w:top w:val="none" w:sz="0" w:space="0" w:color="auto"/>
                <w:left w:val="none" w:sz="0" w:space="0" w:color="auto"/>
                <w:bottom w:val="none" w:sz="0" w:space="0" w:color="auto"/>
                <w:right w:val="none" w:sz="0" w:space="0" w:color="auto"/>
              </w:divBdr>
              <w:divsChild>
                <w:div w:id="5498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13207">
      <w:bodyDiv w:val="1"/>
      <w:marLeft w:val="0"/>
      <w:marRight w:val="0"/>
      <w:marTop w:val="0"/>
      <w:marBottom w:val="0"/>
      <w:divBdr>
        <w:top w:val="none" w:sz="0" w:space="0" w:color="auto"/>
        <w:left w:val="none" w:sz="0" w:space="0" w:color="auto"/>
        <w:bottom w:val="none" w:sz="0" w:space="0" w:color="auto"/>
        <w:right w:val="none" w:sz="0" w:space="0" w:color="auto"/>
      </w:divBdr>
      <w:divsChild>
        <w:div w:id="1563056676">
          <w:marLeft w:val="0"/>
          <w:marRight w:val="0"/>
          <w:marTop w:val="0"/>
          <w:marBottom w:val="0"/>
          <w:divBdr>
            <w:top w:val="none" w:sz="0" w:space="0" w:color="auto"/>
            <w:left w:val="none" w:sz="0" w:space="0" w:color="auto"/>
            <w:bottom w:val="none" w:sz="0" w:space="0" w:color="auto"/>
            <w:right w:val="none" w:sz="0" w:space="0" w:color="auto"/>
          </w:divBdr>
          <w:divsChild>
            <w:div w:id="54160444">
              <w:marLeft w:val="0"/>
              <w:marRight w:val="0"/>
              <w:marTop w:val="0"/>
              <w:marBottom w:val="0"/>
              <w:divBdr>
                <w:top w:val="none" w:sz="0" w:space="0" w:color="auto"/>
                <w:left w:val="none" w:sz="0" w:space="0" w:color="auto"/>
                <w:bottom w:val="none" w:sz="0" w:space="0" w:color="auto"/>
                <w:right w:val="none" w:sz="0" w:space="0" w:color="auto"/>
              </w:divBdr>
              <w:divsChild>
                <w:div w:id="10727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9324">
      <w:bodyDiv w:val="1"/>
      <w:marLeft w:val="0"/>
      <w:marRight w:val="0"/>
      <w:marTop w:val="0"/>
      <w:marBottom w:val="0"/>
      <w:divBdr>
        <w:top w:val="none" w:sz="0" w:space="0" w:color="auto"/>
        <w:left w:val="none" w:sz="0" w:space="0" w:color="auto"/>
        <w:bottom w:val="none" w:sz="0" w:space="0" w:color="auto"/>
        <w:right w:val="none" w:sz="0" w:space="0" w:color="auto"/>
      </w:divBdr>
      <w:divsChild>
        <w:div w:id="357202987">
          <w:marLeft w:val="0"/>
          <w:marRight w:val="0"/>
          <w:marTop w:val="0"/>
          <w:marBottom w:val="0"/>
          <w:divBdr>
            <w:top w:val="none" w:sz="0" w:space="0" w:color="auto"/>
            <w:left w:val="none" w:sz="0" w:space="0" w:color="auto"/>
            <w:bottom w:val="none" w:sz="0" w:space="0" w:color="auto"/>
            <w:right w:val="none" w:sz="0" w:space="0" w:color="auto"/>
          </w:divBdr>
          <w:divsChild>
            <w:div w:id="2105178578">
              <w:marLeft w:val="0"/>
              <w:marRight w:val="0"/>
              <w:marTop w:val="0"/>
              <w:marBottom w:val="0"/>
              <w:divBdr>
                <w:top w:val="none" w:sz="0" w:space="0" w:color="auto"/>
                <w:left w:val="none" w:sz="0" w:space="0" w:color="auto"/>
                <w:bottom w:val="none" w:sz="0" w:space="0" w:color="auto"/>
                <w:right w:val="none" w:sz="0" w:space="0" w:color="auto"/>
              </w:divBdr>
              <w:divsChild>
                <w:div w:id="8362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12870">
      <w:bodyDiv w:val="1"/>
      <w:marLeft w:val="0"/>
      <w:marRight w:val="0"/>
      <w:marTop w:val="0"/>
      <w:marBottom w:val="0"/>
      <w:divBdr>
        <w:top w:val="none" w:sz="0" w:space="0" w:color="auto"/>
        <w:left w:val="none" w:sz="0" w:space="0" w:color="auto"/>
        <w:bottom w:val="none" w:sz="0" w:space="0" w:color="auto"/>
        <w:right w:val="none" w:sz="0" w:space="0" w:color="auto"/>
      </w:divBdr>
      <w:divsChild>
        <w:div w:id="70154113">
          <w:marLeft w:val="0"/>
          <w:marRight w:val="0"/>
          <w:marTop w:val="0"/>
          <w:marBottom w:val="0"/>
          <w:divBdr>
            <w:top w:val="none" w:sz="0" w:space="0" w:color="auto"/>
            <w:left w:val="none" w:sz="0" w:space="0" w:color="auto"/>
            <w:bottom w:val="none" w:sz="0" w:space="0" w:color="auto"/>
            <w:right w:val="none" w:sz="0" w:space="0" w:color="auto"/>
          </w:divBdr>
          <w:divsChild>
            <w:div w:id="1797021379">
              <w:marLeft w:val="0"/>
              <w:marRight w:val="0"/>
              <w:marTop w:val="0"/>
              <w:marBottom w:val="0"/>
              <w:divBdr>
                <w:top w:val="none" w:sz="0" w:space="0" w:color="auto"/>
                <w:left w:val="none" w:sz="0" w:space="0" w:color="auto"/>
                <w:bottom w:val="none" w:sz="0" w:space="0" w:color="auto"/>
                <w:right w:val="none" w:sz="0" w:space="0" w:color="auto"/>
              </w:divBdr>
              <w:divsChild>
                <w:div w:id="17250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10963">
      <w:bodyDiv w:val="1"/>
      <w:marLeft w:val="0"/>
      <w:marRight w:val="0"/>
      <w:marTop w:val="0"/>
      <w:marBottom w:val="0"/>
      <w:divBdr>
        <w:top w:val="none" w:sz="0" w:space="0" w:color="auto"/>
        <w:left w:val="none" w:sz="0" w:space="0" w:color="auto"/>
        <w:bottom w:val="none" w:sz="0" w:space="0" w:color="auto"/>
        <w:right w:val="none" w:sz="0" w:space="0" w:color="auto"/>
      </w:divBdr>
      <w:divsChild>
        <w:div w:id="263538958">
          <w:marLeft w:val="0"/>
          <w:marRight w:val="0"/>
          <w:marTop w:val="0"/>
          <w:marBottom w:val="0"/>
          <w:divBdr>
            <w:top w:val="none" w:sz="0" w:space="0" w:color="auto"/>
            <w:left w:val="none" w:sz="0" w:space="0" w:color="auto"/>
            <w:bottom w:val="none" w:sz="0" w:space="0" w:color="auto"/>
            <w:right w:val="none" w:sz="0" w:space="0" w:color="auto"/>
          </w:divBdr>
          <w:divsChild>
            <w:div w:id="1431506371">
              <w:marLeft w:val="0"/>
              <w:marRight w:val="0"/>
              <w:marTop w:val="0"/>
              <w:marBottom w:val="0"/>
              <w:divBdr>
                <w:top w:val="none" w:sz="0" w:space="0" w:color="auto"/>
                <w:left w:val="none" w:sz="0" w:space="0" w:color="auto"/>
                <w:bottom w:val="none" w:sz="0" w:space="0" w:color="auto"/>
                <w:right w:val="none" w:sz="0" w:space="0" w:color="auto"/>
              </w:divBdr>
              <w:divsChild>
                <w:div w:id="495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3442">
      <w:bodyDiv w:val="1"/>
      <w:marLeft w:val="0"/>
      <w:marRight w:val="0"/>
      <w:marTop w:val="0"/>
      <w:marBottom w:val="0"/>
      <w:divBdr>
        <w:top w:val="none" w:sz="0" w:space="0" w:color="auto"/>
        <w:left w:val="none" w:sz="0" w:space="0" w:color="auto"/>
        <w:bottom w:val="none" w:sz="0" w:space="0" w:color="auto"/>
        <w:right w:val="none" w:sz="0" w:space="0" w:color="auto"/>
      </w:divBdr>
      <w:divsChild>
        <w:div w:id="1637250801">
          <w:marLeft w:val="0"/>
          <w:marRight w:val="0"/>
          <w:marTop w:val="0"/>
          <w:marBottom w:val="0"/>
          <w:divBdr>
            <w:top w:val="none" w:sz="0" w:space="0" w:color="auto"/>
            <w:left w:val="none" w:sz="0" w:space="0" w:color="auto"/>
            <w:bottom w:val="none" w:sz="0" w:space="0" w:color="auto"/>
            <w:right w:val="none" w:sz="0" w:space="0" w:color="auto"/>
          </w:divBdr>
          <w:divsChild>
            <w:div w:id="1617515732">
              <w:marLeft w:val="0"/>
              <w:marRight w:val="0"/>
              <w:marTop w:val="0"/>
              <w:marBottom w:val="0"/>
              <w:divBdr>
                <w:top w:val="none" w:sz="0" w:space="0" w:color="auto"/>
                <w:left w:val="none" w:sz="0" w:space="0" w:color="auto"/>
                <w:bottom w:val="none" w:sz="0" w:space="0" w:color="auto"/>
                <w:right w:val="none" w:sz="0" w:space="0" w:color="auto"/>
              </w:divBdr>
              <w:divsChild>
                <w:div w:id="19133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87629">
      <w:bodyDiv w:val="1"/>
      <w:marLeft w:val="0"/>
      <w:marRight w:val="0"/>
      <w:marTop w:val="0"/>
      <w:marBottom w:val="0"/>
      <w:divBdr>
        <w:top w:val="none" w:sz="0" w:space="0" w:color="auto"/>
        <w:left w:val="none" w:sz="0" w:space="0" w:color="auto"/>
        <w:bottom w:val="none" w:sz="0" w:space="0" w:color="auto"/>
        <w:right w:val="none" w:sz="0" w:space="0" w:color="auto"/>
      </w:divBdr>
      <w:divsChild>
        <w:div w:id="446236714">
          <w:marLeft w:val="0"/>
          <w:marRight w:val="0"/>
          <w:marTop w:val="0"/>
          <w:marBottom w:val="0"/>
          <w:divBdr>
            <w:top w:val="none" w:sz="0" w:space="0" w:color="auto"/>
            <w:left w:val="none" w:sz="0" w:space="0" w:color="auto"/>
            <w:bottom w:val="none" w:sz="0" w:space="0" w:color="auto"/>
            <w:right w:val="none" w:sz="0" w:space="0" w:color="auto"/>
          </w:divBdr>
          <w:divsChild>
            <w:div w:id="1009328254">
              <w:marLeft w:val="0"/>
              <w:marRight w:val="0"/>
              <w:marTop w:val="0"/>
              <w:marBottom w:val="0"/>
              <w:divBdr>
                <w:top w:val="none" w:sz="0" w:space="0" w:color="auto"/>
                <w:left w:val="none" w:sz="0" w:space="0" w:color="auto"/>
                <w:bottom w:val="none" w:sz="0" w:space="0" w:color="auto"/>
                <w:right w:val="none" w:sz="0" w:space="0" w:color="auto"/>
              </w:divBdr>
              <w:divsChild>
                <w:div w:id="20254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08792">
      <w:bodyDiv w:val="1"/>
      <w:marLeft w:val="0"/>
      <w:marRight w:val="0"/>
      <w:marTop w:val="0"/>
      <w:marBottom w:val="0"/>
      <w:divBdr>
        <w:top w:val="none" w:sz="0" w:space="0" w:color="auto"/>
        <w:left w:val="none" w:sz="0" w:space="0" w:color="auto"/>
        <w:bottom w:val="none" w:sz="0" w:space="0" w:color="auto"/>
        <w:right w:val="none" w:sz="0" w:space="0" w:color="auto"/>
      </w:divBdr>
      <w:divsChild>
        <w:div w:id="519128764">
          <w:marLeft w:val="0"/>
          <w:marRight w:val="0"/>
          <w:marTop w:val="0"/>
          <w:marBottom w:val="0"/>
          <w:divBdr>
            <w:top w:val="none" w:sz="0" w:space="0" w:color="auto"/>
            <w:left w:val="none" w:sz="0" w:space="0" w:color="auto"/>
            <w:bottom w:val="none" w:sz="0" w:space="0" w:color="auto"/>
            <w:right w:val="none" w:sz="0" w:space="0" w:color="auto"/>
          </w:divBdr>
          <w:divsChild>
            <w:div w:id="2784342">
              <w:marLeft w:val="0"/>
              <w:marRight w:val="0"/>
              <w:marTop w:val="0"/>
              <w:marBottom w:val="0"/>
              <w:divBdr>
                <w:top w:val="none" w:sz="0" w:space="0" w:color="auto"/>
                <w:left w:val="none" w:sz="0" w:space="0" w:color="auto"/>
                <w:bottom w:val="none" w:sz="0" w:space="0" w:color="auto"/>
                <w:right w:val="none" w:sz="0" w:space="0" w:color="auto"/>
              </w:divBdr>
              <w:divsChild>
                <w:div w:id="158703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24283">
      <w:bodyDiv w:val="1"/>
      <w:marLeft w:val="0"/>
      <w:marRight w:val="0"/>
      <w:marTop w:val="0"/>
      <w:marBottom w:val="0"/>
      <w:divBdr>
        <w:top w:val="none" w:sz="0" w:space="0" w:color="auto"/>
        <w:left w:val="none" w:sz="0" w:space="0" w:color="auto"/>
        <w:bottom w:val="none" w:sz="0" w:space="0" w:color="auto"/>
        <w:right w:val="none" w:sz="0" w:space="0" w:color="auto"/>
      </w:divBdr>
    </w:div>
    <w:div w:id="1087924900">
      <w:bodyDiv w:val="1"/>
      <w:marLeft w:val="0"/>
      <w:marRight w:val="0"/>
      <w:marTop w:val="0"/>
      <w:marBottom w:val="0"/>
      <w:divBdr>
        <w:top w:val="none" w:sz="0" w:space="0" w:color="auto"/>
        <w:left w:val="none" w:sz="0" w:space="0" w:color="auto"/>
        <w:bottom w:val="none" w:sz="0" w:space="0" w:color="auto"/>
        <w:right w:val="none" w:sz="0" w:space="0" w:color="auto"/>
      </w:divBdr>
      <w:divsChild>
        <w:div w:id="1714888574">
          <w:marLeft w:val="0"/>
          <w:marRight w:val="0"/>
          <w:marTop w:val="0"/>
          <w:marBottom w:val="0"/>
          <w:divBdr>
            <w:top w:val="none" w:sz="0" w:space="0" w:color="auto"/>
            <w:left w:val="none" w:sz="0" w:space="0" w:color="auto"/>
            <w:bottom w:val="none" w:sz="0" w:space="0" w:color="auto"/>
            <w:right w:val="none" w:sz="0" w:space="0" w:color="auto"/>
          </w:divBdr>
          <w:divsChild>
            <w:div w:id="961885884">
              <w:marLeft w:val="0"/>
              <w:marRight w:val="0"/>
              <w:marTop w:val="0"/>
              <w:marBottom w:val="0"/>
              <w:divBdr>
                <w:top w:val="none" w:sz="0" w:space="0" w:color="auto"/>
                <w:left w:val="none" w:sz="0" w:space="0" w:color="auto"/>
                <w:bottom w:val="none" w:sz="0" w:space="0" w:color="auto"/>
                <w:right w:val="none" w:sz="0" w:space="0" w:color="auto"/>
              </w:divBdr>
              <w:divsChild>
                <w:div w:id="6994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04774">
      <w:bodyDiv w:val="1"/>
      <w:marLeft w:val="0"/>
      <w:marRight w:val="0"/>
      <w:marTop w:val="0"/>
      <w:marBottom w:val="0"/>
      <w:divBdr>
        <w:top w:val="none" w:sz="0" w:space="0" w:color="auto"/>
        <w:left w:val="none" w:sz="0" w:space="0" w:color="auto"/>
        <w:bottom w:val="none" w:sz="0" w:space="0" w:color="auto"/>
        <w:right w:val="none" w:sz="0" w:space="0" w:color="auto"/>
      </w:divBdr>
      <w:divsChild>
        <w:div w:id="28655115">
          <w:marLeft w:val="0"/>
          <w:marRight w:val="0"/>
          <w:marTop w:val="0"/>
          <w:marBottom w:val="0"/>
          <w:divBdr>
            <w:top w:val="none" w:sz="0" w:space="0" w:color="auto"/>
            <w:left w:val="none" w:sz="0" w:space="0" w:color="auto"/>
            <w:bottom w:val="none" w:sz="0" w:space="0" w:color="auto"/>
            <w:right w:val="none" w:sz="0" w:space="0" w:color="auto"/>
          </w:divBdr>
          <w:divsChild>
            <w:div w:id="1465810879">
              <w:marLeft w:val="0"/>
              <w:marRight w:val="0"/>
              <w:marTop w:val="0"/>
              <w:marBottom w:val="0"/>
              <w:divBdr>
                <w:top w:val="none" w:sz="0" w:space="0" w:color="auto"/>
                <w:left w:val="none" w:sz="0" w:space="0" w:color="auto"/>
                <w:bottom w:val="none" w:sz="0" w:space="0" w:color="auto"/>
                <w:right w:val="none" w:sz="0" w:space="0" w:color="auto"/>
              </w:divBdr>
              <w:divsChild>
                <w:div w:id="17883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874">
      <w:bodyDiv w:val="1"/>
      <w:marLeft w:val="0"/>
      <w:marRight w:val="0"/>
      <w:marTop w:val="0"/>
      <w:marBottom w:val="0"/>
      <w:divBdr>
        <w:top w:val="none" w:sz="0" w:space="0" w:color="auto"/>
        <w:left w:val="none" w:sz="0" w:space="0" w:color="auto"/>
        <w:bottom w:val="none" w:sz="0" w:space="0" w:color="auto"/>
        <w:right w:val="none" w:sz="0" w:space="0" w:color="auto"/>
      </w:divBdr>
    </w:div>
    <w:div w:id="1239944874">
      <w:bodyDiv w:val="1"/>
      <w:marLeft w:val="0"/>
      <w:marRight w:val="0"/>
      <w:marTop w:val="0"/>
      <w:marBottom w:val="0"/>
      <w:divBdr>
        <w:top w:val="none" w:sz="0" w:space="0" w:color="auto"/>
        <w:left w:val="none" w:sz="0" w:space="0" w:color="auto"/>
        <w:bottom w:val="none" w:sz="0" w:space="0" w:color="auto"/>
        <w:right w:val="none" w:sz="0" w:space="0" w:color="auto"/>
      </w:divBdr>
      <w:divsChild>
        <w:div w:id="350763477">
          <w:marLeft w:val="0"/>
          <w:marRight w:val="0"/>
          <w:marTop w:val="0"/>
          <w:marBottom w:val="0"/>
          <w:divBdr>
            <w:top w:val="none" w:sz="0" w:space="0" w:color="auto"/>
            <w:left w:val="none" w:sz="0" w:space="0" w:color="auto"/>
            <w:bottom w:val="none" w:sz="0" w:space="0" w:color="auto"/>
            <w:right w:val="none" w:sz="0" w:space="0" w:color="auto"/>
          </w:divBdr>
          <w:divsChild>
            <w:div w:id="65298779">
              <w:marLeft w:val="0"/>
              <w:marRight w:val="0"/>
              <w:marTop w:val="0"/>
              <w:marBottom w:val="0"/>
              <w:divBdr>
                <w:top w:val="none" w:sz="0" w:space="0" w:color="auto"/>
                <w:left w:val="none" w:sz="0" w:space="0" w:color="auto"/>
                <w:bottom w:val="none" w:sz="0" w:space="0" w:color="auto"/>
                <w:right w:val="none" w:sz="0" w:space="0" w:color="auto"/>
              </w:divBdr>
              <w:divsChild>
                <w:div w:id="21473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08704">
      <w:bodyDiv w:val="1"/>
      <w:marLeft w:val="0"/>
      <w:marRight w:val="0"/>
      <w:marTop w:val="0"/>
      <w:marBottom w:val="0"/>
      <w:divBdr>
        <w:top w:val="none" w:sz="0" w:space="0" w:color="auto"/>
        <w:left w:val="none" w:sz="0" w:space="0" w:color="auto"/>
        <w:bottom w:val="none" w:sz="0" w:space="0" w:color="auto"/>
        <w:right w:val="none" w:sz="0" w:space="0" w:color="auto"/>
      </w:divBdr>
      <w:divsChild>
        <w:div w:id="1127965852">
          <w:marLeft w:val="0"/>
          <w:marRight w:val="0"/>
          <w:marTop w:val="0"/>
          <w:marBottom w:val="0"/>
          <w:divBdr>
            <w:top w:val="none" w:sz="0" w:space="0" w:color="auto"/>
            <w:left w:val="none" w:sz="0" w:space="0" w:color="auto"/>
            <w:bottom w:val="none" w:sz="0" w:space="0" w:color="auto"/>
            <w:right w:val="none" w:sz="0" w:space="0" w:color="auto"/>
          </w:divBdr>
          <w:divsChild>
            <w:div w:id="1955137892">
              <w:marLeft w:val="0"/>
              <w:marRight w:val="0"/>
              <w:marTop w:val="0"/>
              <w:marBottom w:val="0"/>
              <w:divBdr>
                <w:top w:val="none" w:sz="0" w:space="0" w:color="auto"/>
                <w:left w:val="none" w:sz="0" w:space="0" w:color="auto"/>
                <w:bottom w:val="none" w:sz="0" w:space="0" w:color="auto"/>
                <w:right w:val="none" w:sz="0" w:space="0" w:color="auto"/>
              </w:divBdr>
              <w:divsChild>
                <w:div w:id="17378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57801">
      <w:bodyDiv w:val="1"/>
      <w:marLeft w:val="0"/>
      <w:marRight w:val="0"/>
      <w:marTop w:val="0"/>
      <w:marBottom w:val="0"/>
      <w:divBdr>
        <w:top w:val="none" w:sz="0" w:space="0" w:color="auto"/>
        <w:left w:val="none" w:sz="0" w:space="0" w:color="auto"/>
        <w:bottom w:val="none" w:sz="0" w:space="0" w:color="auto"/>
        <w:right w:val="none" w:sz="0" w:space="0" w:color="auto"/>
      </w:divBdr>
      <w:divsChild>
        <w:div w:id="1566448354">
          <w:marLeft w:val="0"/>
          <w:marRight w:val="0"/>
          <w:marTop w:val="0"/>
          <w:marBottom w:val="0"/>
          <w:divBdr>
            <w:top w:val="none" w:sz="0" w:space="0" w:color="auto"/>
            <w:left w:val="none" w:sz="0" w:space="0" w:color="auto"/>
            <w:bottom w:val="none" w:sz="0" w:space="0" w:color="auto"/>
            <w:right w:val="none" w:sz="0" w:space="0" w:color="auto"/>
          </w:divBdr>
          <w:divsChild>
            <w:div w:id="1974676142">
              <w:marLeft w:val="0"/>
              <w:marRight w:val="0"/>
              <w:marTop w:val="0"/>
              <w:marBottom w:val="0"/>
              <w:divBdr>
                <w:top w:val="none" w:sz="0" w:space="0" w:color="auto"/>
                <w:left w:val="none" w:sz="0" w:space="0" w:color="auto"/>
                <w:bottom w:val="none" w:sz="0" w:space="0" w:color="auto"/>
                <w:right w:val="none" w:sz="0" w:space="0" w:color="auto"/>
              </w:divBdr>
              <w:divsChild>
                <w:div w:id="16503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33786">
      <w:bodyDiv w:val="1"/>
      <w:marLeft w:val="0"/>
      <w:marRight w:val="0"/>
      <w:marTop w:val="0"/>
      <w:marBottom w:val="0"/>
      <w:divBdr>
        <w:top w:val="none" w:sz="0" w:space="0" w:color="auto"/>
        <w:left w:val="none" w:sz="0" w:space="0" w:color="auto"/>
        <w:bottom w:val="none" w:sz="0" w:space="0" w:color="auto"/>
        <w:right w:val="none" w:sz="0" w:space="0" w:color="auto"/>
      </w:divBdr>
      <w:divsChild>
        <w:div w:id="288441454">
          <w:marLeft w:val="0"/>
          <w:marRight w:val="0"/>
          <w:marTop w:val="0"/>
          <w:marBottom w:val="0"/>
          <w:divBdr>
            <w:top w:val="none" w:sz="0" w:space="0" w:color="auto"/>
            <w:left w:val="none" w:sz="0" w:space="0" w:color="auto"/>
            <w:bottom w:val="none" w:sz="0" w:space="0" w:color="auto"/>
            <w:right w:val="none" w:sz="0" w:space="0" w:color="auto"/>
          </w:divBdr>
          <w:divsChild>
            <w:div w:id="1027759231">
              <w:marLeft w:val="0"/>
              <w:marRight w:val="0"/>
              <w:marTop w:val="0"/>
              <w:marBottom w:val="0"/>
              <w:divBdr>
                <w:top w:val="none" w:sz="0" w:space="0" w:color="auto"/>
                <w:left w:val="none" w:sz="0" w:space="0" w:color="auto"/>
                <w:bottom w:val="none" w:sz="0" w:space="0" w:color="auto"/>
                <w:right w:val="none" w:sz="0" w:space="0" w:color="auto"/>
              </w:divBdr>
              <w:divsChild>
                <w:div w:id="65877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6466">
      <w:bodyDiv w:val="1"/>
      <w:marLeft w:val="0"/>
      <w:marRight w:val="0"/>
      <w:marTop w:val="0"/>
      <w:marBottom w:val="0"/>
      <w:divBdr>
        <w:top w:val="none" w:sz="0" w:space="0" w:color="auto"/>
        <w:left w:val="none" w:sz="0" w:space="0" w:color="auto"/>
        <w:bottom w:val="none" w:sz="0" w:space="0" w:color="auto"/>
        <w:right w:val="none" w:sz="0" w:space="0" w:color="auto"/>
      </w:divBdr>
      <w:divsChild>
        <w:div w:id="906722515">
          <w:marLeft w:val="0"/>
          <w:marRight w:val="0"/>
          <w:marTop w:val="0"/>
          <w:marBottom w:val="0"/>
          <w:divBdr>
            <w:top w:val="none" w:sz="0" w:space="0" w:color="auto"/>
            <w:left w:val="none" w:sz="0" w:space="0" w:color="auto"/>
            <w:bottom w:val="none" w:sz="0" w:space="0" w:color="auto"/>
            <w:right w:val="none" w:sz="0" w:space="0" w:color="auto"/>
          </w:divBdr>
          <w:divsChild>
            <w:div w:id="826288492">
              <w:marLeft w:val="0"/>
              <w:marRight w:val="0"/>
              <w:marTop w:val="0"/>
              <w:marBottom w:val="0"/>
              <w:divBdr>
                <w:top w:val="none" w:sz="0" w:space="0" w:color="auto"/>
                <w:left w:val="none" w:sz="0" w:space="0" w:color="auto"/>
                <w:bottom w:val="none" w:sz="0" w:space="0" w:color="auto"/>
                <w:right w:val="none" w:sz="0" w:space="0" w:color="auto"/>
              </w:divBdr>
              <w:divsChild>
                <w:div w:id="141185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951520">
      <w:bodyDiv w:val="1"/>
      <w:marLeft w:val="0"/>
      <w:marRight w:val="0"/>
      <w:marTop w:val="0"/>
      <w:marBottom w:val="0"/>
      <w:divBdr>
        <w:top w:val="none" w:sz="0" w:space="0" w:color="auto"/>
        <w:left w:val="none" w:sz="0" w:space="0" w:color="auto"/>
        <w:bottom w:val="none" w:sz="0" w:space="0" w:color="auto"/>
        <w:right w:val="none" w:sz="0" w:space="0" w:color="auto"/>
      </w:divBdr>
      <w:divsChild>
        <w:div w:id="1006521161">
          <w:marLeft w:val="0"/>
          <w:marRight w:val="0"/>
          <w:marTop w:val="0"/>
          <w:marBottom w:val="0"/>
          <w:divBdr>
            <w:top w:val="none" w:sz="0" w:space="0" w:color="auto"/>
            <w:left w:val="none" w:sz="0" w:space="0" w:color="auto"/>
            <w:bottom w:val="none" w:sz="0" w:space="0" w:color="auto"/>
            <w:right w:val="none" w:sz="0" w:space="0" w:color="auto"/>
          </w:divBdr>
          <w:divsChild>
            <w:div w:id="607471035">
              <w:marLeft w:val="0"/>
              <w:marRight w:val="0"/>
              <w:marTop w:val="0"/>
              <w:marBottom w:val="0"/>
              <w:divBdr>
                <w:top w:val="none" w:sz="0" w:space="0" w:color="auto"/>
                <w:left w:val="none" w:sz="0" w:space="0" w:color="auto"/>
                <w:bottom w:val="none" w:sz="0" w:space="0" w:color="auto"/>
                <w:right w:val="none" w:sz="0" w:space="0" w:color="auto"/>
              </w:divBdr>
              <w:divsChild>
                <w:div w:id="39223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29014">
      <w:bodyDiv w:val="1"/>
      <w:marLeft w:val="0"/>
      <w:marRight w:val="0"/>
      <w:marTop w:val="0"/>
      <w:marBottom w:val="0"/>
      <w:divBdr>
        <w:top w:val="none" w:sz="0" w:space="0" w:color="auto"/>
        <w:left w:val="none" w:sz="0" w:space="0" w:color="auto"/>
        <w:bottom w:val="none" w:sz="0" w:space="0" w:color="auto"/>
        <w:right w:val="none" w:sz="0" w:space="0" w:color="auto"/>
      </w:divBdr>
      <w:divsChild>
        <w:div w:id="405032951">
          <w:marLeft w:val="0"/>
          <w:marRight w:val="0"/>
          <w:marTop w:val="0"/>
          <w:marBottom w:val="0"/>
          <w:divBdr>
            <w:top w:val="none" w:sz="0" w:space="0" w:color="auto"/>
            <w:left w:val="none" w:sz="0" w:space="0" w:color="auto"/>
            <w:bottom w:val="none" w:sz="0" w:space="0" w:color="auto"/>
            <w:right w:val="none" w:sz="0" w:space="0" w:color="auto"/>
          </w:divBdr>
          <w:divsChild>
            <w:div w:id="609121435">
              <w:marLeft w:val="0"/>
              <w:marRight w:val="0"/>
              <w:marTop w:val="0"/>
              <w:marBottom w:val="0"/>
              <w:divBdr>
                <w:top w:val="none" w:sz="0" w:space="0" w:color="auto"/>
                <w:left w:val="none" w:sz="0" w:space="0" w:color="auto"/>
                <w:bottom w:val="none" w:sz="0" w:space="0" w:color="auto"/>
                <w:right w:val="none" w:sz="0" w:space="0" w:color="auto"/>
              </w:divBdr>
              <w:divsChild>
                <w:div w:id="15831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11311">
      <w:bodyDiv w:val="1"/>
      <w:marLeft w:val="0"/>
      <w:marRight w:val="0"/>
      <w:marTop w:val="0"/>
      <w:marBottom w:val="0"/>
      <w:divBdr>
        <w:top w:val="none" w:sz="0" w:space="0" w:color="auto"/>
        <w:left w:val="none" w:sz="0" w:space="0" w:color="auto"/>
        <w:bottom w:val="none" w:sz="0" w:space="0" w:color="auto"/>
        <w:right w:val="none" w:sz="0" w:space="0" w:color="auto"/>
      </w:divBdr>
      <w:divsChild>
        <w:div w:id="1165515024">
          <w:marLeft w:val="0"/>
          <w:marRight w:val="0"/>
          <w:marTop w:val="0"/>
          <w:marBottom w:val="0"/>
          <w:divBdr>
            <w:top w:val="none" w:sz="0" w:space="0" w:color="auto"/>
            <w:left w:val="none" w:sz="0" w:space="0" w:color="auto"/>
            <w:bottom w:val="none" w:sz="0" w:space="0" w:color="auto"/>
            <w:right w:val="none" w:sz="0" w:space="0" w:color="auto"/>
          </w:divBdr>
          <w:divsChild>
            <w:div w:id="685251064">
              <w:marLeft w:val="0"/>
              <w:marRight w:val="0"/>
              <w:marTop w:val="0"/>
              <w:marBottom w:val="0"/>
              <w:divBdr>
                <w:top w:val="none" w:sz="0" w:space="0" w:color="auto"/>
                <w:left w:val="none" w:sz="0" w:space="0" w:color="auto"/>
                <w:bottom w:val="none" w:sz="0" w:space="0" w:color="auto"/>
                <w:right w:val="none" w:sz="0" w:space="0" w:color="auto"/>
              </w:divBdr>
              <w:divsChild>
                <w:div w:id="3592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59222">
      <w:bodyDiv w:val="1"/>
      <w:marLeft w:val="0"/>
      <w:marRight w:val="0"/>
      <w:marTop w:val="0"/>
      <w:marBottom w:val="0"/>
      <w:divBdr>
        <w:top w:val="none" w:sz="0" w:space="0" w:color="auto"/>
        <w:left w:val="none" w:sz="0" w:space="0" w:color="auto"/>
        <w:bottom w:val="none" w:sz="0" w:space="0" w:color="auto"/>
        <w:right w:val="none" w:sz="0" w:space="0" w:color="auto"/>
      </w:divBdr>
      <w:divsChild>
        <w:div w:id="1679430984">
          <w:marLeft w:val="0"/>
          <w:marRight w:val="0"/>
          <w:marTop w:val="0"/>
          <w:marBottom w:val="0"/>
          <w:divBdr>
            <w:top w:val="none" w:sz="0" w:space="0" w:color="auto"/>
            <w:left w:val="none" w:sz="0" w:space="0" w:color="auto"/>
            <w:bottom w:val="none" w:sz="0" w:space="0" w:color="auto"/>
            <w:right w:val="none" w:sz="0" w:space="0" w:color="auto"/>
          </w:divBdr>
          <w:divsChild>
            <w:div w:id="671376290">
              <w:marLeft w:val="0"/>
              <w:marRight w:val="0"/>
              <w:marTop w:val="0"/>
              <w:marBottom w:val="0"/>
              <w:divBdr>
                <w:top w:val="none" w:sz="0" w:space="0" w:color="auto"/>
                <w:left w:val="none" w:sz="0" w:space="0" w:color="auto"/>
                <w:bottom w:val="none" w:sz="0" w:space="0" w:color="auto"/>
                <w:right w:val="none" w:sz="0" w:space="0" w:color="auto"/>
              </w:divBdr>
              <w:divsChild>
                <w:div w:id="9365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73459">
      <w:bodyDiv w:val="1"/>
      <w:marLeft w:val="0"/>
      <w:marRight w:val="0"/>
      <w:marTop w:val="0"/>
      <w:marBottom w:val="0"/>
      <w:divBdr>
        <w:top w:val="none" w:sz="0" w:space="0" w:color="auto"/>
        <w:left w:val="none" w:sz="0" w:space="0" w:color="auto"/>
        <w:bottom w:val="none" w:sz="0" w:space="0" w:color="auto"/>
        <w:right w:val="none" w:sz="0" w:space="0" w:color="auto"/>
      </w:divBdr>
      <w:divsChild>
        <w:div w:id="2142921884">
          <w:marLeft w:val="0"/>
          <w:marRight w:val="0"/>
          <w:marTop w:val="0"/>
          <w:marBottom w:val="0"/>
          <w:divBdr>
            <w:top w:val="none" w:sz="0" w:space="0" w:color="auto"/>
            <w:left w:val="none" w:sz="0" w:space="0" w:color="auto"/>
            <w:bottom w:val="none" w:sz="0" w:space="0" w:color="auto"/>
            <w:right w:val="none" w:sz="0" w:space="0" w:color="auto"/>
          </w:divBdr>
          <w:divsChild>
            <w:div w:id="1191604585">
              <w:marLeft w:val="0"/>
              <w:marRight w:val="0"/>
              <w:marTop w:val="0"/>
              <w:marBottom w:val="0"/>
              <w:divBdr>
                <w:top w:val="none" w:sz="0" w:space="0" w:color="auto"/>
                <w:left w:val="none" w:sz="0" w:space="0" w:color="auto"/>
                <w:bottom w:val="none" w:sz="0" w:space="0" w:color="auto"/>
                <w:right w:val="none" w:sz="0" w:space="0" w:color="auto"/>
              </w:divBdr>
              <w:divsChild>
                <w:div w:id="6530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9040">
      <w:bodyDiv w:val="1"/>
      <w:marLeft w:val="0"/>
      <w:marRight w:val="0"/>
      <w:marTop w:val="0"/>
      <w:marBottom w:val="0"/>
      <w:divBdr>
        <w:top w:val="none" w:sz="0" w:space="0" w:color="auto"/>
        <w:left w:val="none" w:sz="0" w:space="0" w:color="auto"/>
        <w:bottom w:val="none" w:sz="0" w:space="0" w:color="auto"/>
        <w:right w:val="none" w:sz="0" w:space="0" w:color="auto"/>
      </w:divBdr>
      <w:divsChild>
        <w:div w:id="907769230">
          <w:marLeft w:val="0"/>
          <w:marRight w:val="0"/>
          <w:marTop w:val="0"/>
          <w:marBottom w:val="0"/>
          <w:divBdr>
            <w:top w:val="none" w:sz="0" w:space="0" w:color="auto"/>
            <w:left w:val="none" w:sz="0" w:space="0" w:color="auto"/>
            <w:bottom w:val="none" w:sz="0" w:space="0" w:color="auto"/>
            <w:right w:val="none" w:sz="0" w:space="0" w:color="auto"/>
          </w:divBdr>
          <w:divsChild>
            <w:div w:id="655303994">
              <w:marLeft w:val="0"/>
              <w:marRight w:val="0"/>
              <w:marTop w:val="0"/>
              <w:marBottom w:val="0"/>
              <w:divBdr>
                <w:top w:val="none" w:sz="0" w:space="0" w:color="auto"/>
                <w:left w:val="none" w:sz="0" w:space="0" w:color="auto"/>
                <w:bottom w:val="none" w:sz="0" w:space="0" w:color="auto"/>
                <w:right w:val="none" w:sz="0" w:space="0" w:color="auto"/>
              </w:divBdr>
              <w:divsChild>
                <w:div w:id="17381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48733">
      <w:bodyDiv w:val="1"/>
      <w:marLeft w:val="0"/>
      <w:marRight w:val="0"/>
      <w:marTop w:val="0"/>
      <w:marBottom w:val="0"/>
      <w:divBdr>
        <w:top w:val="none" w:sz="0" w:space="0" w:color="auto"/>
        <w:left w:val="none" w:sz="0" w:space="0" w:color="auto"/>
        <w:bottom w:val="none" w:sz="0" w:space="0" w:color="auto"/>
        <w:right w:val="none" w:sz="0" w:space="0" w:color="auto"/>
      </w:divBdr>
      <w:divsChild>
        <w:div w:id="2063092868">
          <w:marLeft w:val="0"/>
          <w:marRight w:val="0"/>
          <w:marTop w:val="0"/>
          <w:marBottom w:val="0"/>
          <w:divBdr>
            <w:top w:val="none" w:sz="0" w:space="0" w:color="auto"/>
            <w:left w:val="none" w:sz="0" w:space="0" w:color="auto"/>
            <w:bottom w:val="none" w:sz="0" w:space="0" w:color="auto"/>
            <w:right w:val="none" w:sz="0" w:space="0" w:color="auto"/>
          </w:divBdr>
          <w:divsChild>
            <w:div w:id="1913273725">
              <w:marLeft w:val="0"/>
              <w:marRight w:val="0"/>
              <w:marTop w:val="0"/>
              <w:marBottom w:val="0"/>
              <w:divBdr>
                <w:top w:val="none" w:sz="0" w:space="0" w:color="auto"/>
                <w:left w:val="none" w:sz="0" w:space="0" w:color="auto"/>
                <w:bottom w:val="none" w:sz="0" w:space="0" w:color="auto"/>
                <w:right w:val="none" w:sz="0" w:space="0" w:color="auto"/>
              </w:divBdr>
              <w:divsChild>
                <w:div w:id="10294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9775">
      <w:bodyDiv w:val="1"/>
      <w:marLeft w:val="0"/>
      <w:marRight w:val="0"/>
      <w:marTop w:val="0"/>
      <w:marBottom w:val="0"/>
      <w:divBdr>
        <w:top w:val="none" w:sz="0" w:space="0" w:color="auto"/>
        <w:left w:val="none" w:sz="0" w:space="0" w:color="auto"/>
        <w:bottom w:val="none" w:sz="0" w:space="0" w:color="auto"/>
        <w:right w:val="none" w:sz="0" w:space="0" w:color="auto"/>
      </w:divBdr>
      <w:divsChild>
        <w:div w:id="156769441">
          <w:marLeft w:val="0"/>
          <w:marRight w:val="0"/>
          <w:marTop w:val="0"/>
          <w:marBottom w:val="0"/>
          <w:divBdr>
            <w:top w:val="none" w:sz="0" w:space="0" w:color="auto"/>
            <w:left w:val="none" w:sz="0" w:space="0" w:color="auto"/>
            <w:bottom w:val="none" w:sz="0" w:space="0" w:color="auto"/>
            <w:right w:val="none" w:sz="0" w:space="0" w:color="auto"/>
          </w:divBdr>
          <w:divsChild>
            <w:div w:id="1152600977">
              <w:marLeft w:val="0"/>
              <w:marRight w:val="0"/>
              <w:marTop w:val="0"/>
              <w:marBottom w:val="0"/>
              <w:divBdr>
                <w:top w:val="none" w:sz="0" w:space="0" w:color="auto"/>
                <w:left w:val="none" w:sz="0" w:space="0" w:color="auto"/>
                <w:bottom w:val="none" w:sz="0" w:space="0" w:color="auto"/>
                <w:right w:val="none" w:sz="0" w:space="0" w:color="auto"/>
              </w:divBdr>
              <w:divsChild>
                <w:div w:id="205071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6970">
      <w:bodyDiv w:val="1"/>
      <w:marLeft w:val="0"/>
      <w:marRight w:val="0"/>
      <w:marTop w:val="0"/>
      <w:marBottom w:val="0"/>
      <w:divBdr>
        <w:top w:val="none" w:sz="0" w:space="0" w:color="auto"/>
        <w:left w:val="none" w:sz="0" w:space="0" w:color="auto"/>
        <w:bottom w:val="none" w:sz="0" w:space="0" w:color="auto"/>
        <w:right w:val="none" w:sz="0" w:space="0" w:color="auto"/>
      </w:divBdr>
      <w:divsChild>
        <w:div w:id="965237419">
          <w:marLeft w:val="0"/>
          <w:marRight w:val="0"/>
          <w:marTop w:val="0"/>
          <w:marBottom w:val="0"/>
          <w:divBdr>
            <w:top w:val="none" w:sz="0" w:space="0" w:color="auto"/>
            <w:left w:val="none" w:sz="0" w:space="0" w:color="auto"/>
            <w:bottom w:val="none" w:sz="0" w:space="0" w:color="auto"/>
            <w:right w:val="none" w:sz="0" w:space="0" w:color="auto"/>
          </w:divBdr>
          <w:divsChild>
            <w:div w:id="1749107958">
              <w:marLeft w:val="0"/>
              <w:marRight w:val="0"/>
              <w:marTop w:val="0"/>
              <w:marBottom w:val="0"/>
              <w:divBdr>
                <w:top w:val="none" w:sz="0" w:space="0" w:color="auto"/>
                <w:left w:val="none" w:sz="0" w:space="0" w:color="auto"/>
                <w:bottom w:val="none" w:sz="0" w:space="0" w:color="auto"/>
                <w:right w:val="none" w:sz="0" w:space="0" w:color="auto"/>
              </w:divBdr>
              <w:divsChild>
                <w:div w:id="10085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09085">
      <w:bodyDiv w:val="1"/>
      <w:marLeft w:val="0"/>
      <w:marRight w:val="0"/>
      <w:marTop w:val="0"/>
      <w:marBottom w:val="0"/>
      <w:divBdr>
        <w:top w:val="none" w:sz="0" w:space="0" w:color="auto"/>
        <w:left w:val="none" w:sz="0" w:space="0" w:color="auto"/>
        <w:bottom w:val="none" w:sz="0" w:space="0" w:color="auto"/>
        <w:right w:val="none" w:sz="0" w:space="0" w:color="auto"/>
      </w:divBdr>
      <w:divsChild>
        <w:div w:id="1331829108">
          <w:marLeft w:val="0"/>
          <w:marRight w:val="0"/>
          <w:marTop w:val="0"/>
          <w:marBottom w:val="0"/>
          <w:divBdr>
            <w:top w:val="none" w:sz="0" w:space="0" w:color="auto"/>
            <w:left w:val="none" w:sz="0" w:space="0" w:color="auto"/>
            <w:bottom w:val="none" w:sz="0" w:space="0" w:color="auto"/>
            <w:right w:val="none" w:sz="0" w:space="0" w:color="auto"/>
          </w:divBdr>
          <w:divsChild>
            <w:div w:id="2100439265">
              <w:marLeft w:val="0"/>
              <w:marRight w:val="0"/>
              <w:marTop w:val="0"/>
              <w:marBottom w:val="0"/>
              <w:divBdr>
                <w:top w:val="none" w:sz="0" w:space="0" w:color="auto"/>
                <w:left w:val="none" w:sz="0" w:space="0" w:color="auto"/>
                <w:bottom w:val="none" w:sz="0" w:space="0" w:color="auto"/>
                <w:right w:val="none" w:sz="0" w:space="0" w:color="auto"/>
              </w:divBdr>
              <w:divsChild>
                <w:div w:id="132215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92482">
      <w:bodyDiv w:val="1"/>
      <w:marLeft w:val="0"/>
      <w:marRight w:val="0"/>
      <w:marTop w:val="0"/>
      <w:marBottom w:val="0"/>
      <w:divBdr>
        <w:top w:val="none" w:sz="0" w:space="0" w:color="auto"/>
        <w:left w:val="none" w:sz="0" w:space="0" w:color="auto"/>
        <w:bottom w:val="none" w:sz="0" w:space="0" w:color="auto"/>
        <w:right w:val="none" w:sz="0" w:space="0" w:color="auto"/>
      </w:divBdr>
      <w:divsChild>
        <w:div w:id="576091491">
          <w:marLeft w:val="0"/>
          <w:marRight w:val="0"/>
          <w:marTop w:val="0"/>
          <w:marBottom w:val="0"/>
          <w:divBdr>
            <w:top w:val="none" w:sz="0" w:space="0" w:color="auto"/>
            <w:left w:val="none" w:sz="0" w:space="0" w:color="auto"/>
            <w:bottom w:val="none" w:sz="0" w:space="0" w:color="auto"/>
            <w:right w:val="none" w:sz="0" w:space="0" w:color="auto"/>
          </w:divBdr>
          <w:divsChild>
            <w:div w:id="702367359">
              <w:marLeft w:val="0"/>
              <w:marRight w:val="0"/>
              <w:marTop w:val="0"/>
              <w:marBottom w:val="0"/>
              <w:divBdr>
                <w:top w:val="none" w:sz="0" w:space="0" w:color="auto"/>
                <w:left w:val="none" w:sz="0" w:space="0" w:color="auto"/>
                <w:bottom w:val="none" w:sz="0" w:space="0" w:color="auto"/>
                <w:right w:val="none" w:sz="0" w:space="0" w:color="auto"/>
              </w:divBdr>
              <w:divsChild>
                <w:div w:id="199047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3463">
      <w:bodyDiv w:val="1"/>
      <w:marLeft w:val="0"/>
      <w:marRight w:val="0"/>
      <w:marTop w:val="0"/>
      <w:marBottom w:val="0"/>
      <w:divBdr>
        <w:top w:val="none" w:sz="0" w:space="0" w:color="auto"/>
        <w:left w:val="none" w:sz="0" w:space="0" w:color="auto"/>
        <w:bottom w:val="none" w:sz="0" w:space="0" w:color="auto"/>
        <w:right w:val="none" w:sz="0" w:space="0" w:color="auto"/>
      </w:divBdr>
      <w:divsChild>
        <w:div w:id="2033411352">
          <w:marLeft w:val="0"/>
          <w:marRight w:val="0"/>
          <w:marTop w:val="0"/>
          <w:marBottom w:val="0"/>
          <w:divBdr>
            <w:top w:val="none" w:sz="0" w:space="0" w:color="auto"/>
            <w:left w:val="none" w:sz="0" w:space="0" w:color="auto"/>
            <w:bottom w:val="none" w:sz="0" w:space="0" w:color="auto"/>
            <w:right w:val="none" w:sz="0" w:space="0" w:color="auto"/>
          </w:divBdr>
          <w:divsChild>
            <w:div w:id="1010180101">
              <w:marLeft w:val="0"/>
              <w:marRight w:val="0"/>
              <w:marTop w:val="0"/>
              <w:marBottom w:val="0"/>
              <w:divBdr>
                <w:top w:val="none" w:sz="0" w:space="0" w:color="auto"/>
                <w:left w:val="none" w:sz="0" w:space="0" w:color="auto"/>
                <w:bottom w:val="none" w:sz="0" w:space="0" w:color="auto"/>
                <w:right w:val="none" w:sz="0" w:space="0" w:color="auto"/>
              </w:divBdr>
              <w:divsChild>
                <w:div w:id="7677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yperlink" Target="https://data.worldbank.org/indicator/BX.KLT.DINV.WD.GD.ZS?end=2019&amp;start=1970" TargetMode="Externa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2FA1FAB03D5344B805527C6B68D1FA" ma:contentTypeVersion="13" ma:contentTypeDescription="Create a new document." ma:contentTypeScope="" ma:versionID="8cf69e623fbccc3ae132567402704543">
  <xsd:schema xmlns:xsd="http://www.w3.org/2001/XMLSchema" xmlns:xs="http://www.w3.org/2001/XMLSchema" xmlns:p="http://schemas.microsoft.com/office/2006/metadata/properties" xmlns:ns3="1457d10f-6a88-4568-88b5-22de57fec7a2" xmlns:ns4="e1536fbf-b8e9-4ed7-be55-656a423399eb" targetNamespace="http://schemas.microsoft.com/office/2006/metadata/properties" ma:root="true" ma:fieldsID="99b403dc5a964a9599eded5f0040415d" ns3:_="" ns4:_="">
    <xsd:import namespace="1457d10f-6a88-4568-88b5-22de57fec7a2"/>
    <xsd:import namespace="e1536fbf-b8e9-4ed7-be55-656a423399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7d10f-6a88-4568-88b5-22de57f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536fbf-b8e9-4ed7-be55-656a423399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69F0C-4EE6-49EB-B3E5-30CA162A38FD}">
  <ds:schemaRefs>
    <ds:schemaRef ds:uri="http://schemas.microsoft.com/office/infopath/2007/PartnerControls"/>
    <ds:schemaRef ds:uri="http://purl.org/dc/elements/1.1/"/>
    <ds:schemaRef ds:uri="http://schemas.microsoft.com/office/2006/metadata/properties"/>
    <ds:schemaRef ds:uri="1457d10f-6a88-4568-88b5-22de57fec7a2"/>
    <ds:schemaRef ds:uri="http://purl.org/dc/terms/"/>
    <ds:schemaRef ds:uri="e1536fbf-b8e9-4ed7-be55-656a423399eb"/>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81E6C7C-9E2D-4AF3-8E6C-D7C7A7B41037}">
  <ds:schemaRefs>
    <ds:schemaRef ds:uri="http://schemas.microsoft.com/sharepoint/v3/contenttype/forms"/>
  </ds:schemaRefs>
</ds:datastoreItem>
</file>

<file path=customXml/itemProps3.xml><?xml version="1.0" encoding="utf-8"?>
<ds:datastoreItem xmlns:ds="http://schemas.openxmlformats.org/officeDocument/2006/customXml" ds:itemID="{73C3DCFE-5DDC-4868-BF94-A309FF76A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7d10f-6a88-4568-88b5-22de57fec7a2"/>
    <ds:schemaRef ds:uri="e1536fbf-b8e9-4ed7-be55-656a42339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BCF94-BA9C-4B8F-A428-99B6D4C1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9805</Words>
  <Characters>55891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Dubrovnik</Company>
  <LinksUpToDate>false</LinksUpToDate>
  <CharactersWithSpaces>65565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Vujanovic</dc:creator>
  <cp:keywords/>
  <dc:description/>
  <cp:lastModifiedBy>HASHI Iraj</cp:lastModifiedBy>
  <cp:revision>3</cp:revision>
  <dcterms:created xsi:type="dcterms:W3CDTF">2021-03-27T13:48:00Z</dcterms:created>
  <dcterms:modified xsi:type="dcterms:W3CDTF">2022-03-21T18:13:00Z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0x010100BE2FA1FAB03D5344B805527C6B68D1FA</vt:lpwstr>
  </property>
</Properties>
</file>